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r>
        <w:rPr>
          <w:rFonts w:hint="eastAsia" w:ascii="黑体" w:hAnsi="黑体" w:eastAsia="黑体" w:cs="黑体"/>
          <w:bCs/>
          <w:kern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44"/>
          <w:szCs w:val="44"/>
          <w:lang w:val="en-US" w:eastAsia="zh-CN"/>
        </w:rPr>
      </w:pPr>
      <w:bookmarkStart w:id="0" w:name="_GoBack"/>
      <w:r>
        <w:rPr>
          <w:rFonts w:hint="eastAsia" w:asciiTheme="minorEastAsia" w:hAnsiTheme="minorEastAsia" w:eastAsiaTheme="minorEastAsia" w:cstheme="minorEastAsia"/>
          <w:b/>
          <w:bCs/>
          <w:sz w:val="44"/>
          <w:szCs w:val="44"/>
          <w:lang w:val="en-US" w:eastAsia="zh-CN"/>
        </w:rPr>
        <w:t>青海</w:t>
      </w:r>
      <w:r>
        <w:rPr>
          <w:rFonts w:hint="eastAsia" w:asciiTheme="minorEastAsia" w:hAnsiTheme="minorEastAsia" w:eastAsiaTheme="minorEastAsia" w:cstheme="minorEastAsia"/>
          <w:b/>
          <w:bCs/>
          <w:sz w:val="44"/>
          <w:szCs w:val="44"/>
        </w:rPr>
        <w:t>省医疗保障领域轻微违法行为免予处罚清单</w:t>
      </w:r>
      <w:bookmarkEnd w:id="0"/>
    </w:p>
    <w:tbl>
      <w:tblPr>
        <w:tblStyle w:val="7"/>
        <w:tblW w:w="13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689"/>
        <w:gridCol w:w="5805"/>
        <w:gridCol w:w="2445"/>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83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26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处罚事项名称</w:t>
            </w:r>
          </w:p>
        </w:tc>
        <w:tc>
          <w:tcPr>
            <w:tcW w:w="58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设定依据</w:t>
            </w:r>
          </w:p>
        </w:tc>
        <w:tc>
          <w:tcPr>
            <w:tcW w:w="460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适用情形（必须同时具备）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8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vertAlign w:val="baseline"/>
                <w:lang w:val="en-US" w:eastAsia="zh-CN"/>
              </w:rPr>
            </w:pPr>
          </w:p>
        </w:tc>
        <w:tc>
          <w:tcPr>
            <w:tcW w:w="26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vertAlign w:val="baseline"/>
                <w:lang w:val="en-US" w:eastAsia="zh-CN"/>
              </w:rPr>
            </w:pPr>
          </w:p>
        </w:tc>
        <w:tc>
          <w:tcPr>
            <w:tcW w:w="5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vertAlign w:val="baseline"/>
                <w:lang w:val="en-US" w:eastAsia="zh-CN"/>
              </w:rPr>
            </w:pPr>
          </w:p>
        </w:tc>
        <w:tc>
          <w:tcPr>
            <w:tcW w:w="244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应当免予处罚情形</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可以免予处罚情形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2"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268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kern w:val="0"/>
                <w:sz w:val="18"/>
                <w:szCs w:val="18"/>
                <w:highlight w:val="none"/>
                <w:lang w:eastAsia="zh-CN"/>
              </w:rPr>
              <w:t>对用人单位不办理医疗保险和生育保险登记的处罚</w:t>
            </w:r>
          </w:p>
        </w:tc>
        <w:tc>
          <w:tcPr>
            <w:tcW w:w="580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kern w:val="0"/>
                <w:sz w:val="18"/>
                <w:szCs w:val="18"/>
                <w:highlight w:val="none"/>
                <w:lang w:eastAsia="zh-CN"/>
              </w:rPr>
              <w:t>《中华人民共和国社会保险法》第八十</w:t>
            </w:r>
            <w:r>
              <w:rPr>
                <w:rFonts w:hint="eastAsia" w:ascii="仿宋_GB2312" w:hAnsi="仿宋_GB2312" w:eastAsia="仿宋_GB2312" w:cs="仿宋_GB2312"/>
                <w:kern w:val="0"/>
                <w:sz w:val="18"/>
                <w:szCs w:val="18"/>
                <w:highlight w:val="none"/>
                <w:lang w:val="en-US" w:eastAsia="zh-CN"/>
              </w:rPr>
              <w:t>四</w:t>
            </w:r>
            <w:r>
              <w:rPr>
                <w:rFonts w:hint="eastAsia" w:ascii="仿宋_GB2312" w:hAnsi="仿宋_GB2312" w:eastAsia="仿宋_GB2312" w:cs="仿宋_GB2312"/>
                <w:kern w:val="0"/>
                <w:sz w:val="18"/>
                <w:szCs w:val="18"/>
                <w:highlight w:val="none"/>
                <w:lang w:eastAsia="zh-CN"/>
              </w:rPr>
              <w:t>条：</w:t>
            </w:r>
            <w:r>
              <w:rPr>
                <w:rFonts w:hint="eastAsia" w:ascii="仿宋_GB2312" w:hAnsi="仿宋_GB2312" w:eastAsia="仿宋_GB2312" w:cs="仿宋_GB2312"/>
                <w:kern w:val="0"/>
                <w:sz w:val="18"/>
                <w:szCs w:val="18"/>
                <w:highlight w:val="none"/>
              </w:rPr>
              <w:t>责令限期改正</w:t>
            </w:r>
            <w:r>
              <w:rPr>
                <w:rFonts w:hint="eastAsia" w:ascii="仿宋_GB2312" w:hAnsi="仿宋_GB2312" w:eastAsia="仿宋_GB2312" w:cs="仿宋_GB2312"/>
                <w:kern w:val="0"/>
                <w:sz w:val="18"/>
                <w:szCs w:val="18"/>
                <w:highlight w:val="none"/>
                <w:lang w:eastAsia="zh-CN"/>
              </w:rPr>
              <w:t>，</w:t>
            </w:r>
            <w:r>
              <w:rPr>
                <w:rFonts w:hint="eastAsia" w:ascii="仿宋_GB2312" w:hAnsi="仿宋_GB2312" w:eastAsia="仿宋_GB2312" w:cs="仿宋_GB2312"/>
                <w:kern w:val="0"/>
                <w:sz w:val="18"/>
                <w:szCs w:val="18"/>
                <w:highlight w:val="none"/>
              </w:rPr>
              <w:t>逾期不改正的，</w:t>
            </w:r>
            <w:r>
              <w:rPr>
                <w:rFonts w:hint="eastAsia" w:ascii="仿宋_GB2312" w:hAnsi="仿宋_GB2312" w:eastAsia="仿宋_GB2312" w:cs="仿宋_GB2312"/>
                <w:kern w:val="0"/>
                <w:sz w:val="18"/>
                <w:szCs w:val="18"/>
                <w:highlight w:val="none"/>
                <w:lang w:val="en-US" w:eastAsia="zh-CN"/>
              </w:rPr>
              <w:t>对用人单位处应缴社会保险费数额一倍以上三倍以下的罚款，对其直接负责的主管人员和其他直接责任人员处五百元以上三千元以下的罚款。</w:t>
            </w:r>
          </w:p>
        </w:tc>
        <w:tc>
          <w:tcPr>
            <w:tcW w:w="244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1.初次违法；</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kern w:val="0"/>
                <w:sz w:val="18"/>
                <w:szCs w:val="18"/>
                <w:highlight w:val="none"/>
                <w:lang w:val="en-US" w:eastAsia="zh-CN"/>
              </w:rPr>
              <w:t>2.自行纠正或者在限期内改正，不予处罚。</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2"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268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0"/>
                <w:sz w:val="18"/>
                <w:szCs w:val="18"/>
                <w:highlight w:val="none"/>
                <w:lang w:eastAsia="zh-CN"/>
              </w:rPr>
            </w:pPr>
            <w:r>
              <w:rPr>
                <w:rFonts w:hint="eastAsia" w:ascii="仿宋_GB2312" w:hAnsi="仿宋_GB2312" w:eastAsia="仿宋_GB2312" w:cs="仿宋_GB2312"/>
                <w:kern w:val="0"/>
                <w:sz w:val="18"/>
                <w:szCs w:val="18"/>
                <w:highlight w:val="none"/>
                <w:lang w:eastAsia="zh-CN"/>
              </w:rPr>
              <w:t>对用人单位未按时足额缴纳社会保险费的行为的行政处罚</w:t>
            </w:r>
          </w:p>
        </w:tc>
        <w:tc>
          <w:tcPr>
            <w:tcW w:w="580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0"/>
                <w:sz w:val="18"/>
                <w:szCs w:val="18"/>
                <w:highlight w:val="none"/>
                <w:lang w:eastAsia="zh-CN"/>
              </w:rPr>
            </w:pPr>
            <w:r>
              <w:rPr>
                <w:rFonts w:hint="eastAsia" w:ascii="仿宋_GB2312" w:hAnsi="仿宋_GB2312" w:eastAsia="仿宋_GB2312" w:cs="仿宋_GB2312"/>
                <w:kern w:val="0"/>
                <w:sz w:val="18"/>
                <w:szCs w:val="18"/>
                <w:highlight w:val="none"/>
                <w:lang w:eastAsia="zh-CN"/>
              </w:rPr>
              <w:t>《中华人民共和国社会保险法》第八十六条：由社会保险费征收机构责令限期缴纳或者补足，并自欠缴之日起，按日加收万分之五的滞纳金；逾期仍不缴纳的，由有关行政部门处欠缴数额一倍以上三倍以下的罚款</w:t>
            </w:r>
          </w:p>
        </w:tc>
        <w:tc>
          <w:tcPr>
            <w:tcW w:w="244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1.初次违法；</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2.在责令期限内足额缴纳或补足医疗保险费，并按期缴纳滞纳金，不予处罚。</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26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kern w:val="0"/>
                <w:sz w:val="18"/>
                <w:szCs w:val="18"/>
                <w:highlight w:val="none"/>
                <w:lang w:eastAsia="zh-CN"/>
              </w:rPr>
            </w:pPr>
            <w:r>
              <w:rPr>
                <w:rFonts w:hint="eastAsia" w:ascii="仿宋_GB2312" w:hAnsi="仿宋_GB2312" w:eastAsia="仿宋_GB2312" w:cs="仿宋_GB2312"/>
                <w:kern w:val="0"/>
                <w:sz w:val="18"/>
                <w:szCs w:val="18"/>
                <w:highlight w:val="none"/>
                <w:lang w:eastAsia="zh-CN"/>
              </w:rPr>
              <w:t>对定点医药机构基金使用一般违法行为的处罚</w:t>
            </w:r>
          </w:p>
        </w:tc>
        <w:tc>
          <w:tcPr>
            <w:tcW w:w="580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医疗保障基金使用监督管理条例》第三十八条：定点医药机构有下列情形之一的，由医疗保障行政部门责令改正，并可以约谈有关负责人；造成医疗保障基金损失的，责令退回，处造成损失金额1倍以上2倍以下的罚款；拒不改正或者造成严重后果的，责令定点医药机构暂停相关责任部门6个月以上1年以下涉及医疗保障基金使用的医药服务；违反其他法律、行政法规的，由有关主管部门依法处理：</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（一）分解住院、挂床住院； </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（二）违反诊疗规范过度诊疗、过度检查、分解处方、超量开药、重复开药或者提供其他不必要的医药服务；</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（三）重复收费、超标准收费、分解项目收费；</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 xml:space="preserve">（四）串换药品、医用耗材、诊疗项目和服务设施；        </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（五）为参保人员利用其享受医疗保障待遇的机会转卖药品。接受返还现金、实物或者获得其他非法利益提供便利； </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（六）将不属于医疗保障基金支付范围的医药费用纳入医疗保障基金结算；</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0"/>
                <w:sz w:val="18"/>
                <w:szCs w:val="18"/>
                <w:highlight w:val="none"/>
                <w:lang w:eastAsia="zh-CN"/>
              </w:rPr>
            </w:pPr>
            <w:r>
              <w:rPr>
                <w:rFonts w:hint="eastAsia" w:ascii="仿宋_GB2312" w:hAnsi="仿宋_GB2312" w:eastAsia="仿宋_GB2312" w:cs="仿宋_GB2312"/>
                <w:kern w:val="0"/>
                <w:sz w:val="18"/>
                <w:szCs w:val="18"/>
                <w:highlight w:val="none"/>
                <w:lang w:val="en-US" w:eastAsia="zh-CN"/>
              </w:rPr>
              <w:t>（七）造成医疗保隆基金损失的其他违法行为。</w:t>
            </w:r>
          </w:p>
        </w:tc>
        <w:tc>
          <w:tcPr>
            <w:tcW w:w="244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1.初次违法；</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2.不以骗取医保基金为目的；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3.违法行为轻微，没有造成医疗保障基金损失，并自行纠正或者在约定期限内完成整改的，不予处罚</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1.初次违法；</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w:t>
            </w:r>
            <w:r>
              <w:rPr>
                <w:rFonts w:hint="eastAsia" w:ascii="仿宋_GB2312" w:hAnsi="仿宋_GB2312" w:eastAsia="仿宋_GB2312" w:cs="仿宋_GB2312"/>
                <w:kern w:val="0"/>
                <w:sz w:val="18"/>
                <w:szCs w:val="18"/>
                <w:highlight w:val="none"/>
                <w:lang w:val="en-US" w:eastAsia="zh-CN"/>
              </w:rPr>
              <w:t>不以骗取医保基金为目的；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3.危害后果轻微（造成医疗保障基金损失2000元以下、主动退回损失基金且造成社会不良影响较小），并及时改正的，可以不予处罚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1"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26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kern w:val="0"/>
                <w:sz w:val="18"/>
                <w:szCs w:val="18"/>
                <w:highlight w:val="none"/>
                <w:lang w:eastAsia="zh-CN"/>
              </w:rPr>
            </w:pPr>
            <w:r>
              <w:rPr>
                <w:rFonts w:hint="eastAsia" w:ascii="仿宋_GB2312" w:hAnsi="仿宋_GB2312" w:eastAsia="仿宋_GB2312" w:cs="仿宋_GB2312"/>
                <w:kern w:val="0"/>
                <w:sz w:val="18"/>
                <w:szCs w:val="18"/>
                <w:highlight w:val="none"/>
                <w:lang w:eastAsia="zh-CN"/>
              </w:rPr>
              <w:t>对定点医药机构违反管理规定、拒绝监督检查或者提供虚假情况的处罚</w:t>
            </w:r>
          </w:p>
        </w:tc>
        <w:tc>
          <w:tcPr>
            <w:tcW w:w="5805" w:type="dxa"/>
            <w:noWrap w:val="0"/>
            <w:vAlign w:val="center"/>
          </w:tcPr>
          <w:p>
            <w:pPr>
              <w:keepNext w:val="0"/>
              <w:keepLines w:val="0"/>
              <w:pageBreakBefore w:val="0"/>
              <w:widowControl/>
              <w:kinsoku/>
              <w:wordWrap/>
              <w:overflowPunct/>
              <w:topLinePunct w:val="0"/>
              <w:bidi w:val="0"/>
              <w:adjustRightInd/>
              <w:snapToGrid/>
              <w:spacing w:line="260" w:lineRule="exact"/>
              <w:ind w:firstLine="3" w:firstLineChars="2"/>
              <w:jc w:val="both"/>
              <w:textAlignment w:val="auto"/>
              <w:rPr>
                <w:rFonts w:hint="eastAsia" w:ascii="仿宋_GB2312" w:hAnsi="仿宋_GB2312" w:eastAsia="仿宋_GB2312" w:cs="仿宋_GB2312"/>
                <w:kern w:val="0"/>
                <w:sz w:val="18"/>
                <w:szCs w:val="18"/>
                <w:highlight w:val="none"/>
                <w:lang w:eastAsia="zh-CN"/>
              </w:rPr>
            </w:pPr>
            <w:r>
              <w:rPr>
                <w:rFonts w:hint="eastAsia" w:ascii="仿宋_GB2312" w:hAnsi="仿宋_GB2312" w:eastAsia="仿宋_GB2312" w:cs="仿宋_GB2312"/>
                <w:kern w:val="0"/>
                <w:sz w:val="18"/>
                <w:szCs w:val="18"/>
                <w:highlight w:val="none"/>
                <w:lang w:eastAsia="zh-CN"/>
              </w:rPr>
              <w:t>《医疗保障基金使用监督管理条例》第三十九条：定点医药机构有下列情形之一的，由医疗保障行政部门责令改正。并可以约谈有关负责人；拒不改正的，处1万元以上5万元以下的罚款；违反其他法律、行政法规的，由有关主管部门依法处理： </w:t>
            </w:r>
          </w:p>
          <w:p>
            <w:pPr>
              <w:keepNext w:val="0"/>
              <w:keepLines w:val="0"/>
              <w:pageBreakBefore w:val="0"/>
              <w:widowControl/>
              <w:kinsoku/>
              <w:wordWrap/>
              <w:overflowPunct/>
              <w:topLinePunct w:val="0"/>
              <w:bidi w:val="0"/>
              <w:adjustRightInd/>
              <w:snapToGrid/>
              <w:spacing w:line="260" w:lineRule="exact"/>
              <w:ind w:firstLine="3" w:firstLineChars="2"/>
              <w:jc w:val="both"/>
              <w:textAlignment w:val="auto"/>
              <w:rPr>
                <w:rFonts w:hint="eastAsia" w:ascii="仿宋_GB2312" w:hAnsi="仿宋_GB2312" w:eastAsia="仿宋_GB2312" w:cs="仿宋_GB2312"/>
                <w:kern w:val="0"/>
                <w:sz w:val="18"/>
                <w:szCs w:val="18"/>
                <w:highlight w:val="none"/>
                <w:lang w:eastAsia="zh-CN"/>
              </w:rPr>
            </w:pPr>
            <w:r>
              <w:rPr>
                <w:rFonts w:hint="eastAsia" w:ascii="仿宋_GB2312" w:hAnsi="仿宋_GB2312" w:eastAsia="仿宋_GB2312" w:cs="仿宋_GB2312"/>
                <w:kern w:val="0"/>
                <w:sz w:val="18"/>
                <w:szCs w:val="18"/>
                <w:highlight w:val="none"/>
                <w:lang w:eastAsia="zh-CN"/>
              </w:rPr>
              <w:t>（一）未建立医疗保障基金使用内部管理制度，或者没有专门机构或者人员负责医疗保障基金使用管理工作；</w:t>
            </w:r>
          </w:p>
          <w:p>
            <w:pPr>
              <w:keepNext w:val="0"/>
              <w:keepLines w:val="0"/>
              <w:pageBreakBefore w:val="0"/>
              <w:widowControl/>
              <w:kinsoku/>
              <w:wordWrap/>
              <w:overflowPunct/>
              <w:topLinePunct w:val="0"/>
              <w:bidi w:val="0"/>
              <w:adjustRightInd/>
              <w:snapToGrid/>
              <w:spacing w:line="260" w:lineRule="exact"/>
              <w:ind w:firstLine="3" w:firstLineChars="2"/>
              <w:jc w:val="both"/>
              <w:textAlignment w:val="auto"/>
              <w:rPr>
                <w:rFonts w:hint="eastAsia" w:ascii="仿宋_GB2312" w:hAnsi="仿宋_GB2312" w:eastAsia="仿宋_GB2312" w:cs="仿宋_GB2312"/>
                <w:kern w:val="0"/>
                <w:sz w:val="18"/>
                <w:szCs w:val="18"/>
                <w:highlight w:val="none"/>
                <w:lang w:eastAsia="zh-CN"/>
              </w:rPr>
            </w:pPr>
            <w:r>
              <w:rPr>
                <w:rFonts w:hint="eastAsia" w:ascii="仿宋_GB2312" w:hAnsi="仿宋_GB2312" w:eastAsia="仿宋_GB2312" w:cs="仿宋_GB2312"/>
                <w:kern w:val="0"/>
                <w:sz w:val="18"/>
                <w:szCs w:val="18"/>
                <w:highlight w:val="none"/>
                <w:lang w:eastAsia="zh-CN"/>
              </w:rPr>
              <w:t>（二）未按照规定保管财务账目、会计凭证、处方、病历、治疗检查记录、费用明细、药品和医用耗材出入库记录等资料；</w:t>
            </w:r>
          </w:p>
          <w:p>
            <w:pPr>
              <w:keepNext w:val="0"/>
              <w:keepLines w:val="0"/>
              <w:pageBreakBefore w:val="0"/>
              <w:widowControl/>
              <w:kinsoku/>
              <w:wordWrap/>
              <w:overflowPunct/>
              <w:topLinePunct w:val="0"/>
              <w:bidi w:val="0"/>
              <w:adjustRightInd/>
              <w:snapToGrid/>
              <w:spacing w:line="260" w:lineRule="exact"/>
              <w:ind w:firstLine="3" w:firstLineChars="2"/>
              <w:jc w:val="both"/>
              <w:textAlignment w:val="auto"/>
              <w:rPr>
                <w:rFonts w:hint="eastAsia" w:ascii="仿宋_GB2312" w:hAnsi="仿宋_GB2312" w:eastAsia="仿宋_GB2312" w:cs="仿宋_GB2312"/>
                <w:kern w:val="0"/>
                <w:sz w:val="18"/>
                <w:szCs w:val="18"/>
                <w:highlight w:val="none"/>
                <w:lang w:eastAsia="zh-CN"/>
              </w:rPr>
            </w:pPr>
            <w:r>
              <w:rPr>
                <w:rFonts w:hint="eastAsia" w:ascii="仿宋_GB2312" w:hAnsi="仿宋_GB2312" w:eastAsia="仿宋_GB2312" w:cs="仿宋_GB2312"/>
                <w:kern w:val="0"/>
                <w:sz w:val="18"/>
                <w:szCs w:val="18"/>
                <w:highlight w:val="none"/>
                <w:lang w:eastAsia="zh-CN"/>
              </w:rPr>
              <w:t>（三）未按照规定通过医疗保障信息系统传送医疗保障基金使用有关数据； </w:t>
            </w:r>
          </w:p>
          <w:p>
            <w:pPr>
              <w:keepNext w:val="0"/>
              <w:keepLines w:val="0"/>
              <w:pageBreakBefore w:val="0"/>
              <w:widowControl/>
              <w:kinsoku/>
              <w:wordWrap/>
              <w:overflowPunct/>
              <w:topLinePunct w:val="0"/>
              <w:bidi w:val="0"/>
              <w:adjustRightInd/>
              <w:snapToGrid/>
              <w:spacing w:line="260" w:lineRule="exact"/>
              <w:ind w:firstLine="3" w:firstLineChars="2"/>
              <w:jc w:val="both"/>
              <w:textAlignment w:val="auto"/>
              <w:rPr>
                <w:rFonts w:hint="eastAsia" w:ascii="仿宋_GB2312" w:hAnsi="仿宋_GB2312" w:eastAsia="仿宋_GB2312" w:cs="仿宋_GB2312"/>
                <w:kern w:val="0"/>
                <w:sz w:val="18"/>
                <w:szCs w:val="18"/>
                <w:highlight w:val="none"/>
                <w:lang w:eastAsia="zh-CN"/>
              </w:rPr>
            </w:pPr>
            <w:r>
              <w:rPr>
                <w:rFonts w:hint="eastAsia" w:ascii="仿宋_GB2312" w:hAnsi="仿宋_GB2312" w:eastAsia="仿宋_GB2312" w:cs="仿宋_GB2312"/>
                <w:kern w:val="0"/>
                <w:sz w:val="18"/>
                <w:szCs w:val="18"/>
                <w:highlight w:val="none"/>
                <w:lang w:eastAsia="zh-CN"/>
              </w:rPr>
              <w:t>（四）未按照规定向医疗保障行政部门报告医疗保障基金使用监督管理所需信息；</w:t>
            </w:r>
          </w:p>
          <w:p>
            <w:pPr>
              <w:keepNext w:val="0"/>
              <w:keepLines w:val="0"/>
              <w:pageBreakBefore w:val="0"/>
              <w:widowControl/>
              <w:kinsoku/>
              <w:wordWrap/>
              <w:overflowPunct/>
              <w:topLinePunct w:val="0"/>
              <w:bidi w:val="0"/>
              <w:adjustRightInd/>
              <w:snapToGrid/>
              <w:spacing w:line="260" w:lineRule="exact"/>
              <w:ind w:firstLine="3" w:firstLineChars="2"/>
              <w:jc w:val="both"/>
              <w:textAlignment w:val="auto"/>
              <w:rPr>
                <w:rFonts w:hint="eastAsia" w:ascii="仿宋_GB2312" w:hAnsi="仿宋_GB2312" w:eastAsia="仿宋_GB2312" w:cs="仿宋_GB2312"/>
                <w:kern w:val="0"/>
                <w:sz w:val="18"/>
                <w:szCs w:val="18"/>
                <w:highlight w:val="none"/>
                <w:lang w:eastAsia="zh-CN"/>
              </w:rPr>
            </w:pPr>
            <w:r>
              <w:rPr>
                <w:rFonts w:hint="eastAsia" w:ascii="仿宋_GB2312" w:hAnsi="仿宋_GB2312" w:eastAsia="仿宋_GB2312" w:cs="仿宋_GB2312"/>
                <w:kern w:val="0"/>
                <w:sz w:val="18"/>
                <w:szCs w:val="18"/>
                <w:highlight w:val="none"/>
                <w:lang w:eastAsia="zh-CN"/>
              </w:rPr>
              <w:t>（五）未按照规定向社会公开医药费用、费用结构等信息； </w:t>
            </w:r>
          </w:p>
          <w:p>
            <w:pPr>
              <w:keepNext w:val="0"/>
              <w:keepLines w:val="0"/>
              <w:pageBreakBefore w:val="0"/>
              <w:widowControl/>
              <w:kinsoku/>
              <w:wordWrap/>
              <w:overflowPunct/>
              <w:topLinePunct w:val="0"/>
              <w:bidi w:val="0"/>
              <w:adjustRightInd/>
              <w:snapToGrid/>
              <w:spacing w:line="260" w:lineRule="exact"/>
              <w:ind w:firstLine="3" w:firstLineChars="2"/>
              <w:jc w:val="both"/>
              <w:textAlignment w:val="auto"/>
              <w:rPr>
                <w:rFonts w:hint="eastAsia" w:ascii="仿宋_GB2312" w:hAnsi="仿宋_GB2312" w:eastAsia="仿宋_GB2312" w:cs="仿宋_GB2312"/>
                <w:kern w:val="0"/>
                <w:sz w:val="18"/>
                <w:szCs w:val="18"/>
                <w:highlight w:val="none"/>
                <w:lang w:eastAsia="zh-CN"/>
              </w:rPr>
            </w:pPr>
            <w:r>
              <w:rPr>
                <w:rFonts w:hint="eastAsia" w:ascii="仿宋_GB2312" w:hAnsi="仿宋_GB2312" w:eastAsia="仿宋_GB2312" w:cs="仿宋_GB2312"/>
                <w:kern w:val="0"/>
                <w:sz w:val="18"/>
                <w:szCs w:val="18"/>
                <w:highlight w:val="none"/>
                <w:lang w:eastAsia="zh-CN"/>
              </w:rPr>
              <w:t>（六）除急诊、抢救等特殊情形外，未经参保人员或者其近亲属、监护人同意提供医疗保障基金支付范围以外的医药服务；</w:t>
            </w:r>
          </w:p>
          <w:p>
            <w:pPr>
              <w:keepNext w:val="0"/>
              <w:keepLines w:val="0"/>
              <w:pageBreakBefore w:val="0"/>
              <w:widowControl/>
              <w:kinsoku/>
              <w:wordWrap/>
              <w:overflowPunct/>
              <w:topLinePunct w:val="0"/>
              <w:bidi w:val="0"/>
              <w:adjustRightInd/>
              <w:snapToGrid/>
              <w:spacing w:line="260" w:lineRule="exact"/>
              <w:ind w:firstLine="3" w:firstLineChars="2"/>
              <w:jc w:val="both"/>
              <w:textAlignment w:val="auto"/>
              <w:rPr>
                <w:rFonts w:hint="eastAsia" w:ascii="仿宋_GB2312" w:hAnsi="仿宋_GB2312" w:eastAsia="仿宋_GB2312" w:cs="仿宋_GB2312"/>
                <w:kern w:val="0"/>
                <w:sz w:val="18"/>
                <w:szCs w:val="18"/>
                <w:highlight w:val="none"/>
                <w:lang w:eastAsia="zh-CN"/>
              </w:rPr>
            </w:pPr>
            <w:r>
              <w:rPr>
                <w:rFonts w:hint="eastAsia" w:ascii="仿宋_GB2312" w:hAnsi="仿宋_GB2312" w:eastAsia="仿宋_GB2312" w:cs="仿宋_GB2312"/>
                <w:kern w:val="0"/>
                <w:sz w:val="18"/>
                <w:szCs w:val="18"/>
                <w:highlight w:val="none"/>
                <w:lang w:eastAsia="zh-CN"/>
              </w:rPr>
              <w:t>（七）拒绝医疗保障等行政部门监督检查或者提供虚假情况。</w:t>
            </w:r>
          </w:p>
        </w:tc>
        <w:tc>
          <w:tcPr>
            <w:tcW w:w="244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1.初次违法；</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2.自行纠正或者在约定期限内完成整改的，不予处罚。</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3"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26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对个人造成医疗保障基金损失行为的处罚</w:t>
            </w:r>
          </w:p>
        </w:tc>
        <w:tc>
          <w:tcPr>
            <w:tcW w:w="580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《医疗保障基金使用监督管理条例》第四十一条第一款：个人有下列情形之一的，由医疗保障行政部门责令改正；造成医疗保障基金损失的、责令退回；属于参保人员的，暂停其医疗费用联网结算3个月至12个月：</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180" w:hanging="180" w:hangingChars="100"/>
              <w:jc w:val="both"/>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 xml:space="preserve">将本人的医疗保障凭证交由他人冒名使用；          </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100" w:firstLine="180" w:firstLineChars="100"/>
              <w:jc w:val="both"/>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（二）重复享受医疗保障待遇； 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kern w:val="0"/>
                <w:sz w:val="18"/>
                <w:szCs w:val="18"/>
                <w:highlight w:val="none"/>
                <w:lang w:eastAsia="zh-CN"/>
              </w:rPr>
            </w:pPr>
            <w:r>
              <w:rPr>
                <w:rFonts w:hint="eastAsia" w:ascii="仿宋_GB2312" w:hAnsi="仿宋_GB2312" w:eastAsia="仿宋_GB2312" w:cs="仿宋_GB2312"/>
                <w:kern w:val="0"/>
                <w:sz w:val="18"/>
                <w:szCs w:val="18"/>
                <w:highlight w:val="none"/>
                <w:lang w:val="en-US" w:eastAsia="zh-CN"/>
              </w:rPr>
              <w:t>（三）利用享受医疗保障待遇的机会转卖药品，接受返还现金、实物或者获得其他非法利益。  </w:t>
            </w:r>
          </w:p>
        </w:tc>
        <w:tc>
          <w:tcPr>
            <w:tcW w:w="244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1.初次违法；</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2.不以骗取医保基金为目的；</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3.违法行为轻微，没有造成医疗保障基金损失，并自行纠正或者在在约定期限内完成整改的，不予处罚。</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1.初次违法；</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w:t>
            </w:r>
            <w:r>
              <w:rPr>
                <w:rFonts w:hint="eastAsia" w:ascii="仿宋_GB2312" w:hAnsi="仿宋_GB2312" w:eastAsia="仿宋_GB2312" w:cs="仿宋_GB2312"/>
                <w:kern w:val="0"/>
                <w:sz w:val="18"/>
                <w:szCs w:val="18"/>
                <w:highlight w:val="none"/>
                <w:lang w:val="en-US" w:eastAsia="zh-CN"/>
              </w:rPr>
              <w:t>不以骗取医保基金为目的；</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3.危害后果轻微（造成医疗保障基金损失 1000元以下、主动退回损失基金且造成社会不良影响较小），可以不予处罚。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26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对个人骗取医保基金支出违法行为的行政处罚</w:t>
            </w:r>
          </w:p>
        </w:tc>
        <w:tc>
          <w:tcPr>
            <w:tcW w:w="580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医疗保障基金使用监督管理条例》第四十一条第二款：个人以骗取医疗保障基金为目的，实施了《医疗保障基金使用监督管理条例》第四十一条第一款规定行为之一，造成医疗保障基金损失的；或者使用他人医疗保障凭证冒名就医、购药的；或者通过伪造、变造、隐匿、涂改、销毁医学文书、医学证明、会计凭证、电子信息等有关资料或者虚构医药服务项目等方式，骗取医疗保障基金支出的。</w:t>
            </w:r>
          </w:p>
        </w:tc>
        <w:tc>
          <w:tcPr>
            <w:tcW w:w="244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1.初次违法；</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sz w:val="18"/>
                <w:szCs w:val="18"/>
                <w:vertAlign w:val="baseline"/>
                <w:lang w:val="en-US" w:eastAsia="zh-CN"/>
              </w:rPr>
              <w:t>2.</w:t>
            </w:r>
            <w:r>
              <w:rPr>
                <w:rFonts w:hint="eastAsia" w:ascii="仿宋_GB2312" w:hAnsi="仿宋_GB2312" w:eastAsia="仿宋_GB2312" w:cs="仿宋_GB2312"/>
                <w:kern w:val="0"/>
                <w:sz w:val="18"/>
                <w:szCs w:val="18"/>
                <w:highlight w:val="none"/>
                <w:lang w:val="en-US" w:eastAsia="zh-CN"/>
              </w:rPr>
              <w:t>违法行为轻微，没有造成医疗保障基金损失，并自行纠正，不予处罚。</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1.初次违法；</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2.危害后果轻微（造成医疗保障基金损失 1000元以下、主动退回损失基金且造成社会不良影响较小），可以不予处罚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1"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26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对个人采取虚报、隐瞒、伪造等手段，骗取医疗救助基金行为的行政处罚</w:t>
            </w:r>
          </w:p>
        </w:tc>
        <w:tc>
          <w:tcPr>
            <w:tcW w:w="5805" w:type="dxa"/>
            <w:noWrap w:val="0"/>
            <w:vAlign w:val="center"/>
          </w:tcPr>
          <w:p>
            <w:pPr>
              <w:keepNext w:val="0"/>
              <w:keepLines w:val="0"/>
              <w:pageBreakBefore w:val="0"/>
              <w:widowControl w:val="0"/>
              <w:tabs>
                <w:tab w:val="left" w:pos="1167"/>
              </w:tabs>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社会救助暂行办法》第六十八条：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治安管理处罚</w:t>
            </w:r>
          </w:p>
        </w:tc>
        <w:tc>
          <w:tcPr>
            <w:tcW w:w="244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1.初次违法；</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sz w:val="18"/>
                <w:szCs w:val="18"/>
                <w:vertAlign w:val="baseline"/>
                <w:lang w:val="en-US" w:eastAsia="zh-CN"/>
              </w:rPr>
              <w:t>2.</w:t>
            </w:r>
            <w:r>
              <w:rPr>
                <w:rFonts w:hint="eastAsia" w:ascii="仿宋_GB2312" w:hAnsi="仿宋_GB2312" w:eastAsia="仿宋_GB2312" w:cs="仿宋_GB2312"/>
                <w:kern w:val="0"/>
                <w:sz w:val="18"/>
                <w:szCs w:val="18"/>
                <w:highlight w:val="none"/>
                <w:lang w:val="en-US" w:eastAsia="zh-CN"/>
              </w:rPr>
              <w:t>违法行为轻微，没有造成医疗救助基金损失，并自行纠正，不予处罚。</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1.初次违法；</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2.危害后果轻微（造成医疗救助基金损失 1000元以下、主动退回损失基金且造成社会不良影响较小），可以不予处罚</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3E3287"/>
    <w:multiLevelType w:val="singleLevel"/>
    <w:tmpl w:val="D33E328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DC0FEF"/>
    <w:rsid w:val="31DC0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8">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1"/>
    <w:rPr>
      <w:sz w:val="30"/>
      <w:szCs w:val="30"/>
    </w:rPr>
  </w:style>
  <w:style w:type="paragraph" w:styleId="3">
    <w:name w:val="header"/>
    <w:basedOn w:val="1"/>
    <w:next w:val="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4">
    <w:name w:val="引用1"/>
    <w:basedOn w:val="1"/>
    <w:next w:val="1"/>
    <w:qFormat/>
    <w:uiPriority w:val="0"/>
    <w:pPr>
      <w:ind w:left="864" w:right="864"/>
      <w:jc w:val="center"/>
    </w:pPr>
    <w:rPr>
      <w:rFonts w:hint="eastAsia"/>
      <w:i/>
      <w:color w:val="000000"/>
      <w:sz w:val="22"/>
    </w:rPr>
  </w:style>
  <w:style w:type="paragraph" w:styleId="5">
    <w:name w:val="footer"/>
    <w:basedOn w:val="1"/>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1F1F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高栏港经济区</Company>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2024-03-12T07:38:00Z</dcterms:created>
  <dc:creator>Administrator</dc:creator>
  <cp:lastModifiedBy>Administrator</cp:lastModifiedBy>
  <dcterms:modified xsi:type="dcterms:W3CDTF">2024-03-12T07:39:37Z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