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_GB2312" w:hAnsi="宋体" w:eastAsia="仿宋_GB2312" w:cs="宋体"/>
          <w:color w:val="333333"/>
          <w:kern w:val="0"/>
          <w:sz w:val="32"/>
          <w:szCs w:val="32"/>
        </w:rPr>
      </w:pPr>
      <w:bookmarkStart w:id="0" w:name="_GoBack"/>
      <w:bookmarkEnd w:id="0"/>
    </w:p>
    <w:p>
      <w:pPr>
        <w:suppressAutoHyphens/>
        <w:spacing w:line="640" w:lineRule="exact"/>
        <w:jc w:val="center"/>
        <w:rPr>
          <w:rFonts w:ascii="方正小标宋简体" w:hAnsi="Times New Roman" w:eastAsia="方正小标宋简体" w:cs="Times New Roman"/>
          <w:sz w:val="44"/>
          <w:szCs w:val="44"/>
          <w:lang w:eastAsia="ar-SA"/>
        </w:rPr>
      </w:pPr>
      <w:r>
        <w:rPr>
          <w:rFonts w:hint="eastAsia" w:ascii="方正小标宋简体" w:hAnsi="Times New Roman" w:eastAsia="方正小标宋简体" w:cs="Times New Roman"/>
          <w:sz w:val="44"/>
          <w:szCs w:val="44"/>
        </w:rPr>
        <w:t>广西壮族自治区</w:t>
      </w:r>
      <w:r>
        <w:rPr>
          <w:rFonts w:hint="eastAsia" w:ascii="方正小标宋简体" w:hAnsi="Times New Roman" w:eastAsia="方正小标宋简体" w:cs="Times New Roman"/>
          <w:sz w:val="44"/>
          <w:szCs w:val="44"/>
          <w:lang w:eastAsia="ar-SA"/>
        </w:rPr>
        <w:t>规范中药材产地趁鲜切制加工</w:t>
      </w:r>
    </w:p>
    <w:p>
      <w:pPr>
        <w:suppressAutoHyphens/>
        <w:spacing w:line="640" w:lineRule="exact"/>
        <w:jc w:val="center"/>
        <w:rPr>
          <w:rFonts w:ascii="方正小标宋简体" w:hAnsi="Times New Roman" w:eastAsia="方正小标宋简体" w:cs="Times New Roman"/>
          <w:sz w:val="44"/>
          <w:szCs w:val="44"/>
          <w:lang w:eastAsia="ar-SA"/>
        </w:rPr>
      </w:pPr>
      <w:r>
        <w:rPr>
          <w:rFonts w:hint="eastAsia" w:ascii="方正小标宋简体" w:hAnsi="Times New Roman" w:eastAsia="方正小标宋简体" w:cs="Times New Roman"/>
          <w:sz w:val="44"/>
          <w:szCs w:val="44"/>
          <w:lang w:eastAsia="ar-SA"/>
        </w:rPr>
        <w:t>指导意见</w:t>
      </w:r>
      <w:r>
        <w:rPr>
          <w:rFonts w:hint="eastAsia" w:ascii="方正小标宋简体" w:hAnsi="Times New Roman" w:eastAsia="方正小标宋简体" w:cs="Times New Roman"/>
          <w:sz w:val="44"/>
          <w:szCs w:val="44"/>
        </w:rPr>
        <w:t>（</w:t>
      </w:r>
      <w:r>
        <w:rPr>
          <w:rFonts w:hint="eastAsia" w:ascii="方正小标宋简体" w:hAnsi="Times New Roman" w:eastAsia="方正小标宋简体" w:cs="Times New Roman"/>
          <w:sz w:val="44"/>
          <w:szCs w:val="44"/>
          <w:lang w:eastAsia="ar-SA"/>
        </w:rPr>
        <w:t>试行</w:t>
      </w:r>
      <w:r>
        <w:rPr>
          <w:rFonts w:hint="eastAsia" w:ascii="方正小标宋简体" w:hAnsi="Times New Roman" w:eastAsia="方正小标宋简体" w:cs="Times New Roman"/>
          <w:sz w:val="44"/>
          <w:szCs w:val="44"/>
        </w:rPr>
        <w:t>）</w:t>
      </w:r>
    </w:p>
    <w:p>
      <w:pPr>
        <w:spacing w:line="700" w:lineRule="exact"/>
        <w:jc w:val="center"/>
        <w:rPr>
          <w:rFonts w:ascii="方正小标宋简体" w:eastAsia="方正小标宋简体"/>
          <w:sz w:val="44"/>
          <w:szCs w:val="44"/>
        </w:rPr>
      </w:pPr>
    </w:p>
    <w:p>
      <w:pPr>
        <w:keepNext w:val="0"/>
        <w:keepLines w:val="0"/>
        <w:pageBreakBefore w:val="0"/>
        <w:widowControl/>
        <w:suppressAutoHyphens/>
        <w:kinsoku/>
        <w:wordWrap/>
        <w:overflowPunct/>
        <w:topLinePunct w:val="0"/>
        <w:bidi w:val="0"/>
        <w:adjustRightInd/>
        <w:spacing w:line="560" w:lineRule="exact"/>
        <w:ind w:firstLine="629"/>
        <w:jc w:val="both"/>
        <w:textAlignment w:val="auto"/>
        <w:rPr>
          <w:rFonts w:ascii="Times New Roman" w:hAnsi="Times New Roman" w:eastAsia="仿宋_GB2312" w:cs="Times New Roman"/>
          <w:color w:val="auto"/>
          <w:kern w:val="0"/>
          <w:sz w:val="32"/>
          <w:szCs w:val="32"/>
          <w:lang w:eastAsia="ar-SA"/>
        </w:rPr>
      </w:pPr>
      <w:r>
        <w:rPr>
          <w:rFonts w:hint="eastAsia" w:ascii="Times New Roman" w:hAnsi="Times New Roman" w:eastAsia="仿宋_GB2312" w:cs="Times New Roman"/>
          <w:color w:val="auto"/>
          <w:kern w:val="0"/>
          <w:sz w:val="32"/>
          <w:szCs w:val="32"/>
          <w:lang w:eastAsia="ar-SA"/>
        </w:rPr>
        <w:t>为规范我区中药材产地趁鲜切制加工行为，从源头上管控中药质量，推动中药材产地加工炮制一体化发展，助力乡村振兴，</w:t>
      </w:r>
      <w:r>
        <w:rPr>
          <w:rFonts w:hint="eastAsia" w:ascii="Times New Roman" w:hAnsi="Times New Roman" w:eastAsia="仿宋_GB2312" w:cs="Times New Roman"/>
          <w:color w:val="auto"/>
          <w:kern w:val="0"/>
          <w:sz w:val="32"/>
          <w:szCs w:val="32"/>
        </w:rPr>
        <w:t>促进</w:t>
      </w:r>
      <w:r>
        <w:rPr>
          <w:rFonts w:hint="eastAsia" w:ascii="Times New Roman" w:hAnsi="Times New Roman" w:eastAsia="仿宋_GB2312" w:cs="Times New Roman"/>
          <w:color w:val="auto"/>
          <w:kern w:val="0"/>
          <w:sz w:val="32"/>
          <w:szCs w:val="32"/>
          <w:lang w:eastAsia="ar-SA"/>
        </w:rPr>
        <w:t>中药产业高质量发展，根据国家药监局综合司《关于对中药饮片生产企业采购产地加工（趁鲜切制）中药材有关问题的复函》（药监综药管函〔2021〕367号，以下简称“复函”）等文件要求，结合我区实际，就规范我区中药材产地趁鲜切制加工工作提出如下指导意见。</w:t>
      </w:r>
    </w:p>
    <w:p>
      <w:pPr>
        <w:keepNext w:val="0"/>
        <w:keepLines w:val="0"/>
        <w:pageBreakBefore w:val="0"/>
        <w:widowControl/>
        <w:kinsoku/>
        <w:wordWrap/>
        <w:overflowPunct/>
        <w:topLinePunct w:val="0"/>
        <w:bidi w:val="0"/>
        <w:adjustRightInd/>
        <w:spacing w:line="560" w:lineRule="exact"/>
        <w:ind w:firstLine="629"/>
        <w:jc w:val="both"/>
        <w:textAlignment w:val="auto"/>
        <w:rPr>
          <w:rFonts w:ascii="黑体" w:hAnsi="黑体" w:eastAsia="黑体" w:cs="黑体"/>
          <w:bCs/>
          <w:color w:val="auto"/>
          <w:kern w:val="0"/>
          <w:sz w:val="32"/>
          <w:szCs w:val="32"/>
        </w:rPr>
      </w:pPr>
      <w:r>
        <w:rPr>
          <w:rFonts w:hint="eastAsia" w:ascii="黑体" w:hAnsi="黑体" w:eastAsia="黑体" w:cs="黑体"/>
          <w:bCs/>
          <w:color w:val="auto"/>
          <w:kern w:val="0"/>
          <w:sz w:val="32"/>
          <w:szCs w:val="32"/>
        </w:rPr>
        <w:t>一、指导思想</w:t>
      </w:r>
    </w:p>
    <w:p>
      <w:pPr>
        <w:keepNext w:val="0"/>
        <w:keepLines w:val="0"/>
        <w:pageBreakBefore w:val="0"/>
        <w:widowControl/>
        <w:suppressAutoHyphens/>
        <w:kinsoku/>
        <w:wordWrap/>
        <w:overflowPunct/>
        <w:topLinePunct w:val="0"/>
        <w:bidi w:val="0"/>
        <w:adjustRightInd/>
        <w:spacing w:line="560" w:lineRule="exact"/>
        <w:ind w:firstLine="629"/>
        <w:jc w:val="both"/>
        <w:textAlignment w:val="auto"/>
        <w:rPr>
          <w:rFonts w:ascii="Times New Roman" w:hAnsi="Times New Roman" w:eastAsia="仿宋" w:cs="Times New Roman"/>
          <w:color w:val="auto"/>
          <w:sz w:val="32"/>
          <w:szCs w:val="32"/>
          <w:lang w:eastAsia="ar-SA"/>
        </w:rPr>
      </w:pPr>
      <w:r>
        <w:rPr>
          <w:rFonts w:hint="eastAsia" w:ascii="Times New Roman" w:hAnsi="Times New Roman" w:eastAsia="仿宋" w:cs="Times New Roman"/>
          <w:color w:val="auto"/>
          <w:sz w:val="32"/>
          <w:szCs w:val="32"/>
          <w:lang w:eastAsia="ar-SA"/>
        </w:rPr>
        <w:t>以习近平总书记关于中医药工作的重要论述为指导，坚持以人民为中心的发展理念，全面贯彻落实《中共中央国务院关于促进中医药传承创新发展的意见》《国家药监局关于促进中药传承创新发展的实施意见》和我区中药产业高质量发展要求，根据《</w:t>
      </w:r>
      <w:r>
        <w:rPr>
          <w:rFonts w:hint="eastAsia" w:ascii="Times New Roman" w:hAnsi="Times New Roman" w:eastAsia="仿宋" w:cs="Times New Roman"/>
          <w:color w:val="auto"/>
          <w:sz w:val="32"/>
          <w:szCs w:val="32"/>
        </w:rPr>
        <w:t>中华人民共和国</w:t>
      </w:r>
      <w:r>
        <w:rPr>
          <w:rFonts w:hint="eastAsia" w:ascii="Times New Roman" w:hAnsi="Times New Roman" w:eastAsia="仿宋" w:cs="Times New Roman"/>
          <w:color w:val="auto"/>
          <w:sz w:val="32"/>
          <w:szCs w:val="32"/>
          <w:lang w:eastAsia="ar-SA"/>
        </w:rPr>
        <w:t>药品管理法》《药品生产质量管理规范》《中药材生产质量管理规范》等相关规定</w:t>
      </w:r>
      <w:r>
        <w:rPr>
          <w:rFonts w:hint="eastAsia"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lang w:eastAsia="ar-SA"/>
        </w:rPr>
        <w:t>通过加强中药生产企业监管，规范我区中药材产地趁鲜切制加工行为，提升我区中药材质量，促进中药传承创新发展，确保人民群众用药安全。 </w:t>
      </w:r>
    </w:p>
    <w:p>
      <w:pPr>
        <w:keepNext w:val="0"/>
        <w:keepLines w:val="0"/>
        <w:pageBreakBefore w:val="0"/>
        <w:widowControl/>
        <w:kinsoku/>
        <w:wordWrap/>
        <w:overflowPunct/>
        <w:topLinePunct w:val="0"/>
        <w:bidi w:val="0"/>
        <w:adjustRightInd/>
        <w:spacing w:line="560" w:lineRule="exact"/>
        <w:ind w:firstLine="629"/>
        <w:jc w:val="both"/>
        <w:textAlignment w:val="auto"/>
        <w:rPr>
          <w:rFonts w:ascii="黑体" w:hAnsi="黑体" w:eastAsia="黑体" w:cs="黑体"/>
          <w:bCs/>
          <w:color w:val="auto"/>
          <w:kern w:val="0"/>
          <w:sz w:val="32"/>
          <w:szCs w:val="32"/>
        </w:rPr>
      </w:pPr>
      <w:r>
        <w:rPr>
          <w:rFonts w:hint="eastAsia" w:ascii="黑体" w:hAnsi="黑体" w:eastAsia="黑体" w:cs="黑体"/>
          <w:bCs/>
          <w:color w:val="auto"/>
          <w:kern w:val="0"/>
          <w:sz w:val="32"/>
          <w:szCs w:val="32"/>
        </w:rPr>
        <w:t>二、工作目标</w:t>
      </w:r>
    </w:p>
    <w:p>
      <w:pPr>
        <w:keepNext w:val="0"/>
        <w:keepLines w:val="0"/>
        <w:pageBreakBefore w:val="0"/>
        <w:widowControl/>
        <w:suppressAutoHyphens/>
        <w:kinsoku/>
        <w:wordWrap/>
        <w:overflowPunct/>
        <w:topLinePunct w:val="0"/>
        <w:bidi w:val="0"/>
        <w:adjustRightInd/>
        <w:spacing w:line="560" w:lineRule="exact"/>
        <w:ind w:firstLine="629"/>
        <w:jc w:val="both"/>
        <w:textAlignment w:val="auto"/>
        <w:rPr>
          <w:rFonts w:ascii="仿宋_GB2312" w:hAnsi="Times New Roman" w:eastAsia="仿宋_GB2312" w:cs="宋体"/>
          <w:color w:val="auto"/>
          <w:sz w:val="32"/>
          <w:szCs w:val="32"/>
          <w:lang w:eastAsia="ar-SA"/>
        </w:rPr>
      </w:pPr>
      <w:r>
        <w:rPr>
          <w:rFonts w:hint="eastAsia" w:ascii="仿宋_GB2312" w:hAnsi="Times New Roman" w:eastAsia="仿宋_GB2312" w:cs="宋体"/>
          <w:color w:val="auto"/>
          <w:sz w:val="32"/>
          <w:szCs w:val="32"/>
          <w:lang w:eastAsia="ar-SA"/>
        </w:rPr>
        <w:t>贯彻落实国家对中药材产地趁鲜切制工作的有关要求，加强对中药材产地趁鲜切制管理，以广西道地中药材及大宗地产中药材为主，解决中药材加工过程中因“二次浸润”、切制加工造成的成分流失和损耗增大等问题，探索产地加工与炮制一体化发展，将中药材种植、采收、产地加工等过程纳入中药生产企业质量管理体系，督促企业落实主体责任，提升中药全产业链质量控制水平。</w:t>
      </w:r>
    </w:p>
    <w:p>
      <w:pPr>
        <w:keepNext w:val="0"/>
        <w:keepLines w:val="0"/>
        <w:pageBreakBefore w:val="0"/>
        <w:widowControl/>
        <w:kinsoku/>
        <w:wordWrap/>
        <w:overflowPunct/>
        <w:topLinePunct w:val="0"/>
        <w:bidi w:val="0"/>
        <w:adjustRightInd/>
        <w:spacing w:line="560" w:lineRule="exact"/>
        <w:ind w:firstLine="629"/>
        <w:jc w:val="both"/>
        <w:textAlignment w:val="auto"/>
        <w:rPr>
          <w:rFonts w:ascii="黑体" w:hAnsi="黑体" w:eastAsia="黑体" w:cs="黑体"/>
          <w:bCs/>
          <w:color w:val="auto"/>
          <w:kern w:val="0"/>
          <w:sz w:val="32"/>
          <w:szCs w:val="32"/>
        </w:rPr>
      </w:pPr>
      <w:r>
        <w:rPr>
          <w:rFonts w:hint="eastAsia" w:ascii="黑体" w:hAnsi="黑体" w:eastAsia="黑体" w:cs="黑体"/>
          <w:bCs/>
          <w:color w:val="auto"/>
          <w:kern w:val="0"/>
          <w:sz w:val="32"/>
          <w:szCs w:val="32"/>
        </w:rPr>
        <w:t>三、工作任务</w:t>
      </w:r>
    </w:p>
    <w:p>
      <w:pPr>
        <w:keepNext w:val="0"/>
        <w:keepLines w:val="0"/>
        <w:pageBreakBefore w:val="0"/>
        <w:widowControl/>
        <w:kinsoku/>
        <w:wordWrap/>
        <w:overflowPunct/>
        <w:topLinePunct w:val="0"/>
        <w:bidi w:val="0"/>
        <w:adjustRightInd/>
        <w:spacing w:line="560" w:lineRule="exact"/>
        <w:ind w:firstLine="629"/>
        <w:jc w:val="both"/>
        <w:textAlignment w:val="auto"/>
        <w:rPr>
          <w:rFonts w:ascii="楷体_GB2312" w:hAnsi="楷体_GB2312" w:eastAsia="楷体_GB2312" w:cs="楷体_GB2312"/>
          <w:bCs/>
          <w:color w:val="auto"/>
          <w:kern w:val="0"/>
          <w:sz w:val="32"/>
          <w:szCs w:val="32"/>
        </w:rPr>
      </w:pPr>
      <w:r>
        <w:rPr>
          <w:rFonts w:hint="eastAsia" w:ascii="楷体_GB2312" w:hAnsi="楷体_GB2312" w:eastAsia="楷体_GB2312" w:cs="楷体_GB2312"/>
          <w:bCs/>
          <w:color w:val="auto"/>
          <w:kern w:val="0"/>
          <w:sz w:val="32"/>
          <w:szCs w:val="32"/>
        </w:rPr>
        <w:t>（一）制定产地鲜切药材品种目录</w:t>
      </w:r>
    </w:p>
    <w:p>
      <w:pPr>
        <w:keepNext w:val="0"/>
        <w:keepLines w:val="0"/>
        <w:pageBreakBefore w:val="0"/>
        <w:widowControl/>
        <w:kinsoku/>
        <w:wordWrap/>
        <w:overflowPunct/>
        <w:topLinePunct w:val="0"/>
        <w:bidi w:val="0"/>
        <w:adjustRightInd/>
        <w:spacing w:line="560" w:lineRule="exact"/>
        <w:ind w:firstLine="629"/>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b/>
          <w:bCs/>
          <w:color w:val="auto"/>
          <w:kern w:val="0"/>
          <w:sz w:val="32"/>
          <w:szCs w:val="32"/>
        </w:rPr>
        <w:t>1</w:t>
      </w:r>
      <w:r>
        <w:rPr>
          <w:rStyle w:val="7"/>
          <w:rFonts w:hint="default" w:ascii="Times New Roman" w:hAnsi="Times New Roman" w:eastAsia="仿宋_GB2312" w:cs="Times New Roman"/>
          <w:b/>
          <w:bCs/>
          <w:color w:val="auto"/>
          <w:kern w:val="0"/>
          <w:sz w:val="32"/>
          <w:szCs w:val="32"/>
        </w:rPr>
        <w:t xml:space="preserve">. </w:t>
      </w:r>
      <w:r>
        <w:rPr>
          <w:rFonts w:hint="default" w:ascii="Times New Roman" w:hAnsi="Times New Roman" w:eastAsia="仿宋_GB2312" w:cs="Times New Roman"/>
          <w:b/>
          <w:bCs/>
          <w:color w:val="auto"/>
          <w:sz w:val="32"/>
          <w:szCs w:val="32"/>
        </w:rPr>
        <w:t>纳入目录的品种。</w:t>
      </w:r>
      <w:r>
        <w:rPr>
          <w:rFonts w:hint="default" w:ascii="Times New Roman" w:hAnsi="Times New Roman" w:eastAsia="仿宋_GB2312" w:cs="Times New Roman"/>
          <w:color w:val="auto"/>
          <w:kern w:val="0"/>
          <w:sz w:val="32"/>
          <w:szCs w:val="32"/>
        </w:rPr>
        <w:t>应当是区内有较大规模种植和产地加工传统，适宜趁鲜切制，且有依据支持趁鲜切制对质量无不良影响的优势品种。</w:t>
      </w:r>
      <w:r>
        <w:rPr>
          <w:rFonts w:hint="default" w:ascii="Times New Roman" w:hAnsi="Times New Roman" w:eastAsia="仿宋" w:cs="Times New Roman"/>
          <w:color w:val="auto"/>
          <w:kern w:val="0"/>
          <w:sz w:val="32"/>
          <w:szCs w:val="32"/>
        </w:rPr>
        <w:t>《广西</w:t>
      </w:r>
      <w:r>
        <w:rPr>
          <w:rFonts w:hint="eastAsia" w:ascii="Times New Roman" w:hAnsi="Times New Roman" w:eastAsia="仿宋" w:cs="Times New Roman"/>
          <w:color w:val="auto"/>
          <w:kern w:val="0"/>
          <w:sz w:val="32"/>
          <w:szCs w:val="32"/>
          <w:lang w:eastAsia="zh-CN"/>
        </w:rPr>
        <w:t>壮族自治区</w:t>
      </w:r>
      <w:r>
        <w:rPr>
          <w:rFonts w:hint="default" w:ascii="Times New Roman" w:hAnsi="Times New Roman" w:eastAsia="仿宋" w:cs="Times New Roman"/>
          <w:color w:val="auto"/>
          <w:kern w:val="0"/>
          <w:sz w:val="32"/>
          <w:szCs w:val="32"/>
        </w:rPr>
        <w:t>中药材产地趁鲜切制加工品种目录》（</w:t>
      </w:r>
      <w:r>
        <w:rPr>
          <w:rFonts w:hint="default" w:ascii="Times New Roman" w:hAnsi="Times New Roman" w:eastAsia="仿宋_GB2312" w:cs="Times New Roman"/>
          <w:color w:val="auto"/>
          <w:kern w:val="0"/>
          <w:sz w:val="32"/>
          <w:szCs w:val="32"/>
        </w:rPr>
        <w:t>以下简称《品种目录》）由中药生产企业等相关单位提出，通过公开征求意见、组织专家论证、</w:t>
      </w:r>
      <w:r>
        <w:rPr>
          <w:rFonts w:hint="default" w:ascii="Times New Roman" w:hAnsi="Times New Roman" w:eastAsia="仿宋_GB2312" w:cs="Times New Roman"/>
          <w:color w:val="auto"/>
          <w:kern w:val="0"/>
          <w:sz w:val="32"/>
          <w:szCs w:val="32"/>
          <w:lang w:eastAsia="zh-CN"/>
        </w:rPr>
        <w:t>自治区</w:t>
      </w:r>
      <w:r>
        <w:rPr>
          <w:rFonts w:hint="default" w:ascii="Times New Roman" w:hAnsi="Times New Roman" w:eastAsia="仿宋_GB2312" w:cs="Times New Roman"/>
          <w:color w:val="auto"/>
          <w:kern w:val="0"/>
          <w:sz w:val="32"/>
          <w:szCs w:val="32"/>
        </w:rPr>
        <w:t>药监局审核等程序确定，并依法进行公开。同时</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根据广西道地中药材种植养殖和</w:t>
      </w:r>
      <w:r>
        <w:rPr>
          <w:rFonts w:hint="default" w:ascii="Times New Roman" w:hAnsi="Times New Roman" w:eastAsia="仿宋" w:cs="Times New Roman"/>
          <w:color w:val="auto"/>
          <w:sz w:val="32"/>
          <w:szCs w:val="32"/>
        </w:rPr>
        <w:t>产品质量风险监测情况</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 w:cs="Times New Roman"/>
          <w:color w:val="auto"/>
          <w:sz w:val="32"/>
          <w:szCs w:val="32"/>
        </w:rPr>
        <w:t>对《品种目录》进行动态调整。</w:t>
      </w:r>
    </w:p>
    <w:p>
      <w:pPr>
        <w:keepNext w:val="0"/>
        <w:keepLines w:val="0"/>
        <w:pageBreakBefore w:val="0"/>
        <w:kinsoku/>
        <w:wordWrap/>
        <w:overflowPunct/>
        <w:topLinePunct w:val="0"/>
        <w:bidi w:val="0"/>
        <w:adjustRightInd/>
        <w:spacing w:line="560" w:lineRule="exact"/>
        <w:ind w:firstLine="643"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_GB2312" w:cs="Times New Roman"/>
          <w:b/>
          <w:bCs/>
          <w:color w:val="auto"/>
          <w:kern w:val="0"/>
          <w:sz w:val="32"/>
          <w:szCs w:val="32"/>
        </w:rPr>
        <w:t>2</w:t>
      </w:r>
      <w:r>
        <w:rPr>
          <w:rStyle w:val="7"/>
          <w:rFonts w:hint="default" w:ascii="Times New Roman" w:hAnsi="Times New Roman" w:eastAsia="仿宋_GB2312" w:cs="Times New Roman"/>
          <w:b/>
          <w:bCs/>
          <w:color w:val="auto"/>
          <w:kern w:val="0"/>
          <w:sz w:val="32"/>
          <w:szCs w:val="32"/>
        </w:rPr>
        <w:t xml:space="preserve">. </w:t>
      </w:r>
      <w:r>
        <w:rPr>
          <w:rFonts w:hint="default" w:ascii="Times New Roman" w:hAnsi="Times New Roman" w:eastAsia="仿宋_GB2312" w:cs="Times New Roman"/>
          <w:b/>
          <w:bCs/>
          <w:color w:val="auto"/>
          <w:kern w:val="0"/>
          <w:sz w:val="32"/>
          <w:szCs w:val="32"/>
        </w:rPr>
        <w:t>不纳入目录的品种。</w:t>
      </w:r>
      <w:r>
        <w:rPr>
          <w:rFonts w:hint="default" w:ascii="Times New Roman" w:hAnsi="Times New Roman" w:eastAsia="仿宋" w:cs="Times New Roman"/>
          <w:color w:val="auto"/>
          <w:sz w:val="32"/>
          <w:szCs w:val="32"/>
        </w:rPr>
        <w:t>有下列情形之一的中药材，不纳入《品种目录》：</w:t>
      </w:r>
    </w:p>
    <w:p>
      <w:pPr>
        <w:keepNext w:val="0"/>
        <w:keepLines w:val="0"/>
        <w:pageBreakBefore w:val="0"/>
        <w:suppressAutoHyphens/>
        <w:kinsoku/>
        <w:wordWrap/>
        <w:overflowPunct/>
        <w:topLinePunct w:val="0"/>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ar-SA"/>
        </w:rPr>
      </w:pPr>
      <w:r>
        <w:rPr>
          <w:rFonts w:hint="default" w:ascii="Times New Roman" w:hAnsi="Times New Roman" w:eastAsia="仿宋_GB2312" w:cs="Times New Roman"/>
          <w:color w:val="auto"/>
          <w:sz w:val="32"/>
          <w:szCs w:val="32"/>
          <w:lang w:eastAsia="ar-SA"/>
        </w:rPr>
        <w:t>（1）药材基原混乱，趁鲜切制后容易掺入伪品的；</w:t>
      </w:r>
    </w:p>
    <w:p>
      <w:pPr>
        <w:keepNext w:val="0"/>
        <w:keepLines w:val="0"/>
        <w:pageBreakBefore w:val="0"/>
        <w:suppressAutoHyphens/>
        <w:kinsoku/>
        <w:wordWrap/>
        <w:overflowPunct/>
        <w:topLinePunct w:val="0"/>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ar-SA"/>
        </w:rPr>
      </w:pPr>
      <w:r>
        <w:rPr>
          <w:rFonts w:hint="default" w:ascii="Times New Roman" w:hAnsi="Times New Roman" w:eastAsia="仿宋_GB2312" w:cs="Times New Roman"/>
          <w:color w:val="auto"/>
          <w:sz w:val="32"/>
          <w:szCs w:val="32"/>
          <w:lang w:eastAsia="ar-SA"/>
        </w:rPr>
        <w:t>（2）趁鲜切制对质量有不利影响的</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ar-SA"/>
        </w:rPr>
        <w:t>如主要成分易挥发流失等</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ar-SA"/>
        </w:rPr>
        <w:t>；</w:t>
      </w:r>
    </w:p>
    <w:p>
      <w:pPr>
        <w:keepNext w:val="0"/>
        <w:keepLines w:val="0"/>
        <w:pageBreakBefore w:val="0"/>
        <w:suppressAutoHyphens/>
        <w:kinsoku/>
        <w:wordWrap/>
        <w:overflowPunct/>
        <w:topLinePunct w:val="0"/>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ar-SA"/>
        </w:rPr>
      </w:pPr>
      <w:r>
        <w:rPr>
          <w:rFonts w:hint="default" w:ascii="Times New Roman" w:hAnsi="Times New Roman" w:eastAsia="仿宋_GB2312" w:cs="Times New Roman"/>
          <w:color w:val="auto"/>
          <w:sz w:val="32"/>
          <w:szCs w:val="32"/>
          <w:lang w:eastAsia="ar-SA"/>
        </w:rPr>
        <w:t>（3）不利于储存、运输的；</w:t>
      </w:r>
    </w:p>
    <w:p>
      <w:pPr>
        <w:keepNext w:val="0"/>
        <w:keepLines w:val="0"/>
        <w:pageBreakBefore w:val="0"/>
        <w:suppressAutoHyphens/>
        <w:kinsoku/>
        <w:wordWrap/>
        <w:overflowPunct/>
        <w:topLinePunct w:val="0"/>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ar-SA"/>
        </w:rPr>
      </w:pPr>
      <w:r>
        <w:rPr>
          <w:rFonts w:hint="default" w:ascii="Times New Roman" w:hAnsi="Times New Roman" w:eastAsia="仿宋_GB2312" w:cs="Times New Roman"/>
          <w:color w:val="auto"/>
          <w:sz w:val="32"/>
          <w:szCs w:val="32"/>
          <w:lang w:eastAsia="ar-SA"/>
        </w:rPr>
        <w:t>（4）尚无法实现较大规模或较规范种植、养殖的；</w:t>
      </w:r>
    </w:p>
    <w:p>
      <w:pPr>
        <w:keepNext w:val="0"/>
        <w:keepLines w:val="0"/>
        <w:pageBreakBefore w:val="0"/>
        <w:suppressAutoHyphens/>
        <w:kinsoku/>
        <w:wordWrap/>
        <w:overflowPunct/>
        <w:topLinePunct w:val="0"/>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lang w:eastAsia="ar-SA"/>
        </w:rPr>
      </w:pPr>
      <w:r>
        <w:rPr>
          <w:rFonts w:hint="default" w:ascii="Times New Roman" w:hAnsi="Times New Roman" w:eastAsia="仿宋_GB2312" w:cs="Times New Roman"/>
          <w:color w:val="auto"/>
          <w:sz w:val="32"/>
          <w:szCs w:val="32"/>
          <w:lang w:eastAsia="ar-SA"/>
        </w:rPr>
        <w:t>（5）存在趁鲜切制风险较高等其他不宜纳入情形的。</w:t>
      </w:r>
    </w:p>
    <w:p>
      <w:pPr>
        <w:keepNext w:val="0"/>
        <w:keepLines w:val="0"/>
        <w:pageBreakBefore w:val="0"/>
        <w:widowControl/>
        <w:kinsoku/>
        <w:wordWrap/>
        <w:overflowPunct/>
        <w:topLinePunct w:val="0"/>
        <w:bidi w:val="0"/>
        <w:adjustRightInd/>
        <w:spacing w:line="560" w:lineRule="exact"/>
        <w:ind w:firstLine="629"/>
        <w:jc w:val="both"/>
        <w:textAlignment w:val="auto"/>
        <w:rPr>
          <w:rFonts w:ascii="楷体_GB2312" w:hAnsi="楷体_GB2312" w:eastAsia="楷体_GB2312" w:cs="楷体_GB2312"/>
          <w:bCs/>
          <w:color w:val="auto"/>
          <w:kern w:val="0"/>
          <w:sz w:val="32"/>
          <w:szCs w:val="32"/>
        </w:rPr>
      </w:pPr>
      <w:r>
        <w:rPr>
          <w:rFonts w:hint="eastAsia" w:ascii="楷体_GB2312" w:hAnsi="楷体_GB2312" w:eastAsia="楷体_GB2312" w:cs="楷体_GB2312"/>
          <w:bCs/>
          <w:color w:val="auto"/>
          <w:kern w:val="0"/>
          <w:sz w:val="32"/>
          <w:szCs w:val="32"/>
        </w:rPr>
        <w:t>（二）规范产地趁鲜切制加工行为</w:t>
      </w:r>
    </w:p>
    <w:p>
      <w:pPr>
        <w:keepNext w:val="0"/>
        <w:keepLines w:val="0"/>
        <w:pageBreakBefore w:val="0"/>
        <w:kinsoku/>
        <w:wordWrap/>
        <w:overflowPunct/>
        <w:topLinePunct w:val="0"/>
        <w:autoSpaceDE w:val="0"/>
        <w:autoSpaceDN w:val="0"/>
        <w:bidi w:val="0"/>
        <w:adjustRightInd/>
        <w:snapToGrid w:val="0"/>
        <w:spacing w:line="560" w:lineRule="exact"/>
        <w:jc w:val="both"/>
        <w:textAlignment w:val="auto"/>
        <w:rPr>
          <w:rFonts w:hint="default" w:ascii="Times New Roman" w:hAnsi="Times New Roman" w:eastAsia="仿宋_GB2312" w:cs="Times New Roman"/>
          <w:color w:val="auto"/>
          <w:kern w:val="0"/>
          <w:sz w:val="32"/>
          <w:szCs w:val="32"/>
        </w:rPr>
      </w:pPr>
      <w:r>
        <w:rPr>
          <w:rFonts w:ascii="Times New Roman" w:hAnsi="Times New Roman" w:eastAsia="仿宋_GB2312" w:cs="Times New Roman"/>
          <w:bCs/>
          <w:color w:val="auto"/>
          <w:kern w:val="0"/>
          <w:sz w:val="32"/>
          <w:szCs w:val="32"/>
        </w:rPr>
        <w:t xml:space="preserve">  </w:t>
      </w:r>
      <w:r>
        <w:rPr>
          <w:rFonts w:hint="default" w:ascii="Times New Roman" w:hAnsi="Times New Roman" w:eastAsia="仿宋_GB2312" w:cs="Times New Roman"/>
          <w:bCs/>
          <w:color w:val="auto"/>
          <w:kern w:val="0"/>
          <w:sz w:val="32"/>
          <w:szCs w:val="32"/>
        </w:rPr>
        <w:t xml:space="preserve">   1. 趁鲜</w:t>
      </w:r>
      <w:r>
        <w:rPr>
          <w:rFonts w:hint="default" w:ascii="Times New Roman" w:hAnsi="Times New Roman" w:eastAsia="仿宋_GB2312" w:cs="Times New Roman"/>
          <w:color w:val="auto"/>
          <w:kern w:val="0"/>
          <w:sz w:val="32"/>
          <w:szCs w:val="32"/>
        </w:rPr>
        <w:t>切制加工品种要求。符合以下</w:t>
      </w:r>
      <w:r>
        <w:rPr>
          <w:rFonts w:hint="default" w:ascii="Times New Roman" w:hAnsi="Times New Roman" w:eastAsia="仿宋" w:cs="Times New Roman"/>
          <w:color w:val="auto"/>
          <w:sz w:val="32"/>
          <w:szCs w:val="32"/>
        </w:rPr>
        <w:t>情形之一的</w:t>
      </w:r>
      <w:r>
        <w:rPr>
          <w:rFonts w:hint="default" w:ascii="Times New Roman" w:hAnsi="Times New Roman" w:eastAsia="仿宋_GB2312" w:cs="Times New Roman"/>
          <w:color w:val="auto"/>
          <w:kern w:val="0"/>
          <w:sz w:val="32"/>
          <w:szCs w:val="32"/>
        </w:rPr>
        <w:t>，允许产地趁鲜切制加工：</w:t>
      </w:r>
    </w:p>
    <w:p>
      <w:pPr>
        <w:keepNext w:val="0"/>
        <w:keepLines w:val="0"/>
        <w:pageBreakBefore w:val="0"/>
        <w:kinsoku/>
        <w:wordWrap/>
        <w:overflowPunct/>
        <w:topLinePunct w:val="0"/>
        <w:autoSpaceDE w:val="0"/>
        <w:autoSpaceDN w:val="0"/>
        <w:bidi w:val="0"/>
        <w:adjustRightInd/>
        <w:snapToGrid w:val="0"/>
        <w:spacing w:line="560" w:lineRule="exact"/>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 xml:space="preserve">    （1）国家药品标准、《广西壮族自治区中药饮片炮制规范》《广西壮族自治区中药材标准》《广西壮族自治区壮药质量标准》《广西壮族自治区瑶药材质量标准》收载允许趁鲜切制加工的中药材品种；</w:t>
      </w:r>
    </w:p>
    <w:p>
      <w:pPr>
        <w:keepNext w:val="0"/>
        <w:keepLines w:val="0"/>
        <w:pageBreakBefore w:val="0"/>
        <w:kinsoku/>
        <w:wordWrap/>
        <w:overflowPunct/>
        <w:topLinePunct w:val="0"/>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（2）列入《品种目录》的中药材品种。</w:t>
      </w:r>
    </w:p>
    <w:p>
      <w:pPr>
        <w:keepNext w:val="0"/>
        <w:keepLines w:val="0"/>
        <w:pageBreakBefore w:val="0"/>
        <w:kinsoku/>
        <w:wordWrap/>
        <w:overflowPunct/>
        <w:topLinePunct w:val="0"/>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rPr>
        <w:t>2.加工条件。</w:t>
      </w:r>
      <w:r>
        <w:rPr>
          <w:rFonts w:hint="default" w:ascii="Times New Roman" w:hAnsi="Times New Roman" w:eastAsia="仿宋_GB2312" w:cs="Times New Roman"/>
          <w:color w:val="auto"/>
          <w:sz w:val="32"/>
          <w:szCs w:val="32"/>
        </w:rPr>
        <w:t>中药材产地趁鲜切制加工是中药生产企业的前端延伸，中药生产企业对鲜切药材的质量安全承担主体责任。中药生产企业可自建加工点（产地加工企业）或向适当的加工点协议采购鲜切药材，并将质量管理体系延伸到该药材的种植、采收、加工等各环节。中药生产企业应与加工点签订合同和质量协议，严格审核加工点的质量管理体系，条件至少应包括以下内容：</w:t>
      </w:r>
    </w:p>
    <w:p>
      <w:pPr>
        <w:keepNext w:val="0"/>
        <w:keepLines w:val="0"/>
        <w:pageBreakBefore w:val="0"/>
        <w:kinsoku/>
        <w:wordWrap/>
        <w:overflowPunct/>
        <w:topLinePunct w:val="0"/>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（1）经当地政府相关部门确认的中药材产地趁鲜加工点，或成规模的传统种植基地设置的中药材产地趁鲜加工点。</w:t>
      </w:r>
    </w:p>
    <w:p>
      <w:pPr>
        <w:keepNext w:val="0"/>
        <w:keepLines w:val="0"/>
        <w:pageBreakBefore w:val="0"/>
        <w:kinsoku/>
        <w:wordWrap/>
        <w:overflowPunct/>
        <w:topLinePunct w:val="0"/>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（2）加工点应具备相应的质量管理体系，配备与其加工品种、规模相适应的专业技术人员及</w:t>
      </w:r>
      <w:r>
        <w:rPr>
          <w:rFonts w:hint="default" w:ascii="Times New Roman" w:hAnsi="Times New Roman" w:eastAsia="仿宋_GB2312" w:cs="Times New Roman"/>
          <w:color w:val="auto"/>
          <w:kern w:val="0"/>
          <w:sz w:val="32"/>
          <w:szCs w:val="32"/>
        </w:rPr>
        <w:t>必要的清洗、分拣、切制、干燥、筛选、包装、仓储等设施设备</w:t>
      </w:r>
      <w:r>
        <w:rPr>
          <w:rFonts w:hint="default" w:ascii="Times New Roman" w:hAnsi="Times New Roman" w:eastAsia="仿宋_GB2312" w:cs="Times New Roman"/>
          <w:color w:val="auto"/>
          <w:sz w:val="32"/>
          <w:szCs w:val="32"/>
        </w:rPr>
        <w:t>，并具备配合中药生产企业落实药品质量管理要求的能力。</w:t>
      </w:r>
    </w:p>
    <w:p>
      <w:pPr>
        <w:keepNext w:val="0"/>
        <w:keepLines w:val="0"/>
        <w:pageBreakBefore w:val="0"/>
        <w:kinsoku/>
        <w:wordWrap/>
        <w:overflowPunct/>
        <w:topLinePunct w:val="0"/>
        <w:bidi w:val="0"/>
        <w:adjustRightInd/>
        <w:snapToGrid w:val="0"/>
        <w:spacing w:line="560" w:lineRule="exact"/>
        <w:ind w:firstLine="640" w:firstLineChars="200"/>
        <w:jc w:val="both"/>
        <w:textAlignment w:val="auto"/>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（3）中药生产企业通过对其质量保证能力和风险管理能力进行评估，符合要求的</w:t>
      </w:r>
      <w:r>
        <w:rPr>
          <w:rFonts w:hint="default" w:ascii="Times New Roman" w:hAnsi="Times New Roman" w:eastAsia="仿宋_GB2312" w:cs="Times New Roman"/>
          <w:color w:val="auto"/>
          <w:kern w:val="0"/>
          <w:sz w:val="32"/>
          <w:szCs w:val="32"/>
        </w:rPr>
        <w:t>签订合同和质量协议</w:t>
      </w:r>
      <w:r>
        <w:rPr>
          <w:rFonts w:hint="default" w:ascii="Times New Roman" w:hAnsi="Times New Roman" w:eastAsia="仿宋_GB2312" w:cs="Times New Roman"/>
          <w:color w:val="auto"/>
          <w:sz w:val="32"/>
          <w:szCs w:val="32"/>
        </w:rPr>
        <w:t>，约定质量责任、操作规程等内容，协议应体现中药生产企业对产地加工点的鲜切药</w:t>
      </w:r>
      <w:r>
        <w:rPr>
          <w:rFonts w:ascii="Times New Roman" w:hAnsi="Times New Roman" w:eastAsia="仿宋_GB2312" w:cs="Times New Roman"/>
          <w:color w:val="auto"/>
          <w:sz w:val="32"/>
          <w:szCs w:val="32"/>
        </w:rPr>
        <w:t>材质量安全承担完全主体责任。</w:t>
      </w:r>
    </w:p>
    <w:p>
      <w:pPr>
        <w:keepNext w:val="0"/>
        <w:keepLines w:val="0"/>
        <w:pageBreakBefore w:val="0"/>
        <w:kinsoku/>
        <w:wordWrap/>
        <w:overflowPunct/>
        <w:topLinePunct w:val="0"/>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rPr>
        <w:t>3.工艺流程。</w:t>
      </w:r>
      <w:r>
        <w:rPr>
          <w:rFonts w:hint="default" w:ascii="Times New Roman" w:hAnsi="Times New Roman" w:eastAsia="仿宋_GB2312" w:cs="Times New Roman"/>
          <w:color w:val="auto"/>
          <w:sz w:val="32"/>
          <w:szCs w:val="32"/>
        </w:rPr>
        <w:t>中药</w:t>
      </w:r>
      <w:r>
        <w:rPr>
          <w:rFonts w:hint="default" w:ascii="Times New Roman" w:hAnsi="Times New Roman" w:eastAsia="仿宋_GB2312" w:cs="Times New Roman"/>
          <w:color w:val="auto"/>
          <w:kern w:val="0"/>
          <w:sz w:val="32"/>
          <w:szCs w:val="32"/>
        </w:rPr>
        <w:t>生产企业应当按照品种制定产地趁鲜切制加工工艺流程和技术要求，并对工艺流程严格控制。工艺流程仅包括净选、</w:t>
      </w:r>
      <w:r>
        <w:rPr>
          <w:rFonts w:hint="default" w:ascii="Times New Roman" w:hAnsi="Times New Roman" w:eastAsia="仿宋_GB2312" w:cs="Times New Roman"/>
          <w:color w:val="auto"/>
          <w:sz w:val="32"/>
          <w:szCs w:val="32"/>
        </w:rPr>
        <w:t>清洗、</w:t>
      </w:r>
      <w:r>
        <w:rPr>
          <w:rFonts w:hint="default" w:ascii="Times New Roman" w:hAnsi="Times New Roman" w:eastAsia="仿宋_GB2312" w:cs="Times New Roman"/>
          <w:color w:val="auto"/>
          <w:kern w:val="0"/>
          <w:sz w:val="32"/>
          <w:szCs w:val="32"/>
        </w:rPr>
        <w:t>切制</w:t>
      </w:r>
      <w:r>
        <w:rPr>
          <w:rFonts w:hint="default" w:ascii="Times New Roman" w:hAnsi="Times New Roman" w:eastAsia="仿宋_GB2312" w:cs="Times New Roman"/>
          <w:color w:val="auto"/>
          <w:sz w:val="32"/>
          <w:szCs w:val="32"/>
        </w:rPr>
        <w:t>（片、段、块、瓣等）</w:t>
      </w:r>
      <w:r>
        <w:rPr>
          <w:rFonts w:hint="default" w:ascii="Times New Roman" w:hAnsi="Times New Roman" w:eastAsia="仿宋_GB2312" w:cs="Times New Roman"/>
          <w:color w:val="auto"/>
          <w:kern w:val="0"/>
          <w:sz w:val="32"/>
          <w:szCs w:val="32"/>
        </w:rPr>
        <w:t>、干燥、筛选、包装工序。加工时</w:t>
      </w:r>
      <w:r>
        <w:rPr>
          <w:rFonts w:hint="default" w:ascii="Times New Roman" w:hAnsi="Times New Roman" w:eastAsia="仿宋_GB2312" w:cs="Times New Roman"/>
          <w:color w:val="auto"/>
          <w:sz w:val="32"/>
          <w:szCs w:val="32"/>
        </w:rPr>
        <w:t>应当参照《药品生产质量管理规范》及其中药饮片附录（以下简称“中药饮片GMP”）、《中药材生产质量管理规范》（GAP）相关规定实施，应有完整准确的批生产记录。</w:t>
      </w:r>
    </w:p>
    <w:p>
      <w:pPr>
        <w:keepNext w:val="0"/>
        <w:keepLines w:val="0"/>
        <w:pageBreakBefore w:val="0"/>
        <w:widowControl/>
        <w:kinsoku/>
        <w:wordWrap/>
        <w:overflowPunct/>
        <w:topLinePunct w:val="0"/>
        <w:bidi w:val="0"/>
        <w:adjustRightInd/>
        <w:spacing w:line="560" w:lineRule="exact"/>
        <w:ind w:firstLine="629"/>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4.质量标准。</w:t>
      </w:r>
      <w:r>
        <w:rPr>
          <w:rFonts w:hint="default" w:ascii="Times New Roman" w:hAnsi="Times New Roman" w:eastAsia="仿宋_GB2312" w:cs="Times New Roman"/>
          <w:color w:val="auto"/>
          <w:sz w:val="32"/>
          <w:szCs w:val="32"/>
        </w:rPr>
        <w:t>中药生产企业使用产地鲜切药材，应制定与中药饮片质量标准相适应的中间产品质量标准</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rPr>
        <w:t>即中药材产地趁鲜切制品标准，作为企业标准，以保证最终产品符合预期用途和法定标准的规定</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kern w:val="0"/>
          <w:sz w:val="32"/>
          <w:szCs w:val="32"/>
        </w:rPr>
        <w:t>基原和关键质量指标（形态除外）符合国家药品标准等法定标准要求，同时鼓励</w:t>
      </w:r>
      <w:r>
        <w:rPr>
          <w:rFonts w:hint="default" w:ascii="Times New Roman" w:hAnsi="Times New Roman" w:eastAsia="仿宋_GB2312" w:cs="Times New Roman"/>
          <w:color w:val="auto"/>
          <w:sz w:val="32"/>
          <w:szCs w:val="32"/>
        </w:rPr>
        <w:t>中药</w:t>
      </w:r>
      <w:r>
        <w:rPr>
          <w:rFonts w:hint="default" w:ascii="Times New Roman" w:hAnsi="Times New Roman" w:eastAsia="仿宋_GB2312" w:cs="Times New Roman"/>
          <w:color w:val="auto"/>
          <w:kern w:val="0"/>
          <w:sz w:val="32"/>
          <w:szCs w:val="32"/>
        </w:rPr>
        <w:t>生产企业研究制定高于法定标准的企业内控质量标准。</w:t>
      </w:r>
    </w:p>
    <w:p>
      <w:pPr>
        <w:keepNext w:val="0"/>
        <w:keepLines w:val="0"/>
        <w:pageBreakBefore w:val="0"/>
        <w:widowControl/>
        <w:kinsoku/>
        <w:wordWrap/>
        <w:overflowPunct/>
        <w:topLinePunct w:val="0"/>
        <w:bidi w:val="0"/>
        <w:adjustRightInd/>
        <w:spacing w:line="560" w:lineRule="exact"/>
        <w:ind w:firstLine="629"/>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5.包装和标签。</w:t>
      </w:r>
      <w:r>
        <w:rPr>
          <w:rFonts w:hint="default" w:ascii="Times New Roman" w:hAnsi="Times New Roman" w:eastAsia="仿宋_GB2312" w:cs="Times New Roman"/>
          <w:color w:val="auto"/>
          <w:sz w:val="32"/>
          <w:szCs w:val="32"/>
        </w:rPr>
        <w:t>中药</w:t>
      </w:r>
      <w:r>
        <w:rPr>
          <w:rFonts w:hint="default" w:ascii="Times New Roman" w:hAnsi="Times New Roman" w:eastAsia="仿宋_GB2312" w:cs="Times New Roman"/>
          <w:color w:val="auto"/>
          <w:kern w:val="0"/>
          <w:sz w:val="32"/>
          <w:szCs w:val="32"/>
        </w:rPr>
        <w:t>生产企业采购的鲜切药材应当有规范的包装和标签，并附质量合格标识。其直接接触药材的包装</w:t>
      </w:r>
      <w:r>
        <w:rPr>
          <w:rFonts w:hint="default" w:ascii="Times New Roman" w:hAnsi="Times New Roman" w:eastAsia="仿宋_GB2312" w:cs="Times New Roman"/>
          <w:color w:val="auto"/>
          <w:kern w:val="0"/>
          <w:sz w:val="32"/>
          <w:szCs w:val="32"/>
          <w:highlight w:val="none"/>
        </w:rPr>
        <w:t>材料</w:t>
      </w:r>
      <w:r>
        <w:rPr>
          <w:rFonts w:hint="default" w:ascii="Times New Roman" w:hAnsi="Times New Roman" w:eastAsia="仿宋_GB2312" w:cs="Times New Roman"/>
          <w:color w:val="auto"/>
          <w:sz w:val="32"/>
          <w:szCs w:val="32"/>
          <w:highlight w:val="none"/>
        </w:rPr>
        <w:t>至少应符合食品包装材料标准</w:t>
      </w:r>
      <w:r>
        <w:rPr>
          <w:rFonts w:hint="default" w:ascii="Times New Roman" w:hAnsi="Times New Roman" w:eastAsia="仿宋_GB2312" w:cs="Times New Roman"/>
          <w:color w:val="auto"/>
          <w:kern w:val="0"/>
          <w:sz w:val="32"/>
          <w:szCs w:val="32"/>
          <w:highlight w:val="none"/>
        </w:rPr>
        <w:t>，标签内容应当包括：品名、</w:t>
      </w:r>
      <w:r>
        <w:rPr>
          <w:rFonts w:hint="default" w:ascii="Times New Roman" w:hAnsi="Times New Roman" w:eastAsia="仿宋_GB2312" w:cs="Times New Roman"/>
          <w:color w:val="auto"/>
          <w:kern w:val="0"/>
          <w:sz w:val="32"/>
          <w:szCs w:val="32"/>
        </w:rPr>
        <w:t>规格、数量、产地、采收日期、加工日期、生产批号、贮藏、复验期、加工单位等。</w:t>
      </w:r>
    </w:p>
    <w:p>
      <w:pPr>
        <w:keepNext w:val="0"/>
        <w:keepLines w:val="0"/>
        <w:pageBreakBefore w:val="0"/>
        <w:widowControl/>
        <w:kinsoku/>
        <w:wordWrap/>
        <w:overflowPunct/>
        <w:topLinePunct w:val="0"/>
        <w:bidi w:val="0"/>
        <w:adjustRightInd/>
        <w:spacing w:line="560" w:lineRule="exact"/>
        <w:ind w:firstLine="629"/>
        <w:jc w:val="both"/>
        <w:textAlignment w:val="auto"/>
        <w:rPr>
          <w:rFonts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6.追溯体系建设。产地加工点应当开展中药材追溯体系建设，追溯信息应当包括：产地地理坐标、种植面积、亩产数量、种子种苗来源、农药化肥的使用记录、种植时间、采收时间、切制加工日期、切制成品数量、成品去向等，保证中药材来源质量可溯</w:t>
      </w:r>
      <w:r>
        <w:rPr>
          <w:rFonts w:ascii="Times New Roman" w:hAnsi="Times New Roman" w:eastAsia="仿宋_GB2312" w:cs="Times New Roman"/>
          <w:color w:val="auto"/>
          <w:kern w:val="0"/>
          <w:sz w:val="32"/>
          <w:szCs w:val="32"/>
        </w:rPr>
        <w:t>可控。</w:t>
      </w:r>
      <w:r>
        <w:rPr>
          <w:rFonts w:ascii="Times New Roman" w:hAnsi="Times New Roman" w:eastAsia="仿宋_GB2312" w:cs="Times New Roman"/>
          <w:color w:val="auto"/>
          <w:sz w:val="32"/>
          <w:szCs w:val="32"/>
        </w:rPr>
        <w:t>中药</w:t>
      </w:r>
      <w:r>
        <w:rPr>
          <w:rFonts w:ascii="Times New Roman" w:hAnsi="Times New Roman" w:eastAsia="仿宋_GB2312" w:cs="Times New Roman"/>
          <w:color w:val="auto"/>
          <w:kern w:val="0"/>
          <w:sz w:val="32"/>
          <w:szCs w:val="32"/>
        </w:rPr>
        <w:t>生产企业在产地加工质量追溯基础上，应进一步完善信息化追溯体系，保证中药生产、销售等全过程可追溯，做到</w:t>
      </w:r>
      <w:r>
        <w:rPr>
          <w:rFonts w:ascii="Times New Roman" w:hAnsi="Times New Roman" w:eastAsia="仿宋_GB2312" w:cs="Times New Roman"/>
          <w:color w:val="auto"/>
          <w:sz w:val="32"/>
          <w:szCs w:val="32"/>
        </w:rPr>
        <w:t>“来源可知、去向可追、质量可查、责任可究”</w:t>
      </w:r>
      <w:r>
        <w:rPr>
          <w:rFonts w:ascii="Times New Roman" w:hAnsi="Times New Roman" w:eastAsia="仿宋_GB2312" w:cs="Times New Roman"/>
          <w:color w:val="auto"/>
          <w:kern w:val="0"/>
          <w:sz w:val="32"/>
          <w:szCs w:val="32"/>
        </w:rPr>
        <w:t>。</w:t>
      </w:r>
    </w:p>
    <w:p>
      <w:pPr>
        <w:keepNext w:val="0"/>
        <w:keepLines w:val="0"/>
        <w:pageBreakBefore w:val="0"/>
        <w:widowControl/>
        <w:kinsoku/>
        <w:wordWrap/>
        <w:overflowPunct/>
        <w:topLinePunct w:val="0"/>
        <w:bidi w:val="0"/>
        <w:adjustRightInd/>
        <w:spacing w:line="560" w:lineRule="exact"/>
        <w:ind w:firstLine="629"/>
        <w:jc w:val="both"/>
        <w:textAlignment w:val="auto"/>
        <w:rPr>
          <w:rFonts w:ascii="楷体_GB2312" w:hAnsi="楷体_GB2312" w:eastAsia="楷体_GB2312" w:cs="楷体_GB2312"/>
          <w:bCs/>
          <w:color w:val="auto"/>
          <w:kern w:val="0"/>
          <w:sz w:val="32"/>
          <w:szCs w:val="32"/>
        </w:rPr>
      </w:pPr>
      <w:r>
        <w:rPr>
          <w:rFonts w:hint="eastAsia" w:ascii="楷体_GB2312" w:hAnsi="楷体_GB2312" w:eastAsia="楷体_GB2312" w:cs="楷体_GB2312"/>
          <w:bCs/>
          <w:color w:val="auto"/>
          <w:kern w:val="0"/>
          <w:sz w:val="32"/>
          <w:szCs w:val="32"/>
        </w:rPr>
        <w:t>（三）规范鲜切药材采购行为</w:t>
      </w:r>
    </w:p>
    <w:p>
      <w:pPr>
        <w:keepNext w:val="0"/>
        <w:keepLines w:val="0"/>
        <w:pageBreakBefore w:val="0"/>
        <w:widowControl/>
        <w:kinsoku/>
        <w:wordWrap/>
        <w:overflowPunct/>
        <w:topLinePunct w:val="0"/>
        <w:bidi w:val="0"/>
        <w:adjustRightInd/>
        <w:spacing w:line="560" w:lineRule="exact"/>
        <w:ind w:firstLine="629"/>
        <w:jc w:val="both"/>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1.</w:t>
      </w:r>
      <w:r>
        <w:rPr>
          <w:rFonts w:ascii="Times New Roman" w:hAnsi="Times New Roman" w:eastAsia="仿宋_GB2312" w:cs="Times New Roman"/>
          <w:color w:val="auto"/>
          <w:sz w:val="32"/>
          <w:szCs w:val="32"/>
        </w:rPr>
        <w:t>中药</w:t>
      </w:r>
      <w:r>
        <w:rPr>
          <w:rFonts w:ascii="Times New Roman" w:hAnsi="Times New Roman" w:eastAsia="仿宋_GB2312" w:cs="Times New Roman"/>
          <w:color w:val="auto"/>
          <w:kern w:val="0"/>
          <w:sz w:val="32"/>
          <w:szCs w:val="32"/>
        </w:rPr>
        <w:t>生产企业应当对照《中药材产地趁鲜切制加工质量管理指南》（附件2）要求，从具备健全质量管理体系的产地加工点采购鲜切药材，并签订采购合同和质量协议，向</w:t>
      </w:r>
      <w:r>
        <w:rPr>
          <w:rFonts w:ascii="Times New Roman" w:hAnsi="Times New Roman" w:eastAsia="仿宋_GB2312" w:cs="Times New Roman"/>
          <w:color w:val="auto"/>
          <w:sz w:val="32"/>
          <w:szCs w:val="32"/>
        </w:rPr>
        <w:t>中药</w:t>
      </w:r>
      <w:r>
        <w:rPr>
          <w:rFonts w:ascii="Times New Roman" w:hAnsi="Times New Roman" w:eastAsia="仿宋_GB2312" w:cs="Times New Roman"/>
          <w:color w:val="auto"/>
          <w:kern w:val="0"/>
          <w:sz w:val="32"/>
          <w:szCs w:val="32"/>
        </w:rPr>
        <w:t>生产企业所在地检查分局递交《中药材产地趁鲜切制加工审计表》（附件3）。</w:t>
      </w:r>
    </w:p>
    <w:p>
      <w:pPr>
        <w:keepNext w:val="0"/>
        <w:keepLines w:val="0"/>
        <w:pageBreakBefore w:val="0"/>
        <w:widowControl/>
        <w:kinsoku/>
        <w:wordWrap/>
        <w:overflowPunct/>
        <w:topLinePunct w:val="0"/>
        <w:bidi w:val="0"/>
        <w:adjustRightInd/>
        <w:spacing w:line="560" w:lineRule="exact"/>
        <w:ind w:firstLine="629"/>
        <w:jc w:val="both"/>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2.采购、使用的鲜切药材应当符合趁鲜切制加工品种要求，中药生产企业不得从中药材市场或者个人等处采购鲜切药材用于中药生产，</w:t>
      </w:r>
      <w:r>
        <w:rPr>
          <w:rFonts w:ascii="Times New Roman" w:hAnsi="Times New Roman" w:eastAsia="仿宋_GB2312" w:cs="Times New Roman"/>
          <w:color w:val="auto"/>
          <w:sz w:val="32"/>
          <w:szCs w:val="32"/>
        </w:rPr>
        <w:t>不得从不具备质量管理体系或者质量管理体系不健全的产地加工点购进鲜切药材用于中药生产，</w:t>
      </w:r>
      <w:r>
        <w:rPr>
          <w:rFonts w:ascii="Times New Roman" w:hAnsi="Times New Roman" w:eastAsia="仿宋_GB2312" w:cs="Times New Roman"/>
          <w:color w:val="auto"/>
          <w:kern w:val="0"/>
          <w:sz w:val="32"/>
          <w:szCs w:val="32"/>
        </w:rPr>
        <w:t>也不得将采购的鲜切药材直接包装后作为中药饮片销售。</w:t>
      </w:r>
    </w:p>
    <w:p>
      <w:pPr>
        <w:keepNext w:val="0"/>
        <w:keepLines w:val="0"/>
        <w:pageBreakBefore w:val="0"/>
        <w:widowControl/>
        <w:kinsoku/>
        <w:wordWrap/>
        <w:overflowPunct/>
        <w:topLinePunct w:val="0"/>
        <w:bidi w:val="0"/>
        <w:adjustRightInd/>
        <w:spacing w:line="560" w:lineRule="exact"/>
        <w:ind w:firstLine="629"/>
        <w:jc w:val="both"/>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 xml:space="preserve">3. </w:t>
      </w:r>
      <w:r>
        <w:rPr>
          <w:rFonts w:ascii="Times New Roman" w:hAnsi="Times New Roman" w:eastAsia="仿宋_GB2312" w:cs="Times New Roman"/>
          <w:color w:val="auto"/>
          <w:sz w:val="32"/>
          <w:szCs w:val="32"/>
        </w:rPr>
        <w:t>中药</w:t>
      </w:r>
      <w:r>
        <w:rPr>
          <w:rFonts w:ascii="Times New Roman" w:hAnsi="Times New Roman" w:eastAsia="仿宋_GB2312" w:cs="Times New Roman"/>
          <w:color w:val="auto"/>
          <w:kern w:val="0"/>
          <w:sz w:val="32"/>
          <w:szCs w:val="32"/>
        </w:rPr>
        <w:t>生产企业对采购的鲜切药材承担质量管理责任，对鲜切药材应当入库验收，按照中药饮片GMP要求和国家药品标准或者省（自治区、直辖市）中药饮片炮制规范进行净制、炮炙等生产加工，并经检验合格后，方可销售。</w:t>
      </w:r>
    </w:p>
    <w:p>
      <w:pPr>
        <w:keepNext w:val="0"/>
        <w:keepLines w:val="0"/>
        <w:pageBreakBefore w:val="0"/>
        <w:widowControl/>
        <w:kinsoku/>
        <w:wordWrap/>
        <w:overflowPunct/>
        <w:topLinePunct w:val="0"/>
        <w:bidi w:val="0"/>
        <w:adjustRightInd/>
        <w:spacing w:line="560" w:lineRule="exact"/>
        <w:ind w:firstLine="629"/>
        <w:jc w:val="both"/>
        <w:textAlignment w:val="auto"/>
        <w:rPr>
          <w:rFonts w:ascii="楷体_GB2312" w:hAnsi="楷体_GB2312" w:eastAsia="楷体_GB2312" w:cs="楷体_GB2312"/>
          <w:bCs/>
          <w:color w:val="auto"/>
          <w:kern w:val="0"/>
          <w:sz w:val="32"/>
          <w:szCs w:val="32"/>
        </w:rPr>
      </w:pPr>
      <w:r>
        <w:rPr>
          <w:rFonts w:hint="eastAsia" w:ascii="楷体_GB2312" w:hAnsi="楷体_GB2312" w:eastAsia="楷体_GB2312" w:cs="楷体_GB2312"/>
          <w:bCs/>
          <w:color w:val="auto"/>
          <w:kern w:val="0"/>
          <w:sz w:val="32"/>
          <w:szCs w:val="32"/>
        </w:rPr>
        <w:t>（四）加强鲜切药材质量管理</w:t>
      </w:r>
    </w:p>
    <w:p>
      <w:pPr>
        <w:keepNext w:val="0"/>
        <w:keepLines w:val="0"/>
        <w:pageBreakBefore w:val="0"/>
        <w:widowControl/>
        <w:kinsoku/>
        <w:wordWrap/>
        <w:overflowPunct/>
        <w:topLinePunct w:val="0"/>
        <w:bidi w:val="0"/>
        <w:adjustRightInd/>
        <w:spacing w:line="560" w:lineRule="exact"/>
        <w:ind w:firstLine="640" w:firstLineChars="200"/>
        <w:jc w:val="both"/>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 xml:space="preserve"> 1.加强自收自制质量管理。</w:t>
      </w:r>
      <w:r>
        <w:rPr>
          <w:rFonts w:ascii="Times New Roman" w:hAnsi="Times New Roman" w:eastAsia="仿宋_GB2312" w:cs="Times New Roman"/>
          <w:color w:val="auto"/>
          <w:sz w:val="32"/>
          <w:szCs w:val="32"/>
        </w:rPr>
        <w:t>中药</w:t>
      </w:r>
      <w:r>
        <w:rPr>
          <w:rFonts w:ascii="Times New Roman" w:hAnsi="Times New Roman" w:eastAsia="仿宋_GB2312" w:cs="Times New Roman"/>
          <w:color w:val="auto"/>
          <w:kern w:val="0"/>
          <w:sz w:val="32"/>
          <w:szCs w:val="32"/>
        </w:rPr>
        <w:t>生产企业自行开展中药材产地趁鲜切制加工，应当对照《中药材产地趁鲜切制加工质量管理指南》建设加工车间，并对其质量管理体系和风险管理能力进行评估后，认为符合要求的，向</w:t>
      </w:r>
      <w:r>
        <w:rPr>
          <w:rFonts w:ascii="Times New Roman" w:hAnsi="Times New Roman" w:eastAsia="仿宋_GB2312" w:cs="Times New Roman"/>
          <w:color w:val="auto"/>
          <w:sz w:val="32"/>
          <w:szCs w:val="32"/>
        </w:rPr>
        <w:t>中药</w:t>
      </w:r>
      <w:r>
        <w:rPr>
          <w:rFonts w:ascii="Times New Roman" w:hAnsi="Times New Roman" w:eastAsia="仿宋_GB2312" w:cs="Times New Roman"/>
          <w:color w:val="auto"/>
          <w:kern w:val="0"/>
          <w:sz w:val="32"/>
          <w:szCs w:val="32"/>
        </w:rPr>
        <w:t>生产企业所在地检查分局递交《中药材产地趁鲜切制加工审计表》，并在药品年度报告中列明相关情况。报告内容至少应包括：趁鲜切制加工品种情况、工艺流程、质量标准、年度质量回顾分析等。</w:t>
      </w:r>
    </w:p>
    <w:p>
      <w:pPr>
        <w:keepNext w:val="0"/>
        <w:keepLines w:val="0"/>
        <w:pageBreakBefore w:val="0"/>
        <w:kinsoku/>
        <w:wordWrap/>
        <w:overflowPunct/>
        <w:topLinePunct w:val="0"/>
        <w:bidi w:val="0"/>
        <w:adjustRightInd/>
        <w:snapToGrid w:val="0"/>
        <w:spacing w:line="560" w:lineRule="exact"/>
        <w:ind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rPr>
        <w:t xml:space="preserve">. </w:t>
      </w:r>
      <w:r>
        <w:rPr>
          <w:rFonts w:ascii="Times New Roman" w:hAnsi="Times New Roman" w:eastAsia="仿宋_GB2312" w:cs="Times New Roman"/>
          <w:color w:val="auto"/>
          <w:sz w:val="32"/>
          <w:szCs w:val="32"/>
        </w:rPr>
        <w:t>加强外购鲜切药材质量管理。对于外购鲜切药材的，应当与供应方签订相应质量协议，供应方应当为成规模的中药材种植企业或者农民专业合作社设置的鲜切药材加工点（产地加工企业），外购鲜切药材的中药生产企业应当承担趁鲜切制加工全部质量责任。应当对供应方的加工条件、技术水平和质量管理情况进行审查，确认其具备趁鲜加工的条件和能力，向供应方提供所采购品种的技术和质量文件，要求其按订单标准生产，并应定期（至少每年一次）开展供应商审计，确保其持续符合要求。外购鲜切药材的中药生产企业经审计评估认为供应方符合《</w:t>
      </w:r>
      <w:r>
        <w:rPr>
          <w:rFonts w:ascii="Times New Roman" w:hAnsi="Times New Roman" w:eastAsia="仿宋_GB2312" w:cs="Times New Roman"/>
          <w:color w:val="auto"/>
          <w:kern w:val="0"/>
          <w:sz w:val="32"/>
          <w:szCs w:val="32"/>
        </w:rPr>
        <w:t>中药材产地趁鲜切制加工质量管理指南</w:t>
      </w:r>
      <w:r>
        <w:rPr>
          <w:rFonts w:ascii="Times New Roman" w:hAnsi="Times New Roman" w:eastAsia="仿宋_GB2312" w:cs="Times New Roman"/>
          <w:color w:val="auto"/>
          <w:sz w:val="32"/>
          <w:szCs w:val="32"/>
        </w:rPr>
        <w:t>》要求的，在药品年度报告中列明相关情况</w:t>
      </w:r>
      <w:r>
        <w:rPr>
          <w:rFonts w:ascii="Times New Roman" w:hAnsi="Times New Roman" w:eastAsia="仿宋_GB2312" w:cs="Times New Roman"/>
          <w:color w:val="auto"/>
          <w:kern w:val="0"/>
          <w:sz w:val="32"/>
          <w:szCs w:val="32"/>
        </w:rPr>
        <w:t>（报告内容同自收自制）</w:t>
      </w:r>
      <w:r>
        <w:rPr>
          <w:rFonts w:ascii="Times New Roman" w:hAnsi="Times New Roman" w:eastAsia="仿宋_GB2312" w:cs="Times New Roman"/>
          <w:color w:val="auto"/>
          <w:sz w:val="32"/>
          <w:szCs w:val="32"/>
        </w:rPr>
        <w:t>。</w:t>
      </w:r>
    </w:p>
    <w:p>
      <w:pPr>
        <w:keepNext w:val="0"/>
        <w:keepLines w:val="0"/>
        <w:pageBreakBefore w:val="0"/>
        <w:widowControl/>
        <w:kinsoku/>
        <w:wordWrap/>
        <w:overflowPunct/>
        <w:topLinePunct w:val="0"/>
        <w:bidi w:val="0"/>
        <w:adjustRightInd/>
        <w:spacing w:line="560" w:lineRule="exact"/>
        <w:ind w:firstLine="629"/>
        <w:jc w:val="both"/>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3.加强中药材源头质量管理。</w:t>
      </w:r>
      <w:r>
        <w:rPr>
          <w:rFonts w:ascii="Times New Roman" w:hAnsi="Times New Roman" w:eastAsia="仿宋_GB2312" w:cs="Times New Roman"/>
          <w:color w:val="auto"/>
          <w:sz w:val="32"/>
          <w:szCs w:val="32"/>
        </w:rPr>
        <w:t>中药</w:t>
      </w:r>
      <w:r>
        <w:rPr>
          <w:rFonts w:ascii="Times New Roman" w:hAnsi="Times New Roman" w:eastAsia="仿宋_GB2312" w:cs="Times New Roman"/>
          <w:color w:val="auto"/>
          <w:kern w:val="0"/>
          <w:sz w:val="32"/>
          <w:szCs w:val="32"/>
        </w:rPr>
        <w:t>生产企业应当将中药材种植养殖过程纳入质量管理体系，鲜切药材的来源和质量，应当符合国家药品标准等标准规定，其种植、采收、加工、干燥、包装、仓储应当符合《中药材生产质量管理规范》要求。</w:t>
      </w:r>
      <w:r>
        <w:rPr>
          <w:rFonts w:ascii="Times New Roman" w:hAnsi="Times New Roman" w:eastAsia="仿宋_GB2312" w:cs="Times New Roman"/>
          <w:color w:val="auto"/>
          <w:sz w:val="32"/>
          <w:szCs w:val="32"/>
        </w:rPr>
        <w:t>外购鲜切药材时中药生产企业应当与供应方签订质量保证协议</w:t>
      </w:r>
      <w:r>
        <w:rPr>
          <w:rFonts w:ascii="Times New Roman" w:hAnsi="Times New Roman" w:eastAsia="仿宋_GB2312" w:cs="Times New Roman"/>
          <w:color w:val="auto"/>
          <w:kern w:val="0"/>
          <w:sz w:val="32"/>
          <w:szCs w:val="32"/>
        </w:rPr>
        <w:t>（附件4），规范中药材种植养殖过程，提高中药材种植养殖的科学化、规范化、标准化水平。</w:t>
      </w:r>
    </w:p>
    <w:p>
      <w:pPr>
        <w:keepNext w:val="0"/>
        <w:keepLines w:val="0"/>
        <w:pageBreakBefore w:val="0"/>
        <w:widowControl/>
        <w:kinsoku/>
        <w:wordWrap/>
        <w:overflowPunct/>
        <w:topLinePunct w:val="0"/>
        <w:bidi w:val="0"/>
        <w:adjustRightInd/>
        <w:spacing w:line="560" w:lineRule="exact"/>
        <w:ind w:firstLine="629"/>
        <w:jc w:val="both"/>
        <w:textAlignment w:val="auto"/>
        <w:rPr>
          <w:rFonts w:ascii="黑体" w:hAnsi="黑体" w:eastAsia="黑体" w:cs="黑体"/>
          <w:bCs/>
          <w:color w:val="auto"/>
          <w:kern w:val="0"/>
          <w:sz w:val="32"/>
          <w:szCs w:val="32"/>
        </w:rPr>
      </w:pPr>
      <w:r>
        <w:rPr>
          <w:rFonts w:hint="eastAsia" w:ascii="黑体" w:hAnsi="黑体" w:eastAsia="黑体" w:cs="黑体"/>
          <w:bCs/>
          <w:color w:val="auto"/>
          <w:kern w:val="0"/>
          <w:sz w:val="32"/>
          <w:szCs w:val="32"/>
        </w:rPr>
        <w:t>四、工作要求</w:t>
      </w:r>
    </w:p>
    <w:p>
      <w:pPr>
        <w:keepNext w:val="0"/>
        <w:keepLines w:val="0"/>
        <w:pageBreakBefore w:val="0"/>
        <w:widowControl/>
        <w:suppressAutoHyphens/>
        <w:kinsoku/>
        <w:wordWrap/>
        <w:overflowPunct/>
        <w:topLinePunct w:val="0"/>
        <w:bidi w:val="0"/>
        <w:adjustRightInd/>
        <w:spacing w:line="560" w:lineRule="exact"/>
        <w:ind w:firstLine="629"/>
        <w:jc w:val="both"/>
        <w:textAlignment w:val="auto"/>
        <w:rPr>
          <w:rFonts w:ascii="楷体_GB2312" w:hAnsi="Times New Roman" w:eastAsia="楷体_GB2312" w:cs="Times New Roman"/>
          <w:bCs/>
          <w:color w:val="auto"/>
          <w:kern w:val="0"/>
          <w:sz w:val="32"/>
          <w:szCs w:val="32"/>
          <w:lang w:eastAsia="ar-SA"/>
        </w:rPr>
      </w:pPr>
      <w:r>
        <w:rPr>
          <w:rFonts w:hint="eastAsia" w:ascii="楷体_GB2312" w:hAnsi="Times New Roman" w:eastAsia="楷体_GB2312" w:cs="Times New Roman"/>
          <w:bCs/>
          <w:color w:val="auto"/>
          <w:kern w:val="0"/>
          <w:sz w:val="32"/>
          <w:szCs w:val="32"/>
          <w:lang w:eastAsia="ar-SA"/>
        </w:rPr>
        <w:t>（一）落实主体责任</w:t>
      </w:r>
    </w:p>
    <w:p>
      <w:pPr>
        <w:keepNext w:val="0"/>
        <w:keepLines w:val="0"/>
        <w:pageBreakBefore w:val="0"/>
        <w:widowControl/>
        <w:kinsoku/>
        <w:wordWrap/>
        <w:overflowPunct/>
        <w:topLinePunct w:val="0"/>
        <w:bidi w:val="0"/>
        <w:adjustRightInd/>
        <w:spacing w:line="560" w:lineRule="exact"/>
        <w:ind w:firstLine="629"/>
        <w:jc w:val="both"/>
        <w:textAlignment w:val="auto"/>
        <w:rPr>
          <w:rFonts w:ascii="仿宋_GB2312" w:hAnsi="Times New Roman" w:eastAsia="仿宋_GB2312" w:cs="Times New Roman"/>
          <w:color w:val="auto"/>
          <w:kern w:val="0"/>
          <w:sz w:val="32"/>
          <w:szCs w:val="32"/>
        </w:rPr>
      </w:pPr>
      <w:r>
        <w:rPr>
          <w:rFonts w:hint="eastAsia" w:ascii="仿宋_GB2312" w:hAnsi="Times New Roman" w:eastAsia="仿宋_GB2312" w:cs="Times New Roman"/>
          <w:color w:val="auto"/>
          <w:kern w:val="0"/>
          <w:sz w:val="32"/>
          <w:szCs w:val="32"/>
        </w:rPr>
        <w:t>中药材产地趁鲜切制加工是</w:t>
      </w:r>
      <w:r>
        <w:rPr>
          <w:rFonts w:hint="eastAsia" w:ascii="仿宋" w:hAnsi="仿宋" w:eastAsia="仿宋" w:cs="宋体"/>
          <w:color w:val="auto"/>
          <w:sz w:val="32"/>
          <w:szCs w:val="32"/>
        </w:rPr>
        <w:t>中药</w:t>
      </w:r>
      <w:r>
        <w:rPr>
          <w:rFonts w:hint="eastAsia" w:ascii="仿宋_GB2312" w:hAnsi="Times New Roman" w:eastAsia="仿宋_GB2312" w:cs="Times New Roman"/>
          <w:color w:val="auto"/>
          <w:kern w:val="0"/>
          <w:sz w:val="32"/>
          <w:szCs w:val="32"/>
        </w:rPr>
        <w:t>生产企业中药饮片生产过程向产地的前端延伸，</w:t>
      </w:r>
      <w:r>
        <w:rPr>
          <w:rFonts w:hint="eastAsia" w:ascii="仿宋" w:hAnsi="仿宋" w:eastAsia="仿宋" w:cs="宋体"/>
          <w:color w:val="auto"/>
          <w:sz w:val="32"/>
          <w:szCs w:val="32"/>
        </w:rPr>
        <w:t>中药</w:t>
      </w:r>
      <w:r>
        <w:rPr>
          <w:rFonts w:hint="eastAsia" w:ascii="仿宋_GB2312" w:hAnsi="Times New Roman" w:eastAsia="仿宋_GB2312" w:cs="Times New Roman"/>
          <w:color w:val="auto"/>
          <w:kern w:val="0"/>
          <w:sz w:val="32"/>
          <w:szCs w:val="32"/>
        </w:rPr>
        <w:t>生产企业作为药品质量责任主体，应当将质量管理体系延伸到药材的种植、采收、加工等环节，应当对鲜切药材进行质量评估和监测。</w:t>
      </w:r>
      <w:r>
        <w:rPr>
          <w:rFonts w:hint="eastAsia" w:ascii="仿宋" w:hAnsi="仿宋" w:eastAsia="仿宋" w:cs="宋体"/>
          <w:color w:val="auto"/>
          <w:sz w:val="32"/>
          <w:szCs w:val="32"/>
        </w:rPr>
        <w:t>中药</w:t>
      </w:r>
      <w:r>
        <w:rPr>
          <w:rFonts w:hint="eastAsia" w:ascii="仿宋_GB2312" w:hAnsi="Times New Roman" w:eastAsia="仿宋_GB2312" w:cs="Times New Roman"/>
          <w:color w:val="auto"/>
          <w:kern w:val="0"/>
          <w:sz w:val="32"/>
          <w:szCs w:val="32"/>
        </w:rPr>
        <w:t>生产企业要加强对趁鲜切制加工的监督管理，充分履行质量管理职责，保证自产及采购鲜切药材质量符合要求。</w:t>
      </w:r>
    </w:p>
    <w:p>
      <w:pPr>
        <w:keepNext w:val="0"/>
        <w:keepLines w:val="0"/>
        <w:pageBreakBefore w:val="0"/>
        <w:widowControl/>
        <w:suppressAutoHyphens/>
        <w:kinsoku/>
        <w:wordWrap/>
        <w:overflowPunct/>
        <w:topLinePunct w:val="0"/>
        <w:bidi w:val="0"/>
        <w:adjustRightInd/>
        <w:spacing w:line="560" w:lineRule="exact"/>
        <w:ind w:firstLine="629"/>
        <w:jc w:val="both"/>
        <w:textAlignment w:val="auto"/>
        <w:rPr>
          <w:rFonts w:ascii="楷体_GB2312" w:hAnsi="Times New Roman" w:eastAsia="楷体_GB2312" w:cs="Times New Roman"/>
          <w:bCs/>
          <w:color w:val="auto"/>
          <w:kern w:val="0"/>
          <w:sz w:val="32"/>
          <w:szCs w:val="32"/>
          <w:lang w:eastAsia="ar-SA"/>
        </w:rPr>
      </w:pPr>
      <w:r>
        <w:rPr>
          <w:rFonts w:hint="eastAsia" w:ascii="楷体_GB2312" w:hAnsi="Times New Roman" w:eastAsia="楷体_GB2312" w:cs="Times New Roman"/>
          <w:bCs/>
          <w:color w:val="auto"/>
          <w:kern w:val="0"/>
          <w:sz w:val="32"/>
          <w:szCs w:val="32"/>
          <w:lang w:eastAsia="ar-SA"/>
        </w:rPr>
        <w:t>（二）加强监督管理</w:t>
      </w:r>
    </w:p>
    <w:p>
      <w:pPr>
        <w:keepNext w:val="0"/>
        <w:keepLines w:val="0"/>
        <w:pageBreakBefore w:val="0"/>
        <w:widowControl/>
        <w:kinsoku/>
        <w:wordWrap/>
        <w:overflowPunct/>
        <w:topLinePunct w:val="0"/>
        <w:bidi w:val="0"/>
        <w:adjustRightInd/>
        <w:spacing w:line="560" w:lineRule="exact"/>
        <w:ind w:firstLine="629"/>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药品监管部门应当加强</w:t>
      </w:r>
      <w:r>
        <w:rPr>
          <w:rFonts w:hint="eastAsia" w:ascii="仿宋_GB2312" w:hAnsi="仿宋_GB2312" w:eastAsia="仿宋_GB2312" w:cs="仿宋_GB2312"/>
          <w:color w:val="auto"/>
          <w:sz w:val="32"/>
          <w:szCs w:val="32"/>
        </w:rPr>
        <w:t>中药</w:t>
      </w:r>
      <w:r>
        <w:rPr>
          <w:rFonts w:hint="eastAsia" w:ascii="仿宋_GB2312" w:hAnsi="仿宋_GB2312" w:eastAsia="仿宋_GB2312" w:cs="仿宋_GB2312"/>
          <w:color w:val="auto"/>
          <w:kern w:val="0"/>
          <w:sz w:val="32"/>
          <w:szCs w:val="32"/>
        </w:rPr>
        <w:t>生产企业监督管理，严防不符合要求产品，甚至假冒伪劣产品流入药用渠道，</w:t>
      </w:r>
      <w:r>
        <w:rPr>
          <w:rFonts w:hint="eastAsia" w:ascii="仿宋_GB2312" w:hAnsi="仿宋_GB2312" w:eastAsia="仿宋_GB2312" w:cs="仿宋_GB2312"/>
          <w:color w:val="auto"/>
          <w:sz w:val="32"/>
          <w:szCs w:val="32"/>
        </w:rPr>
        <w:t>必要时可延伸检查加工点质量保证体系的执行情况</w:t>
      </w:r>
      <w:r>
        <w:rPr>
          <w:rFonts w:hint="eastAsia" w:ascii="仿宋_GB2312" w:hAnsi="仿宋_GB2312" w:eastAsia="仿宋_GB2312" w:cs="仿宋_GB2312"/>
          <w:color w:val="auto"/>
          <w:kern w:val="0"/>
          <w:sz w:val="32"/>
          <w:szCs w:val="32"/>
        </w:rPr>
        <w:t>，发现有药品质量安全风险的，</w:t>
      </w:r>
      <w:r>
        <w:rPr>
          <w:rFonts w:hint="eastAsia" w:ascii="仿宋_GB2312" w:hAnsi="仿宋_GB2312" w:eastAsia="仿宋_GB2312" w:cs="仿宋_GB2312"/>
          <w:color w:val="auto"/>
          <w:sz w:val="32"/>
          <w:szCs w:val="32"/>
        </w:rPr>
        <w:t>应当依法依规采取暂停生产销售、责令停止采购使用鲜切药材等风险控制措施</w:t>
      </w:r>
      <w:r>
        <w:rPr>
          <w:rFonts w:hint="eastAsia" w:ascii="仿宋_GB2312" w:hAnsi="仿宋_GB2312" w:eastAsia="仿宋_GB2312" w:cs="仿宋_GB2312"/>
          <w:color w:val="auto"/>
          <w:kern w:val="0"/>
          <w:sz w:val="32"/>
          <w:szCs w:val="32"/>
        </w:rPr>
        <w:t>，发现生产销售假劣药品等违法违规行为，依法依规严厉查处。</w:t>
      </w:r>
    </w:p>
    <w:p>
      <w:pPr>
        <w:keepNext w:val="0"/>
        <w:keepLines w:val="0"/>
        <w:pageBreakBefore w:val="0"/>
        <w:widowControl/>
        <w:suppressAutoHyphens/>
        <w:kinsoku/>
        <w:wordWrap/>
        <w:overflowPunct/>
        <w:topLinePunct w:val="0"/>
        <w:bidi w:val="0"/>
        <w:adjustRightInd/>
        <w:spacing w:line="560" w:lineRule="exact"/>
        <w:ind w:firstLine="629"/>
        <w:jc w:val="both"/>
        <w:textAlignment w:val="auto"/>
        <w:rPr>
          <w:rFonts w:ascii="楷体_GB2312" w:hAnsi="Times New Roman" w:eastAsia="楷体_GB2312" w:cs="Times New Roman"/>
          <w:bCs/>
          <w:color w:val="auto"/>
          <w:kern w:val="0"/>
          <w:sz w:val="32"/>
          <w:szCs w:val="32"/>
          <w:lang w:eastAsia="ar-SA"/>
        </w:rPr>
      </w:pPr>
      <w:r>
        <w:rPr>
          <w:rFonts w:hint="eastAsia" w:ascii="楷体_GB2312" w:hAnsi="Times New Roman" w:eastAsia="楷体_GB2312" w:cs="Times New Roman"/>
          <w:bCs/>
          <w:color w:val="auto"/>
          <w:kern w:val="0"/>
          <w:sz w:val="32"/>
          <w:szCs w:val="32"/>
          <w:lang w:eastAsia="ar-SA"/>
        </w:rPr>
        <w:t>（三）积极主动帮扶</w:t>
      </w:r>
    </w:p>
    <w:p>
      <w:pPr>
        <w:keepNext w:val="0"/>
        <w:keepLines w:val="0"/>
        <w:pageBreakBefore w:val="0"/>
        <w:kinsoku/>
        <w:wordWrap/>
        <w:overflowPunct/>
        <w:topLinePunct w:val="0"/>
        <w:bidi w:val="0"/>
        <w:adjustRightInd/>
        <w:snapToGrid w:val="0"/>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药品监管部门要从服务医药产业发展、营造良好营商环境的高度，主动服务，积极为中药生产企业提供政策咨询服务和技术指导，鼓励区内具备产地趁鲜切制加工生产条件和质量管理能力的中药生产企业采取多种方式建设鲜切药材加工点，协调解决中药生产企业在中药材产地趁鲜加工工作中遇到的困难和问题。</w:t>
      </w:r>
    </w:p>
    <w:p>
      <w:pPr>
        <w:keepNext w:val="0"/>
        <w:keepLines w:val="0"/>
        <w:pageBreakBefore w:val="0"/>
        <w:widowControl/>
        <w:suppressAutoHyphens/>
        <w:kinsoku/>
        <w:wordWrap/>
        <w:overflowPunct/>
        <w:topLinePunct w:val="0"/>
        <w:bidi w:val="0"/>
        <w:adjustRightInd/>
        <w:spacing w:line="560" w:lineRule="exact"/>
        <w:ind w:firstLine="629"/>
        <w:jc w:val="both"/>
        <w:textAlignment w:val="auto"/>
        <w:rPr>
          <w:rFonts w:ascii="楷体_GB2312" w:hAnsi="Times New Roman" w:eastAsia="楷体_GB2312" w:cs="Times New Roman"/>
          <w:bCs/>
          <w:color w:val="auto"/>
          <w:kern w:val="0"/>
          <w:sz w:val="32"/>
          <w:szCs w:val="32"/>
          <w:lang w:eastAsia="ar-SA"/>
        </w:rPr>
      </w:pPr>
      <w:r>
        <w:rPr>
          <w:rFonts w:hint="eastAsia" w:ascii="楷体_GB2312" w:hAnsi="Times New Roman" w:eastAsia="楷体_GB2312" w:cs="Times New Roman"/>
          <w:bCs/>
          <w:color w:val="auto"/>
          <w:kern w:val="0"/>
          <w:sz w:val="32"/>
          <w:szCs w:val="32"/>
          <w:lang w:eastAsia="ar-SA"/>
        </w:rPr>
        <w:t>（四）加强共治共享</w:t>
      </w:r>
    </w:p>
    <w:p>
      <w:pPr>
        <w:keepNext w:val="0"/>
        <w:keepLines w:val="0"/>
        <w:pageBreakBefore w:val="0"/>
        <w:widowControl/>
        <w:kinsoku/>
        <w:wordWrap/>
        <w:overflowPunct/>
        <w:topLinePunct w:val="0"/>
        <w:bidi w:val="0"/>
        <w:adjustRightInd/>
        <w:spacing w:line="560" w:lineRule="exact"/>
        <w:ind w:firstLine="629"/>
        <w:jc w:val="both"/>
        <w:textAlignment w:val="auto"/>
        <w:rPr>
          <w:rFonts w:ascii="仿宋_GB2312" w:hAnsi="Times New Roman" w:eastAsia="仿宋_GB2312" w:cs="Times New Roman"/>
          <w:color w:val="auto"/>
          <w:kern w:val="0"/>
          <w:sz w:val="32"/>
          <w:szCs w:val="32"/>
        </w:rPr>
      </w:pPr>
      <w:r>
        <w:rPr>
          <w:rFonts w:hint="eastAsia" w:ascii="仿宋_GB2312" w:hAnsi="Times New Roman" w:eastAsia="仿宋_GB2312" w:cs="Times New Roman"/>
          <w:color w:val="auto"/>
          <w:kern w:val="0"/>
          <w:sz w:val="32"/>
          <w:szCs w:val="32"/>
        </w:rPr>
        <w:t>药品监管部门要积极探索中药材产地趁鲜切制加工的管理模式，加强与农业农村、卫生健康、中医药管理、市场监管等有关部门的沟通协调，实现中药材趁鲜切制加工信息共享，推动</w:t>
      </w:r>
      <w:r>
        <w:rPr>
          <w:rFonts w:hint="eastAsia" w:ascii="仿宋" w:hAnsi="仿宋" w:eastAsia="仿宋" w:cs="宋体"/>
          <w:color w:val="auto"/>
          <w:sz w:val="32"/>
          <w:szCs w:val="32"/>
        </w:rPr>
        <w:t>中药</w:t>
      </w:r>
      <w:r>
        <w:rPr>
          <w:rFonts w:hint="eastAsia" w:ascii="仿宋_GB2312" w:hAnsi="Times New Roman" w:eastAsia="仿宋_GB2312" w:cs="Times New Roman"/>
          <w:color w:val="auto"/>
          <w:kern w:val="0"/>
          <w:sz w:val="32"/>
          <w:szCs w:val="32"/>
        </w:rPr>
        <w:t>生产企业建立完善追溯体系，促进中药材种植养殖及加工的科学化、规范化，进一步保障中药质量安全,推动我区中药产业高质量发展。</w:t>
      </w:r>
    </w:p>
    <w:p>
      <w:pPr>
        <w:keepNext w:val="0"/>
        <w:keepLines w:val="0"/>
        <w:pageBreakBefore w:val="0"/>
        <w:widowControl/>
        <w:kinsoku/>
        <w:wordWrap/>
        <w:overflowPunct/>
        <w:topLinePunct w:val="0"/>
        <w:bidi w:val="0"/>
        <w:adjustRightInd/>
        <w:spacing w:line="560" w:lineRule="exact"/>
        <w:ind w:firstLine="629"/>
        <w:jc w:val="both"/>
        <w:textAlignment w:val="auto"/>
        <w:rPr>
          <w:rFonts w:ascii="仿宋_GB2312" w:hAnsi="Times New Roman" w:eastAsia="仿宋_GB2312" w:cs="Times New Roman"/>
          <w:color w:val="auto"/>
          <w:kern w:val="0"/>
          <w:sz w:val="32"/>
          <w:szCs w:val="32"/>
        </w:rPr>
      </w:pPr>
      <w:r>
        <w:rPr>
          <w:rFonts w:hint="eastAsia" w:ascii="仿宋_GB2312" w:hAnsi="Times New Roman" w:eastAsia="仿宋_GB2312" w:cs="Times New Roman"/>
          <w:color w:val="auto"/>
          <w:kern w:val="0"/>
          <w:sz w:val="32"/>
          <w:szCs w:val="32"/>
        </w:rPr>
        <w:t>本指导意见由广西壮族自治区药品监督管理局负责解释，国家药品监督管理局另有规定的，从其规定。</w:t>
      </w:r>
    </w:p>
    <w:p>
      <w:pPr>
        <w:keepNext w:val="0"/>
        <w:keepLines w:val="0"/>
        <w:pageBreakBefore w:val="0"/>
        <w:widowControl/>
        <w:kinsoku/>
        <w:wordWrap/>
        <w:overflowPunct/>
        <w:topLinePunct w:val="0"/>
        <w:bidi w:val="0"/>
        <w:adjustRightInd/>
        <w:spacing w:line="560" w:lineRule="exact"/>
        <w:ind w:firstLine="629"/>
        <w:jc w:val="both"/>
        <w:textAlignment w:val="auto"/>
        <w:rPr>
          <w:rFonts w:ascii="仿宋_GB2312" w:hAnsi="Times New Roman" w:eastAsia="仿宋_GB2312" w:cs="Times New Roman"/>
          <w:color w:val="auto"/>
          <w:kern w:val="0"/>
          <w:sz w:val="32"/>
          <w:szCs w:val="32"/>
        </w:rPr>
      </w:pPr>
    </w:p>
    <w:p>
      <w:pPr>
        <w:keepNext w:val="0"/>
        <w:keepLines w:val="0"/>
        <w:pageBreakBefore w:val="0"/>
        <w:widowControl/>
        <w:kinsoku/>
        <w:wordWrap/>
        <w:overflowPunct/>
        <w:topLinePunct w:val="0"/>
        <w:bidi w:val="0"/>
        <w:adjustRightInd/>
        <w:spacing w:line="560" w:lineRule="exact"/>
        <w:ind w:firstLine="629"/>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附件: 1.广西中药材产地趁鲜切制加工品种目录（第一批）</w:t>
      </w:r>
    </w:p>
    <w:p>
      <w:pPr>
        <w:keepNext w:val="0"/>
        <w:keepLines w:val="0"/>
        <w:pageBreakBefore w:val="0"/>
        <w:widowControl/>
        <w:kinsoku/>
        <w:wordWrap/>
        <w:overflowPunct/>
        <w:topLinePunct w:val="0"/>
        <w:bidi w:val="0"/>
        <w:adjustRightInd/>
        <w:spacing w:line="560" w:lineRule="exact"/>
        <w:ind w:firstLine="629"/>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 xml:space="preserve">      2.广西中药材产地趁鲜切制加工质量管理指南</w:t>
      </w:r>
    </w:p>
    <w:p>
      <w:pPr>
        <w:keepNext w:val="0"/>
        <w:keepLines w:val="0"/>
        <w:pageBreakBefore w:val="0"/>
        <w:widowControl/>
        <w:kinsoku/>
        <w:wordWrap/>
        <w:overflowPunct/>
        <w:topLinePunct w:val="0"/>
        <w:bidi w:val="0"/>
        <w:adjustRightInd/>
        <w:spacing w:line="560" w:lineRule="exact"/>
        <w:ind w:firstLine="629"/>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 xml:space="preserve">      3.中药材产地趁鲜切制加工审计表</w:t>
      </w:r>
    </w:p>
    <w:p>
      <w:pPr>
        <w:keepNext w:val="0"/>
        <w:keepLines w:val="0"/>
        <w:pageBreakBefore w:val="0"/>
        <w:widowControl/>
        <w:kinsoku/>
        <w:wordWrap/>
        <w:overflowPunct/>
        <w:topLinePunct w:val="0"/>
        <w:bidi w:val="0"/>
        <w:adjustRightInd/>
        <w:spacing w:line="560" w:lineRule="exact"/>
        <w:ind w:left="1598" w:leftChars="456" w:hanging="640" w:hangingChars="200"/>
        <w:jc w:val="both"/>
        <w:textAlignment w:val="auto"/>
        <w:rPr>
          <w:rFonts w:ascii="仿宋_GB2312"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 xml:space="preserve">    4.中药材产地趁鲜切制加工质量保证协议（参考样式）</w:t>
      </w:r>
      <w:r>
        <w:rPr>
          <w:rFonts w:hint="default" w:ascii="Times New Roman" w:hAnsi="Times New Roman" w:eastAsia="仿宋_GB2312" w:cs="Times New Roman"/>
          <w:color w:val="auto"/>
          <w:kern w:val="0"/>
          <w:sz w:val="32"/>
          <w:szCs w:val="32"/>
        </w:rPr>
        <w:br w:type="textWrapping"/>
      </w:r>
    </w:p>
    <w:p>
      <w:pPr>
        <w:keepNext w:val="0"/>
        <w:keepLines w:val="0"/>
        <w:pageBreakBefore w:val="0"/>
        <w:widowControl/>
        <w:kinsoku/>
        <w:wordWrap/>
        <w:overflowPunct/>
        <w:topLinePunct w:val="0"/>
        <w:bidi w:val="0"/>
        <w:adjustRightInd/>
        <w:spacing w:line="560" w:lineRule="exact"/>
        <w:ind w:firstLine="629"/>
        <w:jc w:val="both"/>
        <w:textAlignment w:val="auto"/>
        <w:rPr>
          <w:rFonts w:ascii="仿宋_GB2312" w:hAnsi="Times New Roman" w:eastAsia="仿宋_GB2312" w:cs="Times New Roman"/>
          <w:color w:val="auto"/>
          <w:kern w:val="0"/>
          <w:sz w:val="32"/>
          <w:szCs w:val="32"/>
        </w:rPr>
      </w:pPr>
    </w:p>
    <w:p>
      <w:pPr>
        <w:widowControl/>
        <w:spacing w:line="560" w:lineRule="exact"/>
        <w:ind w:firstLine="629"/>
        <w:jc w:val="both"/>
        <w:rPr>
          <w:rFonts w:ascii="仿宋_GB2312" w:hAnsi="Times New Roman" w:eastAsia="仿宋_GB2312" w:cs="Times New Roman"/>
          <w:color w:val="auto"/>
          <w:kern w:val="0"/>
          <w:sz w:val="32"/>
          <w:szCs w:val="32"/>
        </w:rPr>
      </w:pPr>
    </w:p>
    <w:p>
      <w:pPr>
        <w:widowControl/>
        <w:spacing w:line="560" w:lineRule="exact"/>
        <w:ind w:firstLine="629"/>
        <w:jc w:val="both"/>
        <w:rPr>
          <w:rFonts w:ascii="仿宋_GB2312" w:hAnsi="Times New Roman" w:eastAsia="仿宋_GB2312" w:cs="Times New Roman"/>
          <w:color w:val="auto"/>
          <w:kern w:val="0"/>
          <w:sz w:val="32"/>
          <w:szCs w:val="32"/>
        </w:rPr>
      </w:pPr>
    </w:p>
    <w:p>
      <w:pPr>
        <w:widowControl/>
        <w:spacing w:line="560" w:lineRule="exact"/>
        <w:ind w:firstLine="629"/>
        <w:jc w:val="both"/>
        <w:rPr>
          <w:rFonts w:ascii="仿宋_GB2312" w:hAnsi="Times New Roman" w:eastAsia="仿宋_GB2312" w:cs="Times New Roman"/>
          <w:color w:val="auto"/>
          <w:kern w:val="0"/>
          <w:sz w:val="32"/>
          <w:szCs w:val="32"/>
        </w:rPr>
      </w:pPr>
    </w:p>
    <w:p>
      <w:pPr>
        <w:widowControl/>
        <w:spacing w:line="560" w:lineRule="exact"/>
        <w:ind w:firstLine="629"/>
        <w:jc w:val="both"/>
        <w:rPr>
          <w:rFonts w:ascii="仿宋_GB2312" w:hAnsi="Times New Roman" w:eastAsia="仿宋_GB2312" w:cs="Times New Roman"/>
          <w:color w:val="auto"/>
          <w:kern w:val="0"/>
          <w:sz w:val="32"/>
          <w:szCs w:val="32"/>
        </w:rPr>
      </w:pPr>
    </w:p>
    <w:p>
      <w:pPr>
        <w:widowControl/>
        <w:spacing w:line="560" w:lineRule="exact"/>
        <w:ind w:firstLine="629"/>
        <w:jc w:val="both"/>
        <w:rPr>
          <w:rFonts w:ascii="仿宋_GB2312" w:hAnsi="Times New Roman" w:eastAsia="仿宋_GB2312" w:cs="Times New Roman"/>
          <w:color w:val="auto"/>
          <w:kern w:val="0"/>
          <w:sz w:val="32"/>
          <w:szCs w:val="32"/>
        </w:rPr>
      </w:pPr>
    </w:p>
    <w:p>
      <w:pPr>
        <w:widowControl/>
        <w:spacing w:line="560" w:lineRule="exact"/>
        <w:ind w:firstLine="629"/>
        <w:jc w:val="both"/>
        <w:rPr>
          <w:rFonts w:ascii="仿宋_GB2312" w:hAnsi="Times New Roman" w:eastAsia="仿宋_GB2312" w:cs="Times New Roman"/>
          <w:color w:val="auto"/>
          <w:kern w:val="0"/>
          <w:sz w:val="32"/>
          <w:szCs w:val="32"/>
        </w:rPr>
      </w:pPr>
    </w:p>
    <w:p>
      <w:pPr>
        <w:widowControl/>
        <w:spacing w:line="560" w:lineRule="exact"/>
        <w:ind w:firstLine="629"/>
        <w:jc w:val="both"/>
        <w:rPr>
          <w:rFonts w:ascii="仿宋_GB2312" w:hAnsi="Times New Roman" w:eastAsia="仿宋_GB2312" w:cs="Times New Roman"/>
          <w:color w:val="auto"/>
          <w:kern w:val="0"/>
          <w:sz w:val="32"/>
          <w:szCs w:val="32"/>
        </w:rPr>
      </w:pPr>
    </w:p>
    <w:p>
      <w:pPr>
        <w:widowControl/>
        <w:spacing w:line="560" w:lineRule="exact"/>
        <w:ind w:firstLine="629"/>
        <w:jc w:val="both"/>
        <w:rPr>
          <w:rFonts w:ascii="仿宋_GB2312" w:hAnsi="Times New Roman" w:eastAsia="仿宋_GB2312" w:cs="Times New Roman"/>
          <w:color w:val="auto"/>
          <w:kern w:val="0"/>
          <w:sz w:val="32"/>
          <w:szCs w:val="32"/>
        </w:rPr>
      </w:pPr>
    </w:p>
    <w:p>
      <w:pPr>
        <w:widowControl/>
        <w:spacing w:line="560" w:lineRule="exact"/>
        <w:ind w:firstLine="629"/>
        <w:jc w:val="both"/>
        <w:rPr>
          <w:rFonts w:ascii="仿宋_GB2312" w:hAnsi="Times New Roman" w:eastAsia="仿宋_GB2312" w:cs="Times New Roman"/>
          <w:color w:val="auto"/>
          <w:kern w:val="0"/>
          <w:sz w:val="32"/>
          <w:szCs w:val="32"/>
        </w:rPr>
      </w:pPr>
    </w:p>
    <w:p>
      <w:pPr>
        <w:spacing w:line="560" w:lineRule="exact"/>
        <w:jc w:val="both"/>
        <w:rPr>
          <w:rFonts w:ascii="仿宋_GB2312" w:hAnsi="Times New Roman" w:eastAsia="仿宋_GB2312" w:cs="Times New Roman"/>
          <w:color w:val="auto"/>
          <w:kern w:val="0"/>
          <w:sz w:val="32"/>
          <w:szCs w:val="32"/>
        </w:rPr>
      </w:pPr>
    </w:p>
    <w:p>
      <w:pPr>
        <w:spacing w:line="560" w:lineRule="exact"/>
        <w:jc w:val="both"/>
        <w:rPr>
          <w:rFonts w:hint="eastAsia" w:ascii="黑体" w:hAnsi="黑体" w:eastAsia="黑体" w:cs="黑体"/>
          <w:color w:val="auto"/>
          <w:kern w:val="0"/>
          <w:sz w:val="32"/>
          <w:szCs w:val="32"/>
        </w:rPr>
      </w:pPr>
    </w:p>
    <w:p>
      <w:pPr>
        <w:spacing w:line="560" w:lineRule="exact"/>
        <w:jc w:val="both"/>
        <w:rPr>
          <w:rFonts w:ascii="黑体" w:hAnsi="黑体" w:eastAsia="黑体" w:cs="黑体"/>
          <w:color w:val="auto"/>
          <w:kern w:val="0"/>
          <w:sz w:val="32"/>
          <w:szCs w:val="32"/>
        </w:rPr>
      </w:pPr>
      <w:r>
        <w:rPr>
          <w:rFonts w:hint="eastAsia" w:ascii="黑体" w:hAnsi="黑体" w:eastAsia="黑体" w:cs="黑体"/>
          <w:color w:val="auto"/>
          <w:kern w:val="0"/>
          <w:sz w:val="32"/>
          <w:szCs w:val="32"/>
        </w:rPr>
        <w:t>附件1</w:t>
      </w:r>
    </w:p>
    <w:p>
      <w:pPr>
        <w:spacing w:line="560" w:lineRule="exact"/>
        <w:jc w:val="both"/>
        <w:rPr>
          <w:rFonts w:ascii="仿宋_GB2312" w:hAnsi="Times New Roman" w:eastAsia="仿宋_GB2312" w:cs="Times New Roman"/>
          <w:color w:val="auto"/>
          <w:kern w:val="0"/>
          <w:sz w:val="32"/>
          <w:szCs w:val="32"/>
        </w:rPr>
      </w:pPr>
    </w:p>
    <w:p>
      <w:pPr>
        <w:spacing w:line="560" w:lineRule="exact"/>
        <w:jc w:val="center"/>
        <w:rPr>
          <w:rFonts w:ascii="方正小标宋简体" w:hAnsi="宋体" w:eastAsia="方正小标宋简体" w:cs="宋体"/>
          <w:color w:val="auto"/>
          <w:kern w:val="0"/>
          <w:sz w:val="40"/>
          <w:szCs w:val="40"/>
        </w:rPr>
      </w:pPr>
      <w:r>
        <w:rPr>
          <w:rFonts w:hint="eastAsia" w:ascii="方正小标宋简体" w:hAnsi="Times New Roman" w:eastAsia="方正小标宋简体" w:cs="宋体"/>
          <w:color w:val="auto"/>
          <w:kern w:val="0"/>
          <w:sz w:val="40"/>
          <w:szCs w:val="40"/>
          <w:lang w:eastAsia="ar-SA"/>
        </w:rPr>
        <w:t>广西中药材产地趁鲜切制加工品种目录（第一批）</w:t>
      </w:r>
    </w:p>
    <w:p>
      <w:pPr>
        <w:spacing w:line="560" w:lineRule="exact"/>
        <w:jc w:val="both"/>
        <w:rPr>
          <w:rFonts w:ascii="方正小标宋简体" w:hAnsi="宋体" w:eastAsia="方正小标宋简体" w:cs="宋体"/>
          <w:color w:val="auto"/>
          <w:kern w:val="0"/>
          <w:sz w:val="36"/>
          <w:szCs w:val="36"/>
        </w:rPr>
      </w:pPr>
    </w:p>
    <w:tbl>
      <w:tblPr>
        <w:tblStyle w:val="5"/>
        <w:tblW w:w="9654" w:type="dxa"/>
        <w:jc w:val="center"/>
        <w:tblLayout w:type="autofit"/>
        <w:tblCellMar>
          <w:top w:w="0" w:type="dxa"/>
          <w:left w:w="108" w:type="dxa"/>
          <w:bottom w:w="0" w:type="dxa"/>
          <w:right w:w="108" w:type="dxa"/>
        </w:tblCellMar>
      </w:tblPr>
      <w:tblGrid>
        <w:gridCol w:w="1575"/>
        <w:gridCol w:w="3260"/>
        <w:gridCol w:w="1605"/>
        <w:gridCol w:w="3214"/>
      </w:tblGrid>
      <w:tr>
        <w:tblPrEx>
          <w:tblCellMar>
            <w:top w:w="0" w:type="dxa"/>
            <w:left w:w="108" w:type="dxa"/>
            <w:bottom w:w="0" w:type="dxa"/>
            <w:right w:w="108" w:type="dxa"/>
          </w:tblCellMar>
        </w:tblPrEx>
        <w:trPr>
          <w:trHeight w:val="435" w:hRule="atLeast"/>
          <w:jc w:val="center"/>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color w:val="auto"/>
                <w:kern w:val="0"/>
                <w:sz w:val="24"/>
                <w:szCs w:val="24"/>
              </w:rPr>
            </w:pPr>
            <w:r>
              <w:rPr>
                <w:rFonts w:hint="eastAsia" w:ascii="宋体" w:hAnsi="宋体" w:eastAsia="宋体" w:cs="宋体"/>
                <w:b/>
                <w:color w:val="auto"/>
                <w:kern w:val="0"/>
                <w:sz w:val="24"/>
                <w:szCs w:val="24"/>
              </w:rPr>
              <w:t>序号</w:t>
            </w:r>
          </w:p>
        </w:tc>
        <w:tc>
          <w:tcPr>
            <w:tcW w:w="32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color w:val="auto"/>
                <w:kern w:val="0"/>
                <w:sz w:val="24"/>
                <w:szCs w:val="24"/>
              </w:rPr>
            </w:pPr>
            <w:r>
              <w:rPr>
                <w:rFonts w:hint="eastAsia" w:ascii="宋体" w:hAnsi="宋体" w:eastAsia="宋体" w:cs="宋体"/>
                <w:b/>
                <w:color w:val="auto"/>
                <w:kern w:val="0"/>
                <w:sz w:val="24"/>
                <w:szCs w:val="24"/>
              </w:rPr>
              <w:t>药材名称</w:t>
            </w:r>
          </w:p>
        </w:tc>
        <w:tc>
          <w:tcPr>
            <w:tcW w:w="16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color w:val="auto"/>
                <w:kern w:val="0"/>
                <w:sz w:val="24"/>
                <w:szCs w:val="24"/>
              </w:rPr>
            </w:pPr>
            <w:r>
              <w:rPr>
                <w:rFonts w:hint="eastAsia" w:ascii="宋体" w:hAnsi="宋体" w:eastAsia="宋体" w:cs="宋体"/>
                <w:b/>
                <w:color w:val="auto"/>
                <w:kern w:val="0"/>
                <w:sz w:val="24"/>
                <w:szCs w:val="24"/>
              </w:rPr>
              <w:t>序号</w:t>
            </w:r>
          </w:p>
        </w:tc>
        <w:tc>
          <w:tcPr>
            <w:tcW w:w="32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color w:val="auto"/>
                <w:kern w:val="0"/>
                <w:sz w:val="24"/>
                <w:szCs w:val="24"/>
              </w:rPr>
            </w:pPr>
            <w:r>
              <w:rPr>
                <w:rFonts w:hint="eastAsia" w:ascii="宋体" w:hAnsi="宋体" w:eastAsia="宋体" w:cs="宋体"/>
                <w:b/>
                <w:color w:val="auto"/>
                <w:kern w:val="0"/>
                <w:sz w:val="24"/>
                <w:szCs w:val="24"/>
              </w:rPr>
              <w:t>药材名称</w:t>
            </w:r>
          </w:p>
        </w:tc>
      </w:tr>
      <w:tr>
        <w:tblPrEx>
          <w:tblCellMar>
            <w:top w:w="0" w:type="dxa"/>
            <w:left w:w="108" w:type="dxa"/>
            <w:bottom w:w="0" w:type="dxa"/>
            <w:right w:w="108" w:type="dxa"/>
          </w:tblCellMar>
        </w:tblPrEx>
        <w:trPr>
          <w:trHeight w:val="435" w:hRule="atLeast"/>
          <w:jc w:val="center"/>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auto"/>
                <w:kern w:val="0"/>
                <w:sz w:val="24"/>
                <w:szCs w:val="24"/>
              </w:rPr>
            </w:pPr>
          </w:p>
        </w:tc>
        <w:tc>
          <w:tcPr>
            <w:tcW w:w="326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auto"/>
                <w:kern w:val="0"/>
                <w:sz w:val="24"/>
                <w:szCs w:val="24"/>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auto"/>
                <w:kern w:val="0"/>
                <w:sz w:val="24"/>
                <w:szCs w:val="24"/>
              </w:rPr>
            </w:pPr>
          </w:p>
        </w:tc>
        <w:tc>
          <w:tcPr>
            <w:tcW w:w="3214"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auto"/>
                <w:kern w:val="0"/>
                <w:sz w:val="24"/>
                <w:szCs w:val="24"/>
              </w:rPr>
            </w:pP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郁金</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14</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白及</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莪术</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15</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青蒿</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广山药</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16</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肿节风</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牛大力</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17</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黄柏</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天冬</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18</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金樱子肉</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肉桂</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19</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玉竹</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广金钱草</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20</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黄花倒水莲</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8</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千斤拔</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21</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杜仲</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9</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穿心莲</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22</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姜黄</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10</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泽泻</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23</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厚朴</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11</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巴戟天</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24</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灵芝</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12</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百部</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25</w:t>
            </w:r>
          </w:p>
        </w:tc>
        <w:tc>
          <w:tcPr>
            <w:tcW w:w="321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三叉苦</w:t>
            </w:r>
          </w:p>
        </w:tc>
      </w:tr>
      <w:tr>
        <w:tblPrEx>
          <w:tblCellMar>
            <w:top w:w="0" w:type="dxa"/>
            <w:left w:w="108" w:type="dxa"/>
            <w:bottom w:w="0" w:type="dxa"/>
            <w:right w:w="108" w:type="dxa"/>
          </w:tblCellMar>
        </w:tblPrEx>
        <w:trPr>
          <w:trHeight w:val="43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13</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广藿香</w:t>
            </w:r>
          </w:p>
        </w:tc>
        <w:tc>
          <w:tcPr>
            <w:tcW w:w="160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p>
        </w:tc>
        <w:tc>
          <w:tcPr>
            <w:tcW w:w="3214"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color w:val="auto"/>
                <w:kern w:val="0"/>
                <w:sz w:val="24"/>
                <w:szCs w:val="24"/>
              </w:rPr>
            </w:pPr>
          </w:p>
        </w:tc>
      </w:tr>
    </w:tbl>
    <w:p>
      <w:pPr>
        <w:spacing w:line="560" w:lineRule="exact"/>
        <w:jc w:val="both"/>
        <w:rPr>
          <w:rFonts w:ascii="仿宋_GB2312" w:hAnsi="Times New Roman" w:eastAsia="仿宋_GB2312" w:cs="Times New Roman"/>
          <w:color w:val="auto"/>
          <w:kern w:val="0"/>
          <w:sz w:val="32"/>
          <w:szCs w:val="32"/>
        </w:rPr>
      </w:pPr>
    </w:p>
    <w:p>
      <w:pPr>
        <w:spacing w:line="560" w:lineRule="exact"/>
        <w:jc w:val="both"/>
        <w:rPr>
          <w:rFonts w:ascii="仿宋_GB2312" w:hAnsi="Times New Roman" w:eastAsia="仿宋_GB2312" w:cs="Times New Roman"/>
          <w:color w:val="auto"/>
          <w:kern w:val="0"/>
          <w:sz w:val="32"/>
          <w:szCs w:val="32"/>
        </w:rPr>
      </w:pPr>
    </w:p>
    <w:p>
      <w:pPr>
        <w:spacing w:line="560" w:lineRule="exact"/>
        <w:jc w:val="both"/>
        <w:rPr>
          <w:rFonts w:ascii="仿宋_GB2312" w:hAnsi="Times New Roman" w:eastAsia="仿宋_GB2312" w:cs="Times New Roman"/>
          <w:color w:val="auto"/>
          <w:kern w:val="0"/>
          <w:sz w:val="32"/>
          <w:szCs w:val="32"/>
        </w:rPr>
      </w:pPr>
    </w:p>
    <w:p>
      <w:pPr>
        <w:spacing w:line="560" w:lineRule="exact"/>
        <w:jc w:val="both"/>
        <w:rPr>
          <w:rFonts w:ascii="仿宋_GB2312" w:hAnsi="Times New Roman" w:eastAsia="仿宋_GB2312" w:cs="Times New Roman"/>
          <w:color w:val="auto"/>
          <w:kern w:val="0"/>
          <w:sz w:val="32"/>
          <w:szCs w:val="32"/>
        </w:rPr>
      </w:pPr>
    </w:p>
    <w:p>
      <w:pPr>
        <w:spacing w:line="560" w:lineRule="exact"/>
        <w:jc w:val="both"/>
        <w:rPr>
          <w:rFonts w:ascii="仿宋_GB2312" w:hAnsi="Times New Roman" w:eastAsia="仿宋_GB2312" w:cs="Times New Roman"/>
          <w:color w:val="auto"/>
          <w:kern w:val="0"/>
          <w:sz w:val="32"/>
          <w:szCs w:val="32"/>
        </w:rPr>
      </w:pPr>
    </w:p>
    <w:p>
      <w:pPr>
        <w:spacing w:line="560" w:lineRule="exact"/>
        <w:jc w:val="both"/>
        <w:rPr>
          <w:rFonts w:ascii="仿宋_GB2312" w:hAnsi="Times New Roman" w:eastAsia="仿宋_GB2312" w:cs="Times New Roman"/>
          <w:color w:val="auto"/>
          <w:kern w:val="0"/>
          <w:sz w:val="32"/>
          <w:szCs w:val="32"/>
        </w:rPr>
      </w:pPr>
    </w:p>
    <w:p>
      <w:pPr>
        <w:spacing w:line="560" w:lineRule="exact"/>
        <w:jc w:val="both"/>
        <w:rPr>
          <w:rFonts w:hint="eastAsia" w:ascii="仿宋_GB2312" w:hAnsi="Times New Roman" w:eastAsia="仿宋_GB2312" w:cs="Times New Roman"/>
          <w:color w:val="auto"/>
          <w:kern w:val="0"/>
          <w:sz w:val="32"/>
          <w:szCs w:val="32"/>
        </w:rPr>
      </w:pPr>
    </w:p>
    <w:p>
      <w:pPr>
        <w:widowControl/>
        <w:spacing w:line="560" w:lineRule="exact"/>
        <w:jc w:val="both"/>
        <w:rPr>
          <w:rFonts w:ascii="黑体" w:hAnsi="黑体" w:eastAsia="黑体" w:cs="宋体"/>
          <w:color w:val="auto"/>
          <w:kern w:val="0"/>
          <w:sz w:val="32"/>
          <w:szCs w:val="32"/>
        </w:rPr>
      </w:pPr>
      <w:r>
        <w:rPr>
          <w:rFonts w:hint="eastAsia" w:ascii="黑体" w:hAnsi="黑体" w:eastAsia="黑体" w:cs="宋体"/>
          <w:color w:val="auto"/>
          <w:kern w:val="0"/>
          <w:sz w:val="32"/>
          <w:szCs w:val="32"/>
        </w:rPr>
        <w:t>附件2</w:t>
      </w:r>
    </w:p>
    <w:p>
      <w:pPr>
        <w:widowControl/>
        <w:spacing w:line="560" w:lineRule="exact"/>
        <w:jc w:val="both"/>
        <w:rPr>
          <w:rFonts w:ascii="黑体" w:hAnsi="黑体" w:eastAsia="黑体" w:cs="宋体"/>
          <w:color w:val="auto"/>
          <w:kern w:val="0"/>
          <w:sz w:val="32"/>
          <w:szCs w:val="32"/>
        </w:rPr>
      </w:pPr>
    </w:p>
    <w:p>
      <w:pPr>
        <w:widowControl/>
        <w:suppressAutoHyphens/>
        <w:spacing w:line="560" w:lineRule="exact"/>
        <w:jc w:val="center"/>
        <w:rPr>
          <w:rFonts w:ascii="方正小标宋简体" w:hAnsi="Times New Roman" w:eastAsia="方正小标宋简体" w:cs="宋体"/>
          <w:color w:val="auto"/>
          <w:kern w:val="0"/>
          <w:sz w:val="40"/>
          <w:szCs w:val="40"/>
          <w:lang w:eastAsia="ar-SA"/>
        </w:rPr>
      </w:pPr>
      <w:r>
        <w:rPr>
          <w:rFonts w:hint="eastAsia" w:ascii="方正小标宋简体" w:hAnsi="Times New Roman" w:eastAsia="方正小标宋简体" w:cs="宋体"/>
          <w:color w:val="auto"/>
          <w:kern w:val="0"/>
          <w:sz w:val="40"/>
          <w:szCs w:val="40"/>
          <w:lang w:eastAsia="ar-SA"/>
        </w:rPr>
        <w:t>广西中药材产地趁鲜切制加工质量管理指南</w:t>
      </w:r>
    </w:p>
    <w:p>
      <w:pPr>
        <w:widowControl/>
        <w:spacing w:line="560" w:lineRule="exact"/>
        <w:ind w:left="630"/>
        <w:jc w:val="both"/>
        <w:rPr>
          <w:rFonts w:ascii="微软雅黑" w:hAnsi="微软雅黑" w:eastAsia="微软雅黑" w:cs="宋体"/>
          <w:color w:val="auto"/>
          <w:kern w:val="0"/>
          <w:sz w:val="32"/>
          <w:szCs w:val="32"/>
        </w:rPr>
      </w:pPr>
      <w:r>
        <w:rPr>
          <w:rFonts w:hint="eastAsia" w:ascii="宋体" w:hAnsi="宋体" w:eastAsia="宋体" w:cs="宋体"/>
          <w:color w:val="auto"/>
          <w:kern w:val="0"/>
          <w:sz w:val="32"/>
          <w:szCs w:val="32"/>
        </w:rPr>
        <w:t> </w:t>
      </w:r>
    </w:p>
    <w:p>
      <w:pPr>
        <w:keepNext w:val="0"/>
        <w:keepLines w:val="0"/>
        <w:pageBreakBefore w:val="0"/>
        <w:widowControl/>
        <w:kinsoku/>
        <w:wordWrap/>
        <w:overflowPunct/>
        <w:topLinePunct w:val="0"/>
        <w:autoSpaceDE/>
        <w:autoSpaceDN/>
        <w:bidi w:val="0"/>
        <w:adjustRightInd/>
        <w:spacing w:line="560" w:lineRule="exact"/>
        <w:ind w:left="630"/>
        <w:jc w:val="both"/>
        <w:rPr>
          <w:rFonts w:ascii="微软雅黑" w:hAnsi="微软雅黑" w:eastAsia="微软雅黑" w:cs="宋体"/>
          <w:color w:val="auto"/>
          <w:kern w:val="0"/>
          <w:sz w:val="32"/>
          <w:szCs w:val="32"/>
        </w:rPr>
      </w:pPr>
      <w:r>
        <w:rPr>
          <w:rFonts w:hint="eastAsia" w:ascii="黑体" w:hAnsi="黑体" w:eastAsia="黑体" w:cs="宋体"/>
          <w:color w:val="auto"/>
          <w:kern w:val="0"/>
          <w:sz w:val="32"/>
          <w:szCs w:val="32"/>
        </w:rPr>
        <w:t>一、适用范围</w:t>
      </w:r>
    </w:p>
    <w:p>
      <w:pPr>
        <w:keepNext w:val="0"/>
        <w:keepLines w:val="0"/>
        <w:pageBreakBefore w:val="0"/>
        <w:widowControl/>
        <w:kinsoku/>
        <w:wordWrap/>
        <w:overflowPunct/>
        <w:topLinePunct w:val="0"/>
        <w:autoSpaceDE/>
        <w:autoSpaceDN/>
        <w:bidi w:val="0"/>
        <w:adjustRightInd/>
        <w:spacing w:line="560" w:lineRule="exac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本附件适用于中药材产地趁鲜切制的加工管理和质量控制的全过程。</w:t>
      </w:r>
    </w:p>
    <w:p>
      <w:pPr>
        <w:keepNext w:val="0"/>
        <w:keepLines w:val="0"/>
        <w:pageBreakBefore w:val="0"/>
        <w:widowControl/>
        <w:kinsoku/>
        <w:wordWrap/>
        <w:overflowPunct/>
        <w:topLinePunct w:val="0"/>
        <w:autoSpaceDE/>
        <w:autoSpaceDN/>
        <w:bidi w:val="0"/>
        <w:adjustRightInd/>
        <w:spacing w:line="560" w:lineRule="exact"/>
        <w:ind w:firstLine="630"/>
        <w:jc w:val="both"/>
        <w:rPr>
          <w:rFonts w:ascii="微软雅黑" w:hAnsi="微软雅黑" w:eastAsia="微软雅黑" w:cs="宋体"/>
          <w:color w:val="auto"/>
          <w:kern w:val="0"/>
          <w:sz w:val="32"/>
          <w:szCs w:val="32"/>
        </w:rPr>
      </w:pPr>
      <w:r>
        <w:rPr>
          <w:rFonts w:hint="eastAsia" w:ascii="黑体" w:hAnsi="黑体" w:eastAsia="黑体" w:cs="宋体"/>
          <w:color w:val="auto"/>
          <w:kern w:val="0"/>
          <w:sz w:val="32"/>
          <w:szCs w:val="32"/>
        </w:rPr>
        <w:t>二、原则</w:t>
      </w:r>
    </w:p>
    <w:p>
      <w:pPr>
        <w:keepNext w:val="0"/>
        <w:keepLines w:val="0"/>
        <w:pageBreakBefore w:val="0"/>
        <w:widowControl/>
        <w:kinsoku/>
        <w:wordWrap/>
        <w:overflowPunct/>
        <w:topLinePunct w:val="0"/>
        <w:autoSpaceDE/>
        <w:autoSpaceDN/>
        <w:bidi w:val="0"/>
        <w:adjustRightInd/>
        <w:spacing w:line="560" w:lineRule="exact"/>
        <w:ind w:firstLine="645"/>
        <w:jc w:val="both"/>
        <w:rPr>
          <w:rFonts w:ascii="仿宋_GB2312" w:hAnsi="微软雅黑" w:eastAsia="仿宋_GB2312" w:cs="宋体"/>
          <w:color w:val="auto"/>
          <w:kern w:val="0"/>
          <w:sz w:val="32"/>
          <w:szCs w:val="32"/>
        </w:rPr>
      </w:pPr>
      <w:r>
        <w:rPr>
          <w:rFonts w:ascii="Times New Roman" w:hAnsi="Times New Roman" w:eastAsia="仿宋_GB2312" w:cs="Times New Roman"/>
          <w:color w:val="auto"/>
          <w:kern w:val="0"/>
          <w:sz w:val="32"/>
          <w:szCs w:val="32"/>
        </w:rPr>
        <w:t>中药材产地趁鲜切制加工与中药饮片的质量密切相关，应当对其质量和工艺流程严格控制。中药材来源和质量应当符合</w:t>
      </w:r>
      <w:r>
        <w:rPr>
          <w:rFonts w:ascii="Times New Roman" w:hAnsi="Times New Roman" w:eastAsia="仿宋_GB2312" w:cs="Times New Roman"/>
          <w:color w:val="auto"/>
          <w:sz w:val="32"/>
          <w:szCs w:val="32"/>
        </w:rPr>
        <w:t>《中国药典》《广西中药饮片炮制规范》等国家、广西地方药材标准要求，</w:t>
      </w:r>
      <w:r>
        <w:rPr>
          <w:rStyle w:val="11"/>
          <w:rFonts w:eastAsia="仿宋_GB2312"/>
          <w:color w:val="auto"/>
          <w:sz w:val="32"/>
          <w:szCs w:val="32"/>
        </w:rPr>
        <w:t>种植、采收、加工等应当符合《中药材生产质量管理规范》（GAP）要求</w:t>
      </w:r>
      <w:r>
        <w:rPr>
          <w:rFonts w:ascii="Times New Roman" w:hAnsi="Times New Roman" w:eastAsia="仿宋_GB2312" w:cs="Times New Roman"/>
          <w:color w:val="auto"/>
          <w:kern w:val="0"/>
          <w:sz w:val="32"/>
          <w:szCs w:val="32"/>
        </w:rPr>
        <w:t>；净选、清洗、切制、干燥、筛选、包装等应当按照工艺流程进行；在切制、干燥、贮藏、运输过程中，应当采取措施控制污染，防止变质，避免交叉污染、混淆、差错。</w:t>
      </w:r>
    </w:p>
    <w:p>
      <w:pPr>
        <w:keepNext w:val="0"/>
        <w:keepLines w:val="0"/>
        <w:pageBreakBefore w:val="0"/>
        <w:widowControl/>
        <w:kinsoku/>
        <w:wordWrap/>
        <w:overflowPunct/>
        <w:topLinePunct w:val="0"/>
        <w:autoSpaceDE/>
        <w:autoSpaceDN/>
        <w:bidi w:val="0"/>
        <w:adjustRightInd/>
        <w:spacing w:line="560" w:lineRule="exact"/>
        <w:ind w:firstLine="645"/>
        <w:jc w:val="both"/>
        <w:rPr>
          <w:rFonts w:ascii="微软雅黑" w:hAnsi="微软雅黑" w:eastAsia="微软雅黑" w:cs="宋体"/>
          <w:color w:val="auto"/>
          <w:kern w:val="0"/>
          <w:sz w:val="32"/>
          <w:szCs w:val="32"/>
        </w:rPr>
      </w:pPr>
      <w:r>
        <w:rPr>
          <w:rFonts w:hint="eastAsia" w:ascii="黑体" w:hAnsi="黑体" w:eastAsia="黑体" w:cs="宋体"/>
          <w:color w:val="auto"/>
          <w:kern w:val="0"/>
          <w:sz w:val="32"/>
          <w:szCs w:val="32"/>
        </w:rPr>
        <w:t>三、人员要求</w:t>
      </w:r>
    </w:p>
    <w:p>
      <w:pPr>
        <w:keepNext w:val="0"/>
        <w:keepLines w:val="0"/>
        <w:pageBreakBefore w:val="0"/>
        <w:widowControl/>
        <w:kinsoku/>
        <w:wordWrap/>
        <w:overflowPunct/>
        <w:topLinePunct w:val="0"/>
        <w:autoSpaceDE/>
        <w:autoSpaceDN/>
        <w:bidi w:val="0"/>
        <w:adjustRightInd/>
        <w:spacing w:line="560" w:lineRule="exact"/>
        <w:ind w:firstLine="63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rPr>
        <w:t>一）</w:t>
      </w:r>
      <w:r>
        <w:rPr>
          <w:rStyle w:val="11"/>
          <w:rFonts w:hint="default" w:ascii="Times New Roman" w:hAnsi="Times New Roman" w:eastAsia="仿宋_GB2312" w:cs="Times New Roman"/>
          <w:color w:val="auto"/>
          <w:sz w:val="32"/>
          <w:szCs w:val="32"/>
        </w:rPr>
        <w:t>加工点负责人对中药材质量负责，</w:t>
      </w:r>
      <w:r>
        <w:rPr>
          <w:rFonts w:hint="default" w:ascii="Times New Roman" w:hAnsi="Times New Roman" w:eastAsia="仿宋_GB2312" w:cs="Times New Roman"/>
          <w:color w:val="auto"/>
          <w:kern w:val="0"/>
          <w:sz w:val="32"/>
          <w:szCs w:val="32"/>
        </w:rPr>
        <w:t>加工点应当配备足够</w:t>
      </w:r>
      <w:r>
        <w:rPr>
          <w:rStyle w:val="11"/>
          <w:rFonts w:hint="default" w:ascii="Times New Roman" w:hAnsi="Times New Roman" w:eastAsia="仿宋_GB2312" w:cs="Times New Roman"/>
          <w:color w:val="auto"/>
          <w:sz w:val="32"/>
          <w:szCs w:val="32"/>
        </w:rPr>
        <w:t>数量并具有和岗位职责相对应资质的生产和质量管理人员</w:t>
      </w:r>
      <w:r>
        <w:rPr>
          <w:rFonts w:hint="default" w:ascii="Times New Roman" w:hAnsi="Times New Roman" w:eastAsia="仿宋_GB2312" w:cs="Times New Roman"/>
          <w:color w:val="auto"/>
          <w:kern w:val="0"/>
          <w:sz w:val="32"/>
          <w:szCs w:val="32"/>
        </w:rPr>
        <w:t>，管理和技术人员应当具有3年以上中药材加工经验、具备中药材真伪鉴别能力；</w:t>
      </w:r>
      <w:r>
        <w:rPr>
          <w:rFonts w:hint="default" w:ascii="Times New Roman" w:hAnsi="Times New Roman" w:eastAsia="仿宋_GB2312" w:cs="Times New Roman"/>
          <w:color w:val="auto"/>
          <w:sz w:val="32"/>
          <w:szCs w:val="32"/>
        </w:rPr>
        <w:t>人员数量应当满足生产质量管理需</w:t>
      </w:r>
      <w:r>
        <w:rPr>
          <w:rFonts w:ascii="Times New Roman" w:hAnsi="Times New Roman" w:eastAsia="仿宋_GB2312" w:cs="Times New Roman"/>
          <w:color w:val="auto"/>
          <w:sz w:val="32"/>
          <w:szCs w:val="32"/>
        </w:rPr>
        <w:t>要。</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baseline"/>
        <w:rPr>
          <w:rFonts w:ascii="Times New Roman" w:hAnsi="Times New Roman" w:eastAsia="仿宋_GB2312" w:cs="Times New Roman"/>
          <w:color w:val="auto"/>
          <w:sz w:val="32"/>
          <w:szCs w:val="32"/>
          <w:lang w:val="en-GB"/>
        </w:rPr>
      </w:pPr>
      <w:r>
        <w:rPr>
          <w:rFonts w:ascii="Times New Roman" w:hAnsi="Times New Roman" w:eastAsia="仿宋_GB2312" w:cs="Times New Roman"/>
          <w:color w:val="auto"/>
          <w:sz w:val="32"/>
          <w:szCs w:val="32"/>
        </w:rPr>
        <w:t>（二）直接接触药材的工作人员应身体健康，无传染病、无化脓性或者渗出性皮肤病。</w:t>
      </w:r>
    </w:p>
    <w:p>
      <w:pPr>
        <w:keepNext w:val="0"/>
        <w:keepLines w:val="0"/>
        <w:pageBreakBefore w:val="0"/>
        <w:widowControl/>
        <w:kinsoku/>
        <w:wordWrap/>
        <w:overflowPunct/>
        <w:topLinePunct w:val="0"/>
        <w:autoSpaceDE/>
        <w:autoSpaceDN/>
        <w:bidi w:val="0"/>
        <w:adjustRightInd/>
        <w:spacing w:line="560" w:lineRule="exact"/>
        <w:ind w:firstLine="63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kern w:val="0"/>
          <w:sz w:val="32"/>
          <w:szCs w:val="32"/>
        </w:rPr>
        <w:t>（三）</w:t>
      </w:r>
      <w:r>
        <w:rPr>
          <w:rFonts w:ascii="Times New Roman" w:hAnsi="Times New Roman" w:eastAsia="仿宋_GB2312" w:cs="Times New Roman"/>
          <w:color w:val="auto"/>
          <w:sz w:val="32"/>
          <w:szCs w:val="32"/>
        </w:rPr>
        <w:t>应配备培训管理人员，对生产和质量有关的所有人员进行培训，培训的内容应包括中药专业知识、岗位技能和相关法规知识等。</w:t>
      </w:r>
    </w:p>
    <w:p>
      <w:pPr>
        <w:keepNext w:val="0"/>
        <w:keepLines w:val="0"/>
        <w:pageBreakBefore w:val="0"/>
        <w:widowControl/>
        <w:kinsoku/>
        <w:wordWrap/>
        <w:overflowPunct/>
        <w:topLinePunct w:val="0"/>
        <w:autoSpaceDE/>
        <w:autoSpaceDN/>
        <w:bidi w:val="0"/>
        <w:adjustRightInd/>
        <w:spacing w:line="560" w:lineRule="exact"/>
        <w:jc w:val="both"/>
        <w:rPr>
          <w:rFonts w:ascii="微软雅黑" w:hAnsi="微软雅黑" w:eastAsia="微软雅黑" w:cs="宋体"/>
          <w:color w:val="auto"/>
          <w:kern w:val="0"/>
          <w:sz w:val="32"/>
          <w:szCs w:val="32"/>
        </w:rPr>
      </w:pPr>
      <w:r>
        <w:rPr>
          <w:rFonts w:hint="eastAsia" w:ascii="仿宋_GB2312" w:hAnsi="微软雅黑" w:eastAsia="仿宋_GB2312" w:cs="宋体"/>
          <w:color w:val="auto"/>
          <w:kern w:val="0"/>
          <w:sz w:val="32"/>
          <w:szCs w:val="32"/>
        </w:rPr>
        <w:t xml:space="preserve">      </w:t>
      </w:r>
      <w:r>
        <w:rPr>
          <w:rFonts w:hint="eastAsia" w:ascii="黑体" w:hAnsi="黑体" w:eastAsia="黑体" w:cs="宋体"/>
          <w:color w:val="auto"/>
          <w:kern w:val="0"/>
          <w:sz w:val="32"/>
          <w:szCs w:val="32"/>
        </w:rPr>
        <w:t>四、选址要求</w:t>
      </w:r>
    </w:p>
    <w:p>
      <w:pPr>
        <w:keepNext w:val="0"/>
        <w:keepLines w:val="0"/>
        <w:pageBreakBefore w:val="0"/>
        <w:widowControl/>
        <w:kinsoku/>
        <w:wordWrap/>
        <w:overflowPunct/>
        <w:topLinePunct w:val="0"/>
        <w:autoSpaceDE/>
        <w:autoSpaceDN/>
        <w:bidi w:val="0"/>
        <w:adjustRightInd/>
        <w:spacing w:line="560" w:lineRule="exact"/>
        <w:ind w:firstLine="420"/>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（一）中药材产地趁鲜切制加工单位应当设置在中药材种植规模较大且相对集中的区域，符合环保要求。</w:t>
      </w:r>
    </w:p>
    <w:p>
      <w:pPr>
        <w:keepNext w:val="0"/>
        <w:keepLines w:val="0"/>
        <w:pageBreakBefore w:val="0"/>
        <w:widowControl/>
        <w:kinsoku/>
        <w:wordWrap/>
        <w:overflowPunct/>
        <w:topLinePunct w:val="0"/>
        <w:autoSpaceDE/>
        <w:autoSpaceDN/>
        <w:bidi w:val="0"/>
        <w:adjustRightInd/>
        <w:spacing w:line="560" w:lineRule="exact"/>
        <w:ind w:firstLine="420"/>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（二）应当远离污染源，整洁卫生，且交通便利。</w:t>
      </w:r>
    </w:p>
    <w:p>
      <w:pPr>
        <w:keepNext w:val="0"/>
        <w:keepLines w:val="0"/>
        <w:pageBreakBefore w:val="0"/>
        <w:widowControl/>
        <w:kinsoku/>
        <w:wordWrap/>
        <w:overflowPunct/>
        <w:topLinePunct w:val="0"/>
        <w:autoSpaceDE/>
        <w:autoSpaceDN/>
        <w:bidi w:val="0"/>
        <w:adjustRightInd/>
        <w:spacing w:line="560" w:lineRule="exact"/>
        <w:ind w:firstLine="42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（三）</w:t>
      </w:r>
      <w:r>
        <w:rPr>
          <w:rFonts w:hint="eastAsia" w:ascii="仿宋_GB2312" w:hAnsi="仿宋_GB2312" w:eastAsia="仿宋_GB2312" w:cs="仿宋_GB2312"/>
          <w:color w:val="auto"/>
          <w:sz w:val="32"/>
          <w:szCs w:val="32"/>
        </w:rPr>
        <w:t>厂区环境、储运过程等不应当对药材的加工造成污染。</w:t>
      </w:r>
    </w:p>
    <w:p>
      <w:pPr>
        <w:keepNext w:val="0"/>
        <w:keepLines w:val="0"/>
        <w:pageBreakBefore w:val="0"/>
        <w:widowControl/>
        <w:kinsoku/>
        <w:wordWrap/>
        <w:overflowPunct/>
        <w:topLinePunct w:val="0"/>
        <w:autoSpaceDE/>
        <w:autoSpaceDN/>
        <w:bidi w:val="0"/>
        <w:adjustRightInd/>
        <w:spacing w:line="560" w:lineRule="exact"/>
        <w:ind w:firstLine="645"/>
        <w:jc w:val="both"/>
        <w:rPr>
          <w:rFonts w:ascii="微软雅黑" w:hAnsi="微软雅黑" w:eastAsia="微软雅黑" w:cs="宋体"/>
          <w:color w:val="auto"/>
          <w:kern w:val="0"/>
          <w:sz w:val="32"/>
          <w:szCs w:val="32"/>
        </w:rPr>
      </w:pPr>
      <w:r>
        <w:rPr>
          <w:rFonts w:hint="eastAsia" w:ascii="黑体" w:hAnsi="黑体" w:eastAsia="黑体" w:cs="宋体"/>
          <w:color w:val="auto"/>
          <w:kern w:val="0"/>
          <w:sz w:val="32"/>
          <w:szCs w:val="32"/>
        </w:rPr>
        <w:t>五、加工车间与设施要求</w:t>
      </w:r>
    </w:p>
    <w:p>
      <w:pPr>
        <w:keepNext w:val="0"/>
        <w:keepLines w:val="0"/>
        <w:pageBreakBefore w:val="0"/>
        <w:widowControl/>
        <w:kinsoku/>
        <w:wordWrap/>
        <w:overflowPunct/>
        <w:topLinePunct w:val="0"/>
        <w:autoSpaceDE/>
        <w:autoSpaceDN/>
        <w:bidi w:val="0"/>
        <w:adjustRightInd/>
        <w:spacing w:line="560" w:lineRule="exact"/>
        <w:ind w:firstLine="420"/>
        <w:jc w:val="both"/>
        <w:rPr>
          <w:rFonts w:ascii="微软雅黑" w:hAnsi="微软雅黑" w:eastAsia="微软雅黑" w:cs="宋体"/>
          <w:color w:val="auto"/>
          <w:kern w:val="0"/>
          <w:sz w:val="32"/>
          <w:szCs w:val="32"/>
        </w:rPr>
      </w:pPr>
      <w:r>
        <w:rPr>
          <w:rFonts w:hint="eastAsia" w:ascii="仿宋_GB2312" w:hAnsi="微软雅黑" w:eastAsia="仿宋_GB2312" w:cs="宋体"/>
          <w:color w:val="auto"/>
          <w:kern w:val="0"/>
          <w:sz w:val="32"/>
          <w:szCs w:val="32"/>
        </w:rPr>
        <w:t>（一）车间与设施应当按加工工艺流程合理布局，并设置与其加工规模相适应当的净制、切制、干燥、包装等操作间。</w:t>
      </w:r>
    </w:p>
    <w:p>
      <w:pPr>
        <w:keepNext w:val="0"/>
        <w:keepLines w:val="0"/>
        <w:pageBreakBefore w:val="0"/>
        <w:widowControl/>
        <w:kinsoku/>
        <w:wordWrap/>
        <w:overflowPunct/>
        <w:topLinePunct w:val="0"/>
        <w:autoSpaceDE/>
        <w:autoSpaceDN/>
        <w:bidi w:val="0"/>
        <w:adjustRightInd/>
        <w:spacing w:line="560" w:lineRule="exact"/>
        <w:ind w:firstLine="42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（二）车间地面、墙壁、天棚等内表面应当平整，易于清洁，不易产生脱落物，不易滋生霉菌；排水设施完善；应当有防止昆虫或其他动物等进入的设施，灭鼠药、杀虫剂等不得对设备、物料、产品造成污染。</w:t>
      </w:r>
    </w:p>
    <w:p>
      <w:pPr>
        <w:keepNext w:val="0"/>
        <w:keepLines w:val="0"/>
        <w:pageBreakBefore w:val="0"/>
        <w:kinsoku/>
        <w:wordWrap/>
        <w:overflowPunct/>
        <w:topLinePunct w:val="0"/>
        <w:autoSpaceDE/>
        <w:autoSpaceDN/>
        <w:bidi w:val="0"/>
        <w:adjustRightInd/>
        <w:spacing w:line="560" w:lineRule="exact"/>
        <w:jc w:val="both"/>
        <w:rPr>
          <w:rFonts w:ascii="仿宋_GB2312" w:eastAsia="仿宋_GB2312"/>
          <w:color w:val="auto"/>
          <w:sz w:val="32"/>
          <w:szCs w:val="32"/>
        </w:rPr>
      </w:pPr>
      <w:r>
        <w:rPr>
          <w:rFonts w:hint="eastAsia" w:ascii="仿宋_GB2312" w:eastAsia="仿宋_GB2312"/>
          <w:color w:val="auto"/>
          <w:sz w:val="32"/>
          <w:szCs w:val="32"/>
        </w:rPr>
        <w:t xml:space="preserve">   （三）具备与加工规模相适应的硬化晾晒场（干燥设备或者烘房），应有防止昆虫、鸟类或啮齿类动物等进入的设施。</w:t>
      </w:r>
    </w:p>
    <w:p>
      <w:pPr>
        <w:keepNext w:val="0"/>
        <w:keepLines w:val="0"/>
        <w:pageBreakBefore w:val="0"/>
        <w:widowControl/>
        <w:kinsoku/>
        <w:wordWrap/>
        <w:overflowPunct/>
        <w:topLinePunct w:val="0"/>
        <w:autoSpaceDE/>
        <w:autoSpaceDN/>
        <w:bidi w:val="0"/>
        <w:adjustRightInd/>
        <w:spacing w:line="560" w:lineRule="exact"/>
        <w:ind w:firstLine="420"/>
        <w:jc w:val="both"/>
        <w:rPr>
          <w:rFonts w:ascii="微软雅黑" w:hAnsi="微软雅黑" w:eastAsia="微软雅黑" w:cs="宋体"/>
          <w:color w:val="auto"/>
          <w:kern w:val="0"/>
          <w:sz w:val="32"/>
          <w:szCs w:val="32"/>
        </w:rPr>
      </w:pPr>
      <w:r>
        <w:rPr>
          <w:rFonts w:hint="eastAsia" w:ascii="仿宋_GB2312" w:hAnsi="微软雅黑" w:eastAsia="仿宋_GB2312" w:cs="宋体"/>
          <w:color w:val="auto"/>
          <w:kern w:val="0"/>
          <w:sz w:val="32"/>
          <w:szCs w:val="32"/>
        </w:rPr>
        <w:t xml:space="preserve">（四）仓库面积与生产规模相适应，有通风和照明设施，能对温、湿度进行监控，有防止昆虫或其他动物等进入的设施。 </w:t>
      </w:r>
    </w:p>
    <w:p>
      <w:pPr>
        <w:keepNext w:val="0"/>
        <w:keepLines w:val="0"/>
        <w:pageBreakBefore w:val="0"/>
        <w:widowControl/>
        <w:kinsoku/>
        <w:wordWrap/>
        <w:overflowPunct/>
        <w:topLinePunct w:val="0"/>
        <w:autoSpaceDE/>
        <w:autoSpaceDN/>
        <w:bidi w:val="0"/>
        <w:adjustRightInd/>
        <w:spacing w:line="560" w:lineRule="exact"/>
        <w:ind w:firstLine="42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（五）留样室应当有足够的区域用于留样的存放，能够避免混淆和交叉污染。</w:t>
      </w:r>
    </w:p>
    <w:p>
      <w:pPr>
        <w:keepNext w:val="0"/>
        <w:keepLines w:val="0"/>
        <w:pageBreakBefore w:val="0"/>
        <w:widowControl/>
        <w:kinsoku/>
        <w:wordWrap/>
        <w:overflowPunct/>
        <w:topLinePunct w:val="0"/>
        <w:autoSpaceDE/>
        <w:autoSpaceDN/>
        <w:bidi w:val="0"/>
        <w:adjustRightInd/>
        <w:spacing w:line="560" w:lineRule="exact"/>
        <w:jc w:val="both"/>
        <w:rPr>
          <w:rFonts w:ascii="微软雅黑" w:hAnsi="微软雅黑" w:eastAsia="微软雅黑" w:cs="宋体"/>
          <w:color w:val="auto"/>
          <w:kern w:val="0"/>
          <w:sz w:val="32"/>
          <w:szCs w:val="32"/>
        </w:rPr>
      </w:pPr>
      <w:r>
        <w:rPr>
          <w:rFonts w:hint="eastAsia" w:ascii="仿宋_GB2312" w:hAnsi="微软雅黑" w:eastAsia="仿宋_GB2312" w:cs="宋体"/>
          <w:color w:val="auto"/>
          <w:kern w:val="0"/>
          <w:sz w:val="32"/>
          <w:szCs w:val="32"/>
        </w:rPr>
        <w:t xml:space="preserve">     </w:t>
      </w:r>
      <w:r>
        <w:rPr>
          <w:rFonts w:hint="eastAsia" w:ascii="黑体" w:hAnsi="黑体" w:eastAsia="黑体" w:cs="宋体"/>
          <w:color w:val="auto"/>
          <w:kern w:val="0"/>
          <w:sz w:val="32"/>
          <w:szCs w:val="32"/>
        </w:rPr>
        <w:t>六、设备要求</w:t>
      </w:r>
    </w:p>
    <w:p>
      <w:pPr>
        <w:keepNext w:val="0"/>
        <w:keepLines w:val="0"/>
        <w:pageBreakBefore w:val="0"/>
        <w:widowControl/>
        <w:kinsoku/>
        <w:wordWrap/>
        <w:overflowPunct/>
        <w:topLinePunct w:val="0"/>
        <w:autoSpaceDE/>
        <w:autoSpaceDN/>
        <w:bidi w:val="0"/>
        <w:adjustRightInd/>
        <w:spacing w:line="560" w:lineRule="exact"/>
        <w:ind w:firstLine="420"/>
        <w:jc w:val="both"/>
        <w:rPr>
          <w:rFonts w:ascii="微软雅黑" w:hAnsi="微软雅黑" w:eastAsia="微软雅黑" w:cs="宋体"/>
          <w:color w:val="auto"/>
          <w:kern w:val="0"/>
          <w:sz w:val="32"/>
          <w:szCs w:val="32"/>
        </w:rPr>
      </w:pPr>
      <w:r>
        <w:rPr>
          <w:rFonts w:hint="eastAsia" w:ascii="仿宋_GB2312" w:hAnsi="微软雅黑" w:eastAsia="仿宋_GB2312" w:cs="宋体"/>
          <w:color w:val="auto"/>
          <w:kern w:val="0"/>
          <w:sz w:val="32"/>
          <w:szCs w:val="32"/>
        </w:rPr>
        <w:t>（一）应当根据趁鲜切制加工中药材的不同特性，选用能满足加工工艺要求的设备。</w:t>
      </w:r>
    </w:p>
    <w:p>
      <w:pPr>
        <w:keepNext w:val="0"/>
        <w:keepLines w:val="0"/>
        <w:pageBreakBefore w:val="0"/>
        <w:widowControl/>
        <w:kinsoku/>
        <w:wordWrap/>
        <w:overflowPunct/>
        <w:topLinePunct w:val="0"/>
        <w:autoSpaceDE/>
        <w:autoSpaceDN/>
        <w:bidi w:val="0"/>
        <w:adjustRightInd/>
        <w:spacing w:line="560" w:lineRule="exact"/>
        <w:ind w:firstLine="42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（二）与中药材和直接接触的设备、工具、容器应当易清洁消毒，不易产生脱落物，不对中药材质量产生不良影响。</w:t>
      </w:r>
    </w:p>
    <w:p>
      <w:pPr>
        <w:keepNext w:val="0"/>
        <w:keepLines w:val="0"/>
        <w:pageBreakBefore w:val="0"/>
        <w:widowControl/>
        <w:kinsoku/>
        <w:wordWrap/>
        <w:overflowPunct/>
        <w:topLinePunct w:val="0"/>
        <w:autoSpaceDE/>
        <w:autoSpaceDN/>
        <w:bidi w:val="0"/>
        <w:adjustRightInd/>
        <w:spacing w:line="560" w:lineRule="exact"/>
        <w:ind w:left="600"/>
        <w:jc w:val="both"/>
        <w:rPr>
          <w:rFonts w:ascii="微软雅黑" w:hAnsi="微软雅黑" w:eastAsia="微软雅黑" w:cs="宋体"/>
          <w:color w:val="auto"/>
          <w:kern w:val="0"/>
          <w:sz w:val="32"/>
          <w:szCs w:val="32"/>
        </w:rPr>
      </w:pPr>
      <w:r>
        <w:rPr>
          <w:rFonts w:hint="eastAsia" w:ascii="黑体" w:hAnsi="黑体" w:eastAsia="黑体" w:cs="宋体"/>
          <w:color w:val="auto"/>
          <w:kern w:val="0"/>
          <w:sz w:val="32"/>
          <w:szCs w:val="32"/>
        </w:rPr>
        <w:t xml:space="preserve"> 七、文件管理要求</w:t>
      </w:r>
    </w:p>
    <w:p>
      <w:pPr>
        <w:keepNext w:val="0"/>
        <w:keepLines w:val="0"/>
        <w:pageBreakBefore w:val="0"/>
        <w:widowControl/>
        <w:kinsoku/>
        <w:wordWrap/>
        <w:overflowPunct/>
        <w:topLinePunct w:val="0"/>
        <w:autoSpaceDE/>
        <w:autoSpaceDN/>
        <w:bidi w:val="0"/>
        <w:adjustRightInd/>
        <w:spacing w:line="560" w:lineRule="exact"/>
        <w:ind w:firstLine="630"/>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（一）应当具有相应的产地趁鲜切制加工产品质量标准和工艺文件以及包括人员管理、原料管理、加工过程管理、仓储管理、质量管理等制度文件。</w:t>
      </w:r>
    </w:p>
    <w:p>
      <w:pPr>
        <w:keepNext w:val="0"/>
        <w:keepLines w:val="0"/>
        <w:pageBreakBefore w:val="0"/>
        <w:widowControl/>
        <w:kinsoku/>
        <w:wordWrap/>
        <w:overflowPunct/>
        <w:topLinePunct w:val="0"/>
        <w:autoSpaceDE/>
        <w:autoSpaceDN/>
        <w:bidi w:val="0"/>
        <w:adjustRightInd/>
        <w:spacing w:line="560" w:lineRule="exact"/>
        <w:ind w:firstLine="630"/>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应当对中药材趁鲜切制加工和包装的全过程的加工管理和质量控制情况进行记录，批记录至少包括以下内容：中药材的名称、批号、投料量及投料记录；净制、切制、干燥工艺的设备编号；加工前的检查和核对的记录；各工序的加工操作记录；清场记录等。</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（三）应建立人员档案，包括人员资质、人员培训和健康记录等内容，培训记录至少包括培训内容、培训人、参加培训人员、培训时间、培训地点、规模、主要培训内容、培训效果评价等内容。</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（四）中药材的质量追溯体系，应能够保证中药材种植、采收、加工、干燥、包装、仓储及销售等全过程可追溯。追溯信息可包括：</w:t>
      </w:r>
      <w:r>
        <w:rPr>
          <w:rFonts w:hint="eastAsia" w:ascii="仿宋_GB2312" w:hAnsi="仿宋_GB2312" w:eastAsia="仿宋_GB2312" w:cs="仿宋_GB2312"/>
          <w:color w:val="auto"/>
          <w:kern w:val="0"/>
          <w:sz w:val="32"/>
          <w:szCs w:val="32"/>
        </w:rPr>
        <w:t>产地地理坐标、种植面积、亩产数量、种子种苗来源、农药化肥的使用记录、种植时间、采收时间、切制加工日期、切制成品数量、成品去向等，保证中药材来源质量可溯可控</w:t>
      </w:r>
      <w:r>
        <w:rPr>
          <w:rStyle w:val="11"/>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（五）质量标准、工艺文件以及管理制度等应长期保存，批生产记录应至少保存至产品保质期后一年，未制定保质期的至少保存至该批中药材销售后三年。</w:t>
      </w:r>
    </w:p>
    <w:p>
      <w:pPr>
        <w:keepNext w:val="0"/>
        <w:keepLines w:val="0"/>
        <w:pageBreakBefore w:val="0"/>
        <w:widowControl/>
        <w:kinsoku/>
        <w:wordWrap/>
        <w:overflowPunct/>
        <w:topLinePunct w:val="0"/>
        <w:autoSpaceDE/>
        <w:autoSpaceDN/>
        <w:bidi w:val="0"/>
        <w:adjustRightInd/>
        <w:spacing w:line="560" w:lineRule="exact"/>
        <w:ind w:firstLine="630"/>
        <w:jc w:val="both"/>
        <w:rPr>
          <w:rFonts w:ascii="微软雅黑" w:hAnsi="微软雅黑" w:eastAsia="微软雅黑" w:cs="宋体"/>
          <w:color w:val="auto"/>
          <w:kern w:val="0"/>
          <w:sz w:val="32"/>
          <w:szCs w:val="32"/>
        </w:rPr>
      </w:pPr>
      <w:r>
        <w:rPr>
          <w:rFonts w:hint="eastAsia" w:ascii="黑体" w:hAnsi="黑体" w:eastAsia="黑体" w:cs="宋体"/>
          <w:color w:val="auto"/>
          <w:kern w:val="0"/>
          <w:sz w:val="32"/>
          <w:szCs w:val="32"/>
        </w:rPr>
        <w:t>八、加工管理要求</w:t>
      </w:r>
    </w:p>
    <w:p>
      <w:pPr>
        <w:keepNext w:val="0"/>
        <w:keepLines w:val="0"/>
        <w:pageBreakBefore w:val="0"/>
        <w:widowControl/>
        <w:kinsoku/>
        <w:wordWrap/>
        <w:overflowPunct/>
        <w:topLinePunct w:val="0"/>
        <w:autoSpaceDE/>
        <w:autoSpaceDN/>
        <w:bidi w:val="0"/>
        <w:adjustRightInd/>
        <w:spacing w:line="560" w:lineRule="exact"/>
        <w:ind w:firstLine="630"/>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（一）进入加工区的人员应当进行更衣、洗手。</w:t>
      </w:r>
      <w:r>
        <w:rPr>
          <w:rFonts w:hint="eastAsia" w:ascii="仿宋_GB2312" w:hAnsi="仿宋_GB2312" w:eastAsia="仿宋_GB2312" w:cs="仿宋_GB2312"/>
          <w:color w:val="auto"/>
          <w:sz w:val="32"/>
          <w:szCs w:val="32"/>
        </w:rPr>
        <w:t>不得携带或存放与药材加工无关的个人用品。</w:t>
      </w:r>
    </w:p>
    <w:p>
      <w:pPr>
        <w:keepNext w:val="0"/>
        <w:keepLines w:val="0"/>
        <w:pageBreakBefore w:val="0"/>
        <w:widowControl/>
        <w:kinsoku/>
        <w:wordWrap/>
        <w:overflowPunct/>
        <w:topLinePunct w:val="0"/>
        <w:autoSpaceDE/>
        <w:autoSpaceDN/>
        <w:bidi w:val="0"/>
        <w:adjustRightInd/>
        <w:spacing w:line="560" w:lineRule="exact"/>
        <w:ind w:firstLine="630"/>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（二）清洗后的中药材不得直接接触地面。晾晒过程应当采取有效地防虫、防雨等防污染措施。</w:t>
      </w:r>
    </w:p>
    <w:p>
      <w:pPr>
        <w:keepNext w:val="0"/>
        <w:keepLines w:val="0"/>
        <w:pageBreakBefore w:val="0"/>
        <w:widowControl/>
        <w:kinsoku/>
        <w:wordWrap/>
        <w:overflowPunct/>
        <w:topLinePunct w:val="0"/>
        <w:autoSpaceDE/>
        <w:autoSpaceDN/>
        <w:bidi w:val="0"/>
        <w:adjustRightInd/>
        <w:spacing w:line="560" w:lineRule="exact"/>
        <w:ind w:firstLine="630"/>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（三）应当使用流动的饮用水（或符合饮用水标准的水）清洗中药材，用过的水不得用于清洗其他中药材。不同的中药材不得同时在同一容器中清洗、浸润。</w:t>
      </w:r>
    </w:p>
    <w:p>
      <w:pPr>
        <w:keepNext w:val="0"/>
        <w:keepLines w:val="0"/>
        <w:pageBreakBefore w:val="0"/>
        <w:widowControl/>
        <w:kinsoku/>
        <w:wordWrap/>
        <w:overflowPunct/>
        <w:topLinePunct w:val="0"/>
        <w:autoSpaceDE/>
        <w:autoSpaceDN/>
        <w:bidi w:val="0"/>
        <w:adjustRightInd/>
        <w:spacing w:line="560" w:lineRule="exact"/>
        <w:ind w:firstLine="630"/>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（四）以中药材投料日期作为加工日期。应当以同一批中药材，在同一连续加工周期加工的一定数量相对均质的成品为一批。</w:t>
      </w:r>
    </w:p>
    <w:p>
      <w:pPr>
        <w:keepNext w:val="0"/>
        <w:keepLines w:val="0"/>
        <w:pageBreakBefore w:val="0"/>
        <w:widowControl/>
        <w:kinsoku/>
        <w:wordWrap/>
        <w:overflowPunct/>
        <w:topLinePunct w:val="0"/>
        <w:autoSpaceDE/>
        <w:autoSpaceDN/>
        <w:bidi w:val="0"/>
        <w:adjustRightInd/>
        <w:spacing w:line="560" w:lineRule="exact"/>
        <w:ind w:firstLine="630"/>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（五）在同一操作间内同时进行不同品种、规格的中药材加工操作应当采取防止交叉污染的隔离措施。</w:t>
      </w:r>
    </w:p>
    <w:p>
      <w:pPr>
        <w:keepNext w:val="0"/>
        <w:keepLines w:val="0"/>
        <w:pageBreakBefore w:val="0"/>
        <w:kinsoku/>
        <w:wordWrap/>
        <w:overflowPunct/>
        <w:topLinePunct w:val="0"/>
        <w:autoSpaceDE/>
        <w:autoSpaceDN/>
        <w:bidi w:val="0"/>
        <w:adjustRightInd/>
        <w:spacing w:line="56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（六）加工过程中应禁止使用有毒、有害物质用于防霉、防腐、防蛀虫；禁止一切染色增重、漂白、掺杂使假等行为。</w:t>
      </w:r>
    </w:p>
    <w:p>
      <w:pPr>
        <w:keepNext w:val="0"/>
        <w:keepLines w:val="0"/>
        <w:pageBreakBefore w:val="0"/>
        <w:kinsoku/>
        <w:wordWrap/>
        <w:overflowPunct/>
        <w:topLinePunct w:val="0"/>
        <w:autoSpaceDE/>
        <w:autoSpaceDN/>
        <w:bidi w:val="0"/>
        <w:adjustRightInd/>
        <w:spacing w:line="56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（七）使用灭鼠药、杀虫剂、烟熏剂等不得对设施设备、容器具、物料、产品造成污染。</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（八）对于协议采购，采购方的药品生产企业应当对供应方加工点的中药材加工过程进行监督。</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（九）应当在规定时间内加工完毕，加工过程中的临时存放不得影响中药材质量。</w:t>
      </w:r>
    </w:p>
    <w:p>
      <w:pPr>
        <w:keepNext w:val="0"/>
        <w:keepLines w:val="0"/>
        <w:pageBreakBefore w:val="0"/>
        <w:widowControl/>
        <w:kinsoku/>
        <w:wordWrap/>
        <w:overflowPunct/>
        <w:topLinePunct w:val="0"/>
        <w:autoSpaceDE/>
        <w:autoSpaceDN/>
        <w:bidi w:val="0"/>
        <w:adjustRightInd/>
        <w:spacing w:line="560" w:lineRule="exact"/>
        <w:ind w:firstLine="630"/>
        <w:jc w:val="both"/>
        <w:rPr>
          <w:rFonts w:ascii="微软雅黑" w:hAnsi="微软雅黑" w:eastAsia="微软雅黑" w:cs="宋体"/>
          <w:color w:val="auto"/>
          <w:kern w:val="0"/>
          <w:sz w:val="32"/>
          <w:szCs w:val="32"/>
        </w:rPr>
      </w:pPr>
      <w:r>
        <w:rPr>
          <w:rFonts w:hint="eastAsia" w:ascii="黑体" w:hAnsi="黑体" w:eastAsia="黑体" w:cs="宋体"/>
          <w:color w:val="auto"/>
          <w:kern w:val="0"/>
          <w:sz w:val="32"/>
          <w:szCs w:val="32"/>
        </w:rPr>
        <w:t>九、质量控制与管理要求</w:t>
      </w:r>
    </w:p>
    <w:p>
      <w:pPr>
        <w:keepNext w:val="0"/>
        <w:keepLines w:val="0"/>
        <w:pageBreakBefore w:val="0"/>
        <w:widowControl/>
        <w:kinsoku/>
        <w:wordWrap/>
        <w:overflowPunct/>
        <w:topLinePunct w:val="0"/>
        <w:autoSpaceDE/>
        <w:autoSpaceDN/>
        <w:bidi w:val="0"/>
        <w:adjustRightInd/>
        <w:spacing w:line="560" w:lineRule="exact"/>
        <w:ind w:firstLine="645"/>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（一）中药生产企业对趁鲜切制加工的中药材质量和来源进行监督和控制。</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（二）</w:t>
      </w:r>
      <w:r>
        <w:rPr>
          <w:rFonts w:hint="eastAsia" w:ascii="仿宋_GB2312" w:hAnsi="仿宋_GB2312" w:eastAsia="仿宋_GB2312" w:cs="仿宋_GB2312"/>
          <w:color w:val="auto"/>
          <w:sz w:val="32"/>
          <w:szCs w:val="32"/>
        </w:rPr>
        <w:t>中药</w:t>
      </w:r>
      <w:r>
        <w:rPr>
          <w:rStyle w:val="11"/>
          <w:rFonts w:hint="eastAsia" w:ascii="仿宋_GB2312" w:hAnsi="仿宋_GB2312" w:eastAsia="仿宋_GB2312" w:cs="仿宋_GB2312"/>
          <w:color w:val="auto"/>
          <w:sz w:val="32"/>
          <w:szCs w:val="32"/>
        </w:rPr>
        <w:t>生产企业应制定加工工艺流程与技术要求，对产地加工过程进行工艺验证。工艺流程技术包括净制、切制、干燥、整理和包装等。对于协议采购，供应方加工点应根据采购方</w:t>
      </w:r>
      <w:r>
        <w:rPr>
          <w:rFonts w:hint="eastAsia" w:ascii="仿宋_GB2312" w:hAnsi="仿宋_GB2312" w:eastAsia="仿宋_GB2312" w:cs="仿宋_GB2312"/>
          <w:color w:val="auto"/>
          <w:sz w:val="32"/>
          <w:szCs w:val="32"/>
        </w:rPr>
        <w:t>中药</w:t>
      </w:r>
      <w:r>
        <w:rPr>
          <w:rStyle w:val="11"/>
          <w:rFonts w:hint="eastAsia" w:ascii="仿宋_GB2312" w:hAnsi="仿宋_GB2312" w:eastAsia="仿宋_GB2312" w:cs="仿宋_GB2312"/>
          <w:color w:val="auto"/>
          <w:sz w:val="32"/>
          <w:szCs w:val="32"/>
        </w:rPr>
        <w:t>生产企业的工艺流程与技术要求，制定相应的技术标准；由采购方制定管理文件，供应方执行管理文件。</w:t>
      </w:r>
    </w:p>
    <w:p>
      <w:pPr>
        <w:keepNext w:val="0"/>
        <w:keepLines w:val="0"/>
        <w:pageBreakBefore w:val="0"/>
        <w:widowControl/>
        <w:kinsoku/>
        <w:wordWrap/>
        <w:overflowPunct/>
        <w:topLinePunct w:val="0"/>
        <w:autoSpaceDE/>
        <w:autoSpaceDN/>
        <w:bidi w:val="0"/>
        <w:adjustRightInd/>
        <w:spacing w:line="560" w:lineRule="exact"/>
        <w:ind w:firstLine="645"/>
        <w:jc w:val="both"/>
        <w:rPr>
          <w:rFonts w:ascii="仿宋_GB2312" w:hAnsi="仿宋_GB2312" w:eastAsia="仿宋_GB2312" w:cs="仿宋_GB2312"/>
          <w:strike/>
          <w:color w:val="auto"/>
          <w:kern w:val="0"/>
          <w:sz w:val="32"/>
          <w:szCs w:val="32"/>
        </w:rPr>
      </w:pPr>
      <w:r>
        <w:rPr>
          <w:rFonts w:hint="eastAsia" w:ascii="仿宋_GB2312" w:hAnsi="仿宋_GB2312" w:eastAsia="仿宋_GB2312" w:cs="仿宋_GB2312"/>
          <w:color w:val="auto"/>
          <w:kern w:val="0"/>
          <w:sz w:val="32"/>
          <w:szCs w:val="32"/>
        </w:rPr>
        <w:t>（三）</w:t>
      </w:r>
      <w:r>
        <w:rPr>
          <w:rFonts w:hint="eastAsia" w:ascii="仿宋_GB2312" w:hAnsi="仿宋_GB2312" w:eastAsia="仿宋_GB2312" w:cs="仿宋_GB2312"/>
          <w:color w:val="auto"/>
          <w:sz w:val="32"/>
          <w:szCs w:val="32"/>
        </w:rPr>
        <w:t>中药</w:t>
      </w:r>
      <w:r>
        <w:rPr>
          <w:rFonts w:hint="eastAsia" w:ascii="仿宋_GB2312" w:hAnsi="仿宋_GB2312" w:eastAsia="仿宋_GB2312" w:cs="仿宋_GB2312"/>
          <w:color w:val="auto"/>
          <w:kern w:val="0"/>
          <w:sz w:val="32"/>
          <w:szCs w:val="32"/>
        </w:rPr>
        <w:t>生产企业应制定趁鲜切制加工中药材的内控质量标准，该标准应当不低于同品种中药材、中药饮片的法定检验标准。</w:t>
      </w:r>
    </w:p>
    <w:p>
      <w:pPr>
        <w:keepNext w:val="0"/>
        <w:keepLines w:val="0"/>
        <w:pageBreakBefore w:val="0"/>
        <w:widowControl/>
        <w:kinsoku/>
        <w:wordWrap/>
        <w:overflowPunct/>
        <w:topLinePunct w:val="0"/>
        <w:autoSpaceDE/>
        <w:autoSpaceDN/>
        <w:bidi w:val="0"/>
        <w:adjustRightInd/>
        <w:spacing w:line="560" w:lineRule="exact"/>
        <w:ind w:firstLine="645"/>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w:t>
      </w:r>
      <w:r>
        <w:rPr>
          <w:rFonts w:hint="eastAsia" w:ascii="仿宋_GB2312" w:hAnsi="仿宋_GB2312" w:eastAsia="仿宋_GB2312" w:cs="仿宋_GB2312"/>
          <w:color w:val="auto"/>
          <w:sz w:val="32"/>
          <w:szCs w:val="32"/>
        </w:rPr>
        <w:t>中药</w:t>
      </w:r>
      <w:r>
        <w:rPr>
          <w:rFonts w:hint="eastAsia" w:ascii="仿宋_GB2312" w:hAnsi="仿宋_GB2312" w:eastAsia="仿宋_GB2312" w:cs="仿宋_GB2312"/>
          <w:color w:val="auto"/>
          <w:kern w:val="0"/>
          <w:sz w:val="32"/>
          <w:szCs w:val="32"/>
        </w:rPr>
        <w:t>生产企业应当对购进的每批中药材进行留样，留样量至少应当为两倍检验量，留样时间至少为放行后一年。</w:t>
      </w:r>
    </w:p>
    <w:p>
      <w:pPr>
        <w:keepNext w:val="0"/>
        <w:keepLines w:val="0"/>
        <w:pageBreakBefore w:val="0"/>
        <w:widowControl/>
        <w:kinsoku/>
        <w:wordWrap/>
        <w:overflowPunct/>
        <w:topLinePunct w:val="0"/>
        <w:autoSpaceDE/>
        <w:autoSpaceDN/>
        <w:bidi w:val="0"/>
        <w:adjustRightInd/>
        <w:spacing w:line="560" w:lineRule="exact"/>
        <w:ind w:firstLine="630"/>
        <w:jc w:val="both"/>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w:t>
      </w:r>
      <w:r>
        <w:rPr>
          <w:rFonts w:hint="eastAsia" w:ascii="仿宋_GB2312" w:hAnsi="仿宋_GB2312" w:eastAsia="仿宋_GB2312" w:cs="仿宋_GB2312"/>
          <w:color w:val="auto"/>
          <w:sz w:val="32"/>
          <w:szCs w:val="32"/>
        </w:rPr>
        <w:t>中药</w:t>
      </w:r>
      <w:r>
        <w:rPr>
          <w:rFonts w:hint="eastAsia" w:ascii="仿宋_GB2312" w:hAnsi="仿宋_GB2312" w:eastAsia="仿宋_GB2312" w:cs="仿宋_GB2312"/>
          <w:color w:val="auto"/>
          <w:kern w:val="0"/>
          <w:sz w:val="32"/>
          <w:szCs w:val="32"/>
        </w:rPr>
        <w:t>生产企业应当对所加工的品种进行年度质量回顾分析，对影响产品质量的变更应当进行备案管理，应当保存所有变更的文件和记录。</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w:t>
      </w:r>
      <w:r>
        <w:rPr>
          <w:rStyle w:val="11"/>
          <w:rFonts w:hint="eastAsia" w:ascii="仿宋_GB2312" w:hAnsi="仿宋_GB2312" w:eastAsia="仿宋_GB2312" w:cs="仿宋_GB2312"/>
          <w:color w:val="auto"/>
          <w:sz w:val="32"/>
          <w:szCs w:val="32"/>
        </w:rPr>
        <w:t>对于协议采购的，采购方</w:t>
      </w:r>
      <w:r>
        <w:rPr>
          <w:rFonts w:hint="eastAsia" w:ascii="仿宋_GB2312" w:hAnsi="仿宋_GB2312" w:eastAsia="仿宋_GB2312" w:cs="仿宋_GB2312"/>
          <w:color w:val="auto"/>
          <w:sz w:val="32"/>
          <w:szCs w:val="32"/>
        </w:rPr>
        <w:t>中药</w:t>
      </w:r>
      <w:r>
        <w:rPr>
          <w:rStyle w:val="11"/>
          <w:rFonts w:hint="eastAsia" w:ascii="仿宋_GB2312" w:hAnsi="仿宋_GB2312" w:eastAsia="仿宋_GB2312" w:cs="仿宋_GB2312"/>
          <w:color w:val="auto"/>
          <w:sz w:val="32"/>
          <w:szCs w:val="32"/>
        </w:rPr>
        <w:t>生产企业应当对供应方（加工点）的加工条件、技术水平和质量管理情况进行现场审核，确保供应方的加工条件和质量管理能力持续符合要求。</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（七）应根据双方质量协议通过自行检验或委托具备相应资质的检验机构等方式对产品进行检验，检验合格后方可销售和采购。</w:t>
      </w:r>
    </w:p>
    <w:p>
      <w:pPr>
        <w:keepNext w:val="0"/>
        <w:keepLines w:val="0"/>
        <w:pageBreakBefore w:val="0"/>
        <w:kinsoku/>
        <w:wordWrap/>
        <w:overflowPunct/>
        <w:topLinePunct w:val="0"/>
        <w:autoSpaceDE/>
        <w:autoSpaceDN/>
        <w:bidi w:val="0"/>
        <w:adjustRightInd/>
        <w:spacing w:line="560" w:lineRule="exact"/>
        <w:ind w:firstLine="640" w:firstLineChars="200"/>
        <w:jc w:val="both"/>
        <w:rPr>
          <w:rFonts w:ascii="微软雅黑" w:hAnsi="微软雅黑" w:eastAsia="微软雅黑" w:cs="宋体"/>
          <w:color w:val="auto"/>
          <w:kern w:val="0"/>
          <w:sz w:val="32"/>
          <w:szCs w:val="32"/>
        </w:rPr>
      </w:pPr>
      <w:r>
        <w:rPr>
          <w:rFonts w:hint="eastAsia" w:ascii="黑体" w:hAnsi="黑体" w:eastAsia="黑体" w:cs="宋体"/>
          <w:color w:val="auto"/>
          <w:kern w:val="0"/>
          <w:sz w:val="32"/>
          <w:szCs w:val="32"/>
        </w:rPr>
        <w:t>十、包装与运输要求</w:t>
      </w:r>
    </w:p>
    <w:p>
      <w:pPr>
        <w:keepNext w:val="0"/>
        <w:keepLines w:val="0"/>
        <w:pageBreakBefore w:val="0"/>
        <w:widowControl/>
        <w:kinsoku/>
        <w:wordWrap/>
        <w:overflowPunct/>
        <w:topLinePunct w:val="0"/>
        <w:autoSpaceDE/>
        <w:autoSpaceDN/>
        <w:bidi w:val="0"/>
        <w:adjustRightInd/>
        <w:spacing w:line="560" w:lineRule="exact"/>
        <w:ind w:firstLine="42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（一）</w:t>
      </w:r>
      <w:r>
        <w:rPr>
          <w:rFonts w:hint="eastAsia" w:ascii="仿宋_GB2312" w:eastAsia="仿宋_GB2312"/>
          <w:color w:val="auto"/>
          <w:sz w:val="32"/>
          <w:szCs w:val="32"/>
        </w:rPr>
        <w:t>产地加工药材应当有规范的包装和标签，并附质量合格标识。选用能保证其贮存和运输期间质量的包装材料或容器。</w:t>
      </w:r>
      <w:r>
        <w:rPr>
          <w:rFonts w:hint="eastAsia" w:ascii="仿宋_GB2312" w:hAnsi="微软雅黑" w:eastAsia="仿宋_GB2312" w:cs="宋体"/>
          <w:color w:val="auto"/>
          <w:kern w:val="0"/>
          <w:sz w:val="32"/>
          <w:szCs w:val="32"/>
        </w:rPr>
        <w:t>包装必须印有或者贴有标签，注明</w:t>
      </w:r>
      <w:r>
        <w:rPr>
          <w:rFonts w:hint="eastAsia" w:ascii="仿宋_GB2312" w:hAnsi="Arial" w:eastAsia="仿宋_GB2312" w:cs="Arial"/>
          <w:color w:val="auto"/>
          <w:kern w:val="0"/>
          <w:sz w:val="32"/>
          <w:szCs w:val="32"/>
        </w:rPr>
        <w:t>品名、规格、数量、产地、采收日期、</w:t>
      </w:r>
      <w:r>
        <w:rPr>
          <w:rFonts w:hint="eastAsia" w:ascii="仿宋_GB2312" w:hAnsi="Times New Roman" w:eastAsia="仿宋_GB2312" w:cs="Times New Roman"/>
          <w:color w:val="auto"/>
          <w:kern w:val="0"/>
          <w:sz w:val="32"/>
          <w:szCs w:val="32"/>
        </w:rPr>
        <w:t>加工日期、</w:t>
      </w:r>
      <w:r>
        <w:rPr>
          <w:rFonts w:hint="eastAsia" w:ascii="仿宋_GB2312" w:hAnsi="Arial" w:eastAsia="仿宋_GB2312" w:cs="Arial"/>
          <w:color w:val="auto"/>
          <w:kern w:val="0"/>
          <w:sz w:val="32"/>
          <w:szCs w:val="32"/>
        </w:rPr>
        <w:t>生产批号、贮藏、复验期、</w:t>
      </w:r>
      <w:r>
        <w:rPr>
          <w:rFonts w:hint="eastAsia" w:ascii="仿宋_GB2312" w:hAnsi="Times New Roman" w:eastAsia="仿宋_GB2312" w:cs="Times New Roman"/>
          <w:color w:val="auto"/>
          <w:kern w:val="0"/>
          <w:sz w:val="32"/>
          <w:szCs w:val="32"/>
        </w:rPr>
        <w:t>加工单位</w:t>
      </w:r>
      <w:r>
        <w:rPr>
          <w:rFonts w:hint="eastAsia" w:ascii="仿宋_GB2312" w:hAnsi="Arial" w:eastAsia="仿宋_GB2312" w:cs="Arial"/>
          <w:color w:val="auto"/>
          <w:kern w:val="0"/>
          <w:sz w:val="32"/>
          <w:szCs w:val="32"/>
        </w:rPr>
        <w:t>等。</w:t>
      </w:r>
      <w:r>
        <w:rPr>
          <w:rFonts w:hint="eastAsia" w:ascii="仿宋_GB2312" w:hAnsi="微软雅黑" w:eastAsia="仿宋_GB2312" w:cs="宋体"/>
          <w:color w:val="auto"/>
          <w:kern w:val="0"/>
          <w:sz w:val="32"/>
          <w:szCs w:val="32"/>
        </w:rPr>
        <w:t>直接接触药材的包装材料应当至少符合食品包装材料标准。</w:t>
      </w:r>
    </w:p>
    <w:p>
      <w:pPr>
        <w:keepNext w:val="0"/>
        <w:keepLines w:val="0"/>
        <w:pageBreakBefore w:val="0"/>
        <w:widowControl/>
        <w:kinsoku/>
        <w:wordWrap/>
        <w:overflowPunct/>
        <w:topLinePunct w:val="0"/>
        <w:autoSpaceDE/>
        <w:autoSpaceDN/>
        <w:bidi w:val="0"/>
        <w:adjustRightInd/>
        <w:spacing w:line="560" w:lineRule="exact"/>
        <w:ind w:firstLine="42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（二）运输过程应当采取有效可靠的措施，保证其质量稳定。</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ascii="黑体" w:hAnsi="黑体" w:eastAsia="黑体" w:cs="黑体"/>
          <w:color w:val="auto"/>
          <w:sz w:val="32"/>
          <w:szCs w:val="32"/>
        </w:rPr>
      </w:pPr>
      <w:r>
        <w:rPr>
          <w:rStyle w:val="11"/>
          <w:rFonts w:hint="eastAsia" w:ascii="黑体" w:hAnsi="黑体" w:eastAsia="黑体" w:cs="黑体"/>
          <w:color w:val="auto"/>
          <w:sz w:val="32"/>
          <w:szCs w:val="32"/>
        </w:rPr>
        <w:t>十一、</w:t>
      </w:r>
      <w:r>
        <w:rPr>
          <w:rFonts w:hint="eastAsia" w:ascii="黑体" w:hAnsi="黑体" w:eastAsia="黑体" w:cs="黑体"/>
          <w:color w:val="auto"/>
          <w:sz w:val="32"/>
          <w:szCs w:val="32"/>
        </w:rPr>
        <w:t>中药</w:t>
      </w:r>
      <w:r>
        <w:rPr>
          <w:rStyle w:val="11"/>
          <w:rFonts w:hint="eastAsia" w:ascii="黑体" w:hAnsi="黑体" w:eastAsia="黑体" w:cs="黑体"/>
          <w:color w:val="auto"/>
          <w:sz w:val="32"/>
          <w:szCs w:val="32"/>
        </w:rPr>
        <w:t>生产企业购进鲜切药材，应当符合以下要求:</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eastAsia="仿宋_GB2312"/>
          <w:color w:val="auto"/>
          <w:sz w:val="32"/>
          <w:szCs w:val="32"/>
        </w:rPr>
      </w:pPr>
      <w:r>
        <w:rPr>
          <w:rStyle w:val="11"/>
          <w:rFonts w:eastAsia="仿宋_GB2312"/>
          <w:color w:val="auto"/>
          <w:sz w:val="32"/>
          <w:szCs w:val="32"/>
        </w:rPr>
        <w:t>（一）鲜切药材应当是符合《广西规范中药材产地趁鲜切制加工指导意见》相关要求的品种。</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eastAsia="仿宋_GB2312"/>
          <w:color w:val="auto"/>
          <w:sz w:val="32"/>
          <w:szCs w:val="32"/>
        </w:rPr>
      </w:pPr>
      <w:r>
        <w:rPr>
          <w:rStyle w:val="11"/>
          <w:rFonts w:eastAsia="仿宋_GB2312"/>
          <w:color w:val="auto"/>
          <w:sz w:val="32"/>
          <w:szCs w:val="32"/>
        </w:rPr>
        <w:t>（二）质量管理体系延伸到鲜切药材的种植、采收、加工等环节</w:t>
      </w:r>
      <w:r>
        <w:rPr>
          <w:rStyle w:val="11"/>
          <w:rFonts w:hint="eastAsia" w:eastAsia="仿宋_GB2312"/>
          <w:color w:val="auto"/>
          <w:sz w:val="32"/>
          <w:szCs w:val="32"/>
        </w:rPr>
        <w:t>，</w:t>
      </w:r>
      <w:r>
        <w:rPr>
          <w:rStyle w:val="11"/>
          <w:rFonts w:eastAsia="仿宋_GB2312"/>
          <w:color w:val="auto"/>
          <w:sz w:val="32"/>
          <w:szCs w:val="32"/>
        </w:rPr>
        <w:t>中药材种植、采收等环节基本符合《中药材生产质量管理规范》要求</w:t>
      </w:r>
      <w:r>
        <w:rPr>
          <w:rStyle w:val="11"/>
          <w:rFonts w:hint="eastAsia" w:eastAsia="仿宋_GB2312"/>
          <w:color w:val="auto"/>
          <w:sz w:val="32"/>
          <w:szCs w:val="32"/>
        </w:rPr>
        <w:t>，</w:t>
      </w:r>
      <w:r>
        <w:rPr>
          <w:rStyle w:val="11"/>
          <w:rFonts w:eastAsia="仿宋_GB2312"/>
          <w:color w:val="auto"/>
          <w:sz w:val="32"/>
          <w:szCs w:val="32"/>
        </w:rPr>
        <w:t>加工环节基本符合《</w:t>
      </w:r>
      <w:r>
        <w:rPr>
          <w:rFonts w:ascii="Times New Roman" w:hAnsi="Times New Roman" w:eastAsia="仿宋_GB2312" w:cs="Times New Roman"/>
          <w:color w:val="auto"/>
          <w:kern w:val="0"/>
          <w:sz w:val="32"/>
          <w:szCs w:val="32"/>
        </w:rPr>
        <w:t>广西中药材产地趁鲜切制加工质量管理指南</w:t>
      </w:r>
      <w:r>
        <w:rPr>
          <w:rStyle w:val="11"/>
          <w:rFonts w:eastAsia="仿宋_GB2312"/>
          <w:color w:val="auto"/>
          <w:sz w:val="32"/>
          <w:szCs w:val="32"/>
        </w:rPr>
        <w:t>》和中药饮片GMP要求，产地加工企业的质量管理体系健全并能有效运行。</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eastAsia="仿宋_GB2312"/>
          <w:color w:val="auto"/>
          <w:sz w:val="32"/>
          <w:szCs w:val="32"/>
        </w:rPr>
      </w:pPr>
      <w:r>
        <w:rPr>
          <w:rStyle w:val="11"/>
          <w:rFonts w:eastAsia="仿宋_GB2312"/>
          <w:color w:val="auto"/>
          <w:sz w:val="32"/>
          <w:szCs w:val="32"/>
        </w:rPr>
        <w:t>（三）与产地加工点签订购买合同和质量协议并妥善保存。</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eastAsia="仿宋_GB2312"/>
          <w:color w:val="auto"/>
          <w:sz w:val="32"/>
          <w:szCs w:val="32"/>
        </w:rPr>
      </w:pPr>
      <w:r>
        <w:rPr>
          <w:rStyle w:val="11"/>
          <w:rFonts w:eastAsia="仿宋_GB2312"/>
          <w:color w:val="auto"/>
          <w:sz w:val="32"/>
          <w:szCs w:val="32"/>
        </w:rPr>
        <w:t>（四）鲜切药材应当入库验收。</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eastAsia="仿宋_GB2312"/>
          <w:color w:val="auto"/>
          <w:sz w:val="32"/>
          <w:szCs w:val="32"/>
        </w:rPr>
      </w:pPr>
      <w:r>
        <w:rPr>
          <w:rStyle w:val="11"/>
          <w:rFonts w:eastAsia="仿宋_GB2312"/>
          <w:color w:val="auto"/>
          <w:sz w:val="32"/>
          <w:szCs w:val="32"/>
        </w:rPr>
        <w:t>（五）对采购的鲜切药材</w:t>
      </w:r>
      <w:r>
        <w:rPr>
          <w:rStyle w:val="11"/>
          <w:rFonts w:hint="eastAsia" w:eastAsia="仿宋_GB2312"/>
          <w:color w:val="auto"/>
          <w:sz w:val="32"/>
          <w:szCs w:val="32"/>
        </w:rPr>
        <w:t>，</w:t>
      </w:r>
      <w:r>
        <w:rPr>
          <w:rStyle w:val="11"/>
          <w:rFonts w:eastAsia="仿宋_GB2312"/>
          <w:color w:val="auto"/>
          <w:sz w:val="32"/>
          <w:szCs w:val="32"/>
        </w:rPr>
        <w:t>应当按照中药饮片GMP要求以及《中国药典》《广西中药饮片炮制规范》等标准进行净制、炮炙等生产加工</w:t>
      </w:r>
      <w:r>
        <w:rPr>
          <w:rStyle w:val="11"/>
          <w:rFonts w:hint="eastAsia" w:eastAsia="仿宋_GB2312"/>
          <w:color w:val="auto"/>
          <w:sz w:val="32"/>
          <w:szCs w:val="32"/>
        </w:rPr>
        <w:t>，</w:t>
      </w:r>
      <w:r>
        <w:rPr>
          <w:rStyle w:val="11"/>
          <w:rFonts w:eastAsia="仿宋_GB2312"/>
          <w:color w:val="auto"/>
          <w:sz w:val="32"/>
          <w:szCs w:val="32"/>
        </w:rPr>
        <w:t>并经检验合格后</w:t>
      </w:r>
      <w:r>
        <w:rPr>
          <w:rStyle w:val="11"/>
          <w:rFonts w:hint="eastAsia" w:eastAsia="仿宋_GB2312"/>
          <w:color w:val="auto"/>
          <w:sz w:val="32"/>
          <w:szCs w:val="32"/>
        </w:rPr>
        <w:t>，</w:t>
      </w:r>
      <w:r>
        <w:rPr>
          <w:rStyle w:val="11"/>
          <w:rFonts w:eastAsia="仿宋_GB2312"/>
          <w:color w:val="auto"/>
          <w:sz w:val="32"/>
          <w:szCs w:val="32"/>
        </w:rPr>
        <w:t>方可销售或进入后续生产环节</w:t>
      </w:r>
      <w:r>
        <w:rPr>
          <w:rStyle w:val="11"/>
          <w:rFonts w:hint="eastAsia" w:eastAsia="仿宋_GB2312"/>
          <w:color w:val="auto"/>
          <w:sz w:val="32"/>
          <w:szCs w:val="32"/>
        </w:rPr>
        <w:t>；</w:t>
      </w:r>
      <w:r>
        <w:rPr>
          <w:rStyle w:val="11"/>
          <w:rFonts w:eastAsia="仿宋_GB2312"/>
          <w:color w:val="auto"/>
          <w:sz w:val="32"/>
          <w:szCs w:val="32"/>
        </w:rPr>
        <w:t>仅净制的</w:t>
      </w:r>
      <w:r>
        <w:rPr>
          <w:rStyle w:val="11"/>
          <w:rFonts w:hint="eastAsia" w:eastAsia="仿宋_GB2312"/>
          <w:color w:val="auto"/>
          <w:sz w:val="32"/>
          <w:szCs w:val="32"/>
        </w:rPr>
        <w:t>，</w:t>
      </w:r>
      <w:r>
        <w:rPr>
          <w:rStyle w:val="11"/>
          <w:rFonts w:eastAsia="仿宋_GB2312"/>
          <w:color w:val="auto"/>
          <w:sz w:val="32"/>
          <w:szCs w:val="32"/>
        </w:rPr>
        <w:t>经验证评估后可引用鲜切药材的检验数据</w:t>
      </w:r>
      <w:r>
        <w:rPr>
          <w:rStyle w:val="11"/>
          <w:rFonts w:hint="eastAsia" w:eastAsia="仿宋_GB2312"/>
          <w:color w:val="auto"/>
          <w:sz w:val="32"/>
          <w:szCs w:val="32"/>
        </w:rPr>
        <w:t>，</w:t>
      </w:r>
      <w:r>
        <w:rPr>
          <w:rStyle w:val="11"/>
          <w:rFonts w:eastAsia="仿宋_GB2312"/>
          <w:color w:val="auto"/>
          <w:sz w:val="32"/>
          <w:szCs w:val="32"/>
        </w:rPr>
        <w:t>并在中药饮片检验报告中注明。</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eastAsia="仿宋_GB2312"/>
          <w:color w:val="auto"/>
          <w:sz w:val="32"/>
          <w:szCs w:val="32"/>
        </w:rPr>
      </w:pPr>
      <w:r>
        <w:rPr>
          <w:rStyle w:val="11"/>
          <w:rFonts w:eastAsia="仿宋_GB2312"/>
          <w:color w:val="auto"/>
          <w:sz w:val="32"/>
          <w:szCs w:val="32"/>
        </w:rPr>
        <w:t>（六）对采购的鲜切药材进行质量评估，承担质量管理主体责任。</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七）建立药品信息化追溯系统,实现使用鲜切药材生产、销售的药品全过程可追溯。可与产地加工点（企业）及其所在地政府建立的鲜切药材信息化追溯平台对接,共享有关信息和数据；或在所采购鲜切药材产地加工点（企业）质量追溯基础上进一步完善信息化追溯体系，保证所采购的鲜切药材在种植、采收、加工、干燥、包装、仓储及生产的药品及销售等全过程可追溯。</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rPr>
          <w:rStyle w:val="11"/>
          <w:rFonts w:ascii="仿宋" w:hAnsi="仿宋" w:eastAsia="仿宋"/>
          <w:color w:val="auto"/>
          <w:sz w:val="32"/>
          <w:szCs w:val="32"/>
        </w:rPr>
      </w:pPr>
    </w:p>
    <w:p>
      <w:pPr>
        <w:keepNext w:val="0"/>
        <w:keepLines w:val="0"/>
        <w:pageBreakBefore w:val="0"/>
        <w:widowControl/>
        <w:kinsoku/>
        <w:wordWrap/>
        <w:overflowPunct/>
        <w:topLinePunct w:val="0"/>
        <w:autoSpaceDE/>
        <w:autoSpaceDN/>
        <w:bidi w:val="0"/>
        <w:adjustRightInd/>
        <w:spacing w:line="560" w:lineRule="exact"/>
        <w:jc w:val="both"/>
        <w:rPr>
          <w:rFonts w:ascii="微软雅黑" w:hAnsi="微软雅黑" w:eastAsia="微软雅黑" w:cs="宋体"/>
          <w:color w:val="auto"/>
          <w:kern w:val="0"/>
          <w:sz w:val="32"/>
          <w:szCs w:val="32"/>
        </w:rPr>
      </w:pPr>
    </w:p>
    <w:p>
      <w:pPr>
        <w:widowControl/>
        <w:spacing w:line="555" w:lineRule="atLeast"/>
        <w:jc w:val="both"/>
        <w:rPr>
          <w:rFonts w:ascii="黑体" w:hAnsi="黑体" w:eastAsia="黑体" w:cs="宋体"/>
          <w:color w:val="auto"/>
          <w:kern w:val="0"/>
          <w:sz w:val="32"/>
          <w:szCs w:val="32"/>
        </w:rPr>
      </w:pPr>
    </w:p>
    <w:p>
      <w:pPr>
        <w:widowControl/>
        <w:spacing w:line="555" w:lineRule="atLeast"/>
        <w:jc w:val="both"/>
        <w:rPr>
          <w:rFonts w:ascii="黑体" w:hAnsi="黑体" w:eastAsia="黑体" w:cs="宋体"/>
          <w:color w:val="auto"/>
          <w:kern w:val="0"/>
          <w:sz w:val="32"/>
          <w:szCs w:val="32"/>
        </w:rPr>
      </w:pPr>
    </w:p>
    <w:p>
      <w:pPr>
        <w:widowControl/>
        <w:spacing w:line="555" w:lineRule="atLeast"/>
        <w:jc w:val="both"/>
        <w:rPr>
          <w:rFonts w:ascii="黑体" w:hAnsi="黑体" w:eastAsia="黑体" w:cs="宋体"/>
          <w:color w:val="auto"/>
          <w:kern w:val="0"/>
          <w:sz w:val="32"/>
          <w:szCs w:val="32"/>
        </w:rPr>
      </w:pPr>
    </w:p>
    <w:p>
      <w:pPr>
        <w:widowControl/>
        <w:spacing w:line="555" w:lineRule="atLeast"/>
        <w:jc w:val="both"/>
        <w:rPr>
          <w:rFonts w:ascii="黑体" w:hAnsi="黑体" w:eastAsia="黑体" w:cs="宋体"/>
          <w:color w:val="auto"/>
          <w:kern w:val="0"/>
          <w:sz w:val="32"/>
          <w:szCs w:val="32"/>
        </w:rPr>
      </w:pPr>
    </w:p>
    <w:p>
      <w:pPr>
        <w:widowControl/>
        <w:spacing w:line="555" w:lineRule="atLeast"/>
        <w:jc w:val="both"/>
        <w:rPr>
          <w:rFonts w:ascii="黑体" w:hAnsi="黑体" w:eastAsia="黑体" w:cs="宋体"/>
          <w:color w:val="auto"/>
          <w:kern w:val="0"/>
          <w:sz w:val="32"/>
          <w:szCs w:val="32"/>
        </w:rPr>
      </w:pPr>
    </w:p>
    <w:p>
      <w:pPr>
        <w:widowControl/>
        <w:spacing w:line="555" w:lineRule="atLeast"/>
        <w:jc w:val="both"/>
        <w:rPr>
          <w:rFonts w:ascii="黑体" w:hAnsi="黑体" w:eastAsia="黑体" w:cs="宋体"/>
          <w:color w:val="auto"/>
          <w:kern w:val="0"/>
          <w:sz w:val="32"/>
          <w:szCs w:val="32"/>
        </w:rPr>
      </w:pPr>
    </w:p>
    <w:p>
      <w:pPr>
        <w:widowControl/>
        <w:spacing w:line="555" w:lineRule="atLeast"/>
        <w:jc w:val="both"/>
        <w:rPr>
          <w:rFonts w:ascii="黑体" w:hAnsi="黑体" w:eastAsia="黑体" w:cs="宋体"/>
          <w:color w:val="auto"/>
          <w:kern w:val="0"/>
          <w:sz w:val="32"/>
          <w:szCs w:val="32"/>
        </w:rPr>
      </w:pPr>
    </w:p>
    <w:p>
      <w:pPr>
        <w:widowControl/>
        <w:spacing w:line="555" w:lineRule="atLeast"/>
        <w:jc w:val="both"/>
        <w:rPr>
          <w:rFonts w:hint="eastAsia" w:ascii="黑体" w:hAnsi="黑体" w:eastAsia="黑体" w:cs="宋体"/>
          <w:color w:val="auto"/>
          <w:kern w:val="0"/>
          <w:sz w:val="32"/>
          <w:szCs w:val="32"/>
        </w:rPr>
      </w:pPr>
    </w:p>
    <w:p>
      <w:pPr>
        <w:widowControl/>
        <w:spacing w:line="555" w:lineRule="atLeast"/>
        <w:jc w:val="both"/>
        <w:rPr>
          <w:rFonts w:hint="eastAsia" w:ascii="黑体" w:hAnsi="黑体" w:eastAsia="黑体" w:cs="宋体"/>
          <w:color w:val="auto"/>
          <w:kern w:val="0"/>
          <w:sz w:val="32"/>
          <w:szCs w:val="32"/>
        </w:rPr>
      </w:pPr>
    </w:p>
    <w:p>
      <w:pPr>
        <w:widowControl/>
        <w:spacing w:line="555" w:lineRule="atLeast"/>
        <w:jc w:val="both"/>
        <w:rPr>
          <w:rFonts w:hint="eastAsia" w:ascii="黑体" w:hAnsi="黑体" w:eastAsia="黑体" w:cs="宋体"/>
          <w:color w:val="auto"/>
          <w:kern w:val="0"/>
          <w:sz w:val="32"/>
          <w:szCs w:val="32"/>
        </w:rPr>
      </w:pPr>
    </w:p>
    <w:p>
      <w:pPr>
        <w:widowControl/>
        <w:spacing w:line="555" w:lineRule="atLeast"/>
        <w:jc w:val="both"/>
        <w:rPr>
          <w:rFonts w:hint="eastAsia" w:ascii="黑体" w:hAnsi="黑体" w:eastAsia="黑体" w:cs="宋体"/>
          <w:color w:val="auto"/>
          <w:kern w:val="0"/>
          <w:sz w:val="32"/>
          <w:szCs w:val="32"/>
        </w:rPr>
      </w:pPr>
    </w:p>
    <w:p>
      <w:pPr>
        <w:widowControl/>
        <w:spacing w:line="555" w:lineRule="atLeast"/>
        <w:jc w:val="both"/>
        <w:rPr>
          <w:rFonts w:hint="eastAsia" w:ascii="黑体" w:hAnsi="黑体" w:eastAsia="黑体" w:cs="宋体"/>
          <w:color w:val="auto"/>
          <w:kern w:val="0"/>
          <w:sz w:val="32"/>
          <w:szCs w:val="32"/>
        </w:rPr>
      </w:pPr>
    </w:p>
    <w:p>
      <w:pPr>
        <w:widowControl/>
        <w:spacing w:line="555" w:lineRule="atLeast"/>
        <w:jc w:val="both"/>
        <w:rPr>
          <w:rFonts w:hint="eastAsia" w:ascii="黑体" w:hAnsi="黑体" w:eastAsia="黑体" w:cs="宋体"/>
          <w:color w:val="auto"/>
          <w:kern w:val="0"/>
          <w:sz w:val="32"/>
          <w:szCs w:val="32"/>
        </w:rPr>
      </w:pPr>
    </w:p>
    <w:p>
      <w:pPr>
        <w:widowControl/>
        <w:spacing w:line="555" w:lineRule="atLeast"/>
        <w:jc w:val="both"/>
        <w:rPr>
          <w:rFonts w:ascii="微软雅黑" w:hAnsi="微软雅黑" w:eastAsia="微软雅黑" w:cs="宋体"/>
          <w:color w:val="auto"/>
          <w:kern w:val="0"/>
          <w:sz w:val="27"/>
          <w:szCs w:val="27"/>
        </w:rPr>
      </w:pPr>
      <w:r>
        <w:rPr>
          <w:rFonts w:hint="eastAsia" w:ascii="黑体" w:hAnsi="黑体" w:eastAsia="黑体" w:cs="宋体"/>
          <w:color w:val="auto"/>
          <w:kern w:val="0"/>
          <w:sz w:val="32"/>
          <w:szCs w:val="32"/>
        </w:rPr>
        <w:t>附件3</w:t>
      </w:r>
    </w:p>
    <w:p>
      <w:pPr>
        <w:widowControl/>
        <w:spacing w:line="560" w:lineRule="atLeast"/>
        <w:jc w:val="center"/>
        <w:rPr>
          <w:rFonts w:ascii="微软雅黑" w:hAnsi="微软雅黑" w:eastAsia="微软雅黑" w:cs="宋体"/>
          <w:color w:val="auto"/>
          <w:kern w:val="0"/>
          <w:sz w:val="27"/>
          <w:szCs w:val="27"/>
        </w:rPr>
      </w:pPr>
      <w:r>
        <w:rPr>
          <w:rFonts w:hint="eastAsia" w:ascii="方正小标宋_GBK" w:hAnsi="微软雅黑" w:eastAsia="方正小标宋_GBK" w:cs="宋体"/>
          <w:color w:val="auto"/>
          <w:kern w:val="0"/>
          <w:sz w:val="44"/>
          <w:szCs w:val="44"/>
        </w:rPr>
        <w:t>中药材产地趁鲜切制加工审计表</w:t>
      </w:r>
    </w:p>
    <w:tbl>
      <w:tblPr>
        <w:tblStyle w:val="5"/>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525"/>
        <w:gridCol w:w="1532"/>
        <w:gridCol w:w="1526"/>
        <w:gridCol w:w="1533"/>
        <w:gridCol w:w="1526"/>
        <w:gridCol w:w="152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832" w:type="pct"/>
            <w:vMerge w:val="restar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中药生产</w:t>
            </w:r>
          </w:p>
          <w:p>
            <w:pPr>
              <w:widowControl/>
              <w:spacing w:line="300" w:lineRule="exact"/>
              <w:jc w:val="center"/>
              <w:rPr>
                <w:rFonts w:ascii="仿宋_GB2312" w:hAnsi="微软雅黑" w:eastAsia="仿宋_GB2312" w:cs="宋体"/>
                <w:kern w:val="0"/>
                <w:sz w:val="24"/>
                <w:szCs w:val="24"/>
              </w:rPr>
            </w:pPr>
            <w:r>
              <w:rPr>
                <w:rFonts w:hint="eastAsia" w:ascii="仿宋_GB2312" w:hAnsi="黑体" w:eastAsia="仿宋_GB2312" w:cs="宋体"/>
                <w:kern w:val="0"/>
                <w:sz w:val="24"/>
                <w:szCs w:val="24"/>
              </w:rPr>
              <w:t>企业情况</w:t>
            </w:r>
          </w:p>
        </w:tc>
        <w:tc>
          <w:tcPr>
            <w:tcW w:w="836" w:type="pc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名</w:t>
            </w:r>
            <w:r>
              <w:rPr>
                <w:rFonts w:hint="eastAsia" w:ascii="宋体" w:hAnsi="宋体" w:eastAsia="仿宋_GB2312" w:cs="宋体"/>
                <w:kern w:val="0"/>
                <w:sz w:val="24"/>
                <w:szCs w:val="24"/>
              </w:rPr>
              <w:t> </w:t>
            </w:r>
            <w:r>
              <w:rPr>
                <w:rFonts w:hint="eastAsia" w:ascii="Calibri" w:hAnsi="Calibri" w:eastAsia="仿宋_GB2312" w:cs="宋体"/>
                <w:kern w:val="0"/>
                <w:sz w:val="24"/>
                <w:szCs w:val="24"/>
              </w:rPr>
              <w:t>  </w:t>
            </w:r>
            <w:r>
              <w:rPr>
                <w:rFonts w:hint="eastAsia" w:ascii="宋体" w:hAnsi="宋体" w:eastAsia="仿宋_GB2312" w:cs="宋体"/>
                <w:kern w:val="0"/>
                <w:sz w:val="24"/>
                <w:szCs w:val="24"/>
              </w:rPr>
              <w:t> </w:t>
            </w:r>
            <w:r>
              <w:rPr>
                <w:rFonts w:hint="eastAsia" w:ascii="仿宋_GB2312" w:hAnsi="宋体" w:eastAsia="仿宋_GB2312" w:cs="宋体"/>
                <w:kern w:val="0"/>
                <w:sz w:val="24"/>
                <w:szCs w:val="24"/>
              </w:rPr>
              <w:t>称</w:t>
            </w:r>
          </w:p>
        </w:tc>
        <w:tc>
          <w:tcPr>
            <w:tcW w:w="832" w:type="pc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 xml:space="preserve">地 </w:t>
            </w:r>
            <w:r>
              <w:rPr>
                <w:rFonts w:hint="eastAsia" w:ascii="宋体" w:hAnsi="宋体" w:eastAsia="仿宋_GB2312" w:cs="宋体"/>
                <w:kern w:val="0"/>
                <w:sz w:val="24"/>
                <w:szCs w:val="24"/>
              </w:rPr>
              <w:t> </w:t>
            </w:r>
            <w:r>
              <w:rPr>
                <w:rFonts w:hint="eastAsia" w:ascii="Calibri" w:hAnsi="Calibri" w:eastAsia="仿宋_GB2312" w:cs="宋体"/>
                <w:kern w:val="0"/>
                <w:sz w:val="24"/>
                <w:szCs w:val="24"/>
              </w:rPr>
              <w:t>  </w:t>
            </w:r>
            <w:r>
              <w:rPr>
                <w:rFonts w:hint="eastAsia" w:ascii="仿宋_GB2312" w:hAnsi="宋体" w:eastAsia="仿宋_GB2312" w:cs="宋体"/>
                <w:kern w:val="0"/>
                <w:sz w:val="24"/>
                <w:szCs w:val="24"/>
              </w:rPr>
              <w:t>址</w:t>
            </w:r>
          </w:p>
        </w:tc>
        <w:tc>
          <w:tcPr>
            <w:tcW w:w="1664" w:type="pct"/>
            <w:gridSpan w:val="2"/>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2" w:hRule="atLeast"/>
          <w:jc w:val="center"/>
        </w:trPr>
        <w:tc>
          <w:tcPr>
            <w:tcW w:w="832" w:type="pct"/>
            <w:vMerge w:val="continue"/>
            <w:tcBorders>
              <w:top w:val="single" w:color="auto" w:sz="6" w:space="0"/>
              <w:left w:val="single" w:color="auto" w:sz="6" w:space="0"/>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负 责 人</w:t>
            </w: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联系方式</w:t>
            </w:r>
          </w:p>
        </w:tc>
        <w:tc>
          <w:tcPr>
            <w:tcW w:w="1664" w:type="pct"/>
            <w:gridSpan w:val="2"/>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1667" w:type="pct"/>
            <w:gridSpan w:val="2"/>
            <w:tcBorders>
              <w:top w:val="nil"/>
              <w:left w:val="single" w:color="auto" w:sz="6" w:space="0"/>
              <w:bottom w:val="single" w:color="auto" w:sz="4" w:space="0"/>
              <w:right w:val="single" w:color="auto" w:sz="6" w:space="0"/>
            </w:tcBorders>
            <w:tcMar>
              <w:top w:w="0" w:type="dxa"/>
              <w:left w:w="105" w:type="dxa"/>
              <w:bottom w:w="0" w:type="dxa"/>
              <w:right w:w="105" w:type="dxa"/>
            </w:tcMar>
            <w:vAlign w:val="center"/>
          </w:tcPr>
          <w:p>
            <w:pPr>
              <w:spacing w:line="300" w:lineRule="exact"/>
              <w:jc w:val="center"/>
              <w:rPr>
                <w:rFonts w:ascii="仿宋_GB2312" w:hAnsi="微软雅黑" w:eastAsia="仿宋_GB2312" w:cs="宋体"/>
                <w:kern w:val="0"/>
                <w:sz w:val="24"/>
                <w:szCs w:val="24"/>
              </w:rPr>
            </w:pPr>
            <w:r>
              <w:rPr>
                <w:rFonts w:hint="eastAsia" w:ascii="仿宋_GB2312" w:hAnsi="微软雅黑" w:eastAsia="仿宋_GB2312" w:cs="宋体"/>
                <w:kern w:val="0"/>
                <w:sz w:val="24"/>
                <w:szCs w:val="24"/>
              </w:rPr>
              <w:t>中药材切片来源</w:t>
            </w:r>
          </w:p>
        </w:tc>
        <w:tc>
          <w:tcPr>
            <w:tcW w:w="3333" w:type="pct"/>
            <w:gridSpan w:val="4"/>
            <w:tcBorders>
              <w:top w:val="nil"/>
              <w:left w:val="nil"/>
              <w:bottom w:val="single" w:color="auto" w:sz="4"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r>
              <w:rPr>
                <w:rFonts w:hint="eastAsia" w:ascii="仿宋_GB2312" w:hAnsi="微软雅黑" w:eastAsia="仿宋_GB2312" w:cs="宋体"/>
                <w:kern w:val="0"/>
                <w:sz w:val="24"/>
                <w:szCs w:val="24"/>
              </w:rPr>
              <w:t>□自收自制           □采购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832" w:type="pct"/>
            <w:vMerge w:val="restart"/>
            <w:tcBorders>
              <w:top w:val="single" w:color="auto" w:sz="4"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种植</w:t>
            </w:r>
          </w:p>
          <w:p>
            <w:pPr>
              <w:widowControl/>
              <w:spacing w:line="300" w:lineRule="exact"/>
              <w:jc w:val="center"/>
              <w:rPr>
                <w:rFonts w:ascii="仿宋_GB2312" w:hAnsi="微软雅黑" w:eastAsia="仿宋_GB2312" w:cs="宋体"/>
                <w:kern w:val="0"/>
                <w:sz w:val="24"/>
                <w:szCs w:val="24"/>
              </w:rPr>
            </w:pPr>
            <w:r>
              <w:rPr>
                <w:rFonts w:hint="eastAsia" w:ascii="仿宋_GB2312" w:hAnsi="黑体" w:eastAsia="仿宋_GB2312" w:cs="宋体"/>
                <w:kern w:val="0"/>
                <w:sz w:val="24"/>
                <w:szCs w:val="24"/>
              </w:rPr>
              <w:t>基地</w:t>
            </w:r>
          </w:p>
          <w:p>
            <w:pPr>
              <w:spacing w:line="300" w:lineRule="exact"/>
              <w:jc w:val="center"/>
              <w:rPr>
                <w:rFonts w:ascii="仿宋_GB2312" w:hAnsi="黑体" w:eastAsia="仿宋_GB2312" w:cs="宋体"/>
                <w:kern w:val="0"/>
                <w:sz w:val="24"/>
                <w:szCs w:val="24"/>
              </w:rPr>
            </w:pPr>
            <w:r>
              <w:rPr>
                <w:rFonts w:hint="eastAsia" w:ascii="仿宋_GB2312" w:hAnsi="黑体" w:eastAsia="仿宋_GB2312" w:cs="宋体"/>
                <w:kern w:val="0"/>
                <w:sz w:val="24"/>
                <w:szCs w:val="24"/>
              </w:rPr>
              <w:t>情况</w:t>
            </w:r>
          </w:p>
        </w:tc>
        <w:tc>
          <w:tcPr>
            <w:tcW w:w="836" w:type="pct"/>
            <w:tcBorders>
              <w:top w:val="single" w:color="auto" w:sz="4" w:space="0"/>
              <w:left w:val="nil"/>
              <w:bottom w:val="single" w:color="auto" w:sz="6" w:space="0"/>
              <w:right w:val="single" w:color="auto" w:sz="6" w:space="0"/>
            </w:tcBorders>
            <w:tcMar>
              <w:top w:w="0" w:type="dxa"/>
              <w:left w:w="105" w:type="dxa"/>
              <w:bottom w:w="0" w:type="dxa"/>
              <w:right w:w="105" w:type="dxa"/>
            </w:tcMar>
            <w:vAlign w:val="center"/>
          </w:tcPr>
          <w:p>
            <w:pPr>
              <w:spacing w:line="30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基地地址或 区 域</w:t>
            </w:r>
          </w:p>
        </w:tc>
        <w:tc>
          <w:tcPr>
            <w:tcW w:w="832" w:type="pct"/>
            <w:tcBorders>
              <w:top w:val="single" w:color="auto" w:sz="4" w:space="0"/>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single" w:color="auto" w:sz="4" w:space="0"/>
              <w:left w:val="nil"/>
              <w:bottom w:val="single" w:color="auto" w:sz="6" w:space="0"/>
              <w:right w:val="single" w:color="auto" w:sz="6" w:space="0"/>
            </w:tcBorders>
            <w:tcMar>
              <w:top w:w="0" w:type="dxa"/>
              <w:left w:w="105" w:type="dxa"/>
              <w:bottom w:w="0" w:type="dxa"/>
              <w:right w:w="105" w:type="dxa"/>
            </w:tcMar>
            <w:vAlign w:val="center"/>
          </w:tcPr>
          <w:p>
            <w:pPr>
              <w:spacing w:line="30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规</w:t>
            </w:r>
            <w:r>
              <w:rPr>
                <w:rFonts w:hint="eastAsia" w:ascii="宋体" w:hAnsi="宋体" w:eastAsia="仿宋_GB2312" w:cs="宋体"/>
                <w:kern w:val="0"/>
                <w:sz w:val="24"/>
                <w:szCs w:val="24"/>
              </w:rPr>
              <w:t> </w:t>
            </w:r>
            <w:r>
              <w:rPr>
                <w:rFonts w:hint="eastAsia" w:ascii="Calibri" w:hAnsi="Calibri" w:eastAsia="仿宋_GB2312" w:cs="宋体"/>
                <w:kern w:val="0"/>
                <w:sz w:val="24"/>
                <w:szCs w:val="24"/>
              </w:rPr>
              <w:t>  </w:t>
            </w:r>
            <w:r>
              <w:rPr>
                <w:rFonts w:hint="eastAsia" w:ascii="宋体" w:hAnsi="宋体" w:eastAsia="仿宋_GB2312" w:cs="宋体"/>
                <w:kern w:val="0"/>
                <w:sz w:val="24"/>
                <w:szCs w:val="24"/>
              </w:rPr>
              <w:t> </w:t>
            </w:r>
            <w:r>
              <w:rPr>
                <w:rFonts w:hint="eastAsia" w:ascii="仿宋_GB2312" w:hAnsi="宋体" w:eastAsia="仿宋_GB2312" w:cs="宋体"/>
                <w:kern w:val="0"/>
                <w:sz w:val="24"/>
                <w:szCs w:val="24"/>
              </w:rPr>
              <w:t>模</w:t>
            </w:r>
          </w:p>
        </w:tc>
        <w:tc>
          <w:tcPr>
            <w:tcW w:w="1664" w:type="pct"/>
            <w:gridSpan w:val="2"/>
            <w:tcBorders>
              <w:top w:val="single" w:color="auto" w:sz="4" w:space="0"/>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32" w:type="pct"/>
            <w:vMerge w:val="continue"/>
            <w:tcBorders>
              <w:top w:val="nil"/>
              <w:left w:val="single" w:color="auto" w:sz="6" w:space="0"/>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6" w:type="pct"/>
            <w:vMerge w:val="restar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品种名称</w:t>
            </w: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品名</w:t>
            </w: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预计产量</w:t>
            </w: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生长年限</w:t>
            </w:r>
          </w:p>
        </w:tc>
        <w:tc>
          <w:tcPr>
            <w:tcW w:w="832" w:type="pc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采收时间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32" w:type="pct"/>
            <w:vMerge w:val="continue"/>
            <w:tcBorders>
              <w:top w:val="nil"/>
              <w:left w:val="single" w:color="auto" w:sz="6" w:space="0"/>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6" w:type="pct"/>
            <w:vMerge w:val="continue"/>
            <w:tcBorders>
              <w:top w:val="nil"/>
              <w:left w:val="nil"/>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32" w:type="pct"/>
            <w:vMerge w:val="continue"/>
            <w:tcBorders>
              <w:top w:val="nil"/>
              <w:left w:val="single" w:color="auto" w:sz="6" w:space="0"/>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6" w:type="pct"/>
            <w:vMerge w:val="continue"/>
            <w:tcBorders>
              <w:top w:val="nil"/>
              <w:left w:val="nil"/>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32" w:type="pct"/>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黑体" w:eastAsia="仿宋_GB2312" w:cs="宋体"/>
                <w:kern w:val="0"/>
                <w:sz w:val="24"/>
                <w:szCs w:val="24"/>
              </w:rPr>
              <w:t>加工</w:t>
            </w:r>
          </w:p>
          <w:p>
            <w:pPr>
              <w:widowControl/>
              <w:spacing w:line="300" w:lineRule="exact"/>
              <w:jc w:val="center"/>
              <w:rPr>
                <w:rFonts w:ascii="仿宋_GB2312" w:hAnsi="微软雅黑" w:eastAsia="仿宋_GB2312" w:cs="宋体"/>
                <w:kern w:val="0"/>
                <w:sz w:val="24"/>
                <w:szCs w:val="24"/>
              </w:rPr>
            </w:pPr>
            <w:r>
              <w:rPr>
                <w:rFonts w:hint="eastAsia" w:ascii="仿宋_GB2312" w:hAnsi="黑体" w:eastAsia="仿宋_GB2312" w:cs="宋体"/>
                <w:kern w:val="0"/>
                <w:sz w:val="24"/>
                <w:szCs w:val="24"/>
              </w:rPr>
              <w:t>单位</w:t>
            </w:r>
          </w:p>
          <w:p>
            <w:pPr>
              <w:widowControl/>
              <w:spacing w:line="300" w:lineRule="exact"/>
              <w:jc w:val="center"/>
              <w:rPr>
                <w:rFonts w:ascii="仿宋_GB2312" w:hAnsi="微软雅黑" w:eastAsia="仿宋_GB2312" w:cs="宋体"/>
                <w:kern w:val="0"/>
                <w:sz w:val="24"/>
                <w:szCs w:val="24"/>
              </w:rPr>
            </w:pPr>
            <w:r>
              <w:rPr>
                <w:rFonts w:hint="eastAsia" w:ascii="仿宋_GB2312" w:hAnsi="黑体" w:eastAsia="仿宋_GB2312" w:cs="宋体"/>
                <w:kern w:val="0"/>
                <w:sz w:val="24"/>
                <w:szCs w:val="24"/>
              </w:rPr>
              <w:t>基本</w:t>
            </w:r>
          </w:p>
          <w:p>
            <w:pPr>
              <w:widowControl/>
              <w:spacing w:line="300" w:lineRule="exact"/>
              <w:jc w:val="center"/>
              <w:rPr>
                <w:rFonts w:ascii="仿宋_GB2312" w:hAnsi="微软雅黑" w:eastAsia="仿宋_GB2312" w:cs="宋体"/>
                <w:kern w:val="0"/>
                <w:sz w:val="24"/>
                <w:szCs w:val="24"/>
              </w:rPr>
            </w:pPr>
            <w:r>
              <w:rPr>
                <w:rFonts w:hint="eastAsia" w:ascii="仿宋_GB2312" w:hAnsi="黑体" w:eastAsia="仿宋_GB2312" w:cs="宋体"/>
                <w:kern w:val="0"/>
                <w:sz w:val="24"/>
                <w:szCs w:val="24"/>
              </w:rPr>
              <w:t>情况</w:t>
            </w: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名 称</w:t>
            </w: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地</w:t>
            </w:r>
            <w:r>
              <w:rPr>
                <w:rFonts w:hint="eastAsia" w:ascii="宋体" w:hAnsi="宋体" w:eastAsia="仿宋_GB2312" w:cs="宋体"/>
                <w:kern w:val="0"/>
                <w:sz w:val="24"/>
                <w:szCs w:val="24"/>
              </w:rPr>
              <w:t> </w:t>
            </w:r>
            <w:r>
              <w:rPr>
                <w:rFonts w:hint="eastAsia" w:ascii="Calibri" w:hAnsi="Calibri" w:eastAsia="仿宋_GB2312" w:cs="宋体"/>
                <w:kern w:val="0"/>
                <w:sz w:val="24"/>
                <w:szCs w:val="24"/>
              </w:rPr>
              <w:t>  </w:t>
            </w:r>
            <w:r>
              <w:rPr>
                <w:rFonts w:hint="eastAsia" w:ascii="宋体" w:hAnsi="宋体" w:eastAsia="仿宋_GB2312" w:cs="宋体"/>
                <w:kern w:val="0"/>
                <w:sz w:val="24"/>
                <w:szCs w:val="24"/>
              </w:rPr>
              <w:t> </w:t>
            </w:r>
            <w:r>
              <w:rPr>
                <w:rFonts w:hint="eastAsia" w:ascii="仿宋_GB2312" w:hAnsi="宋体" w:eastAsia="仿宋_GB2312" w:cs="宋体"/>
                <w:kern w:val="0"/>
                <w:sz w:val="24"/>
                <w:szCs w:val="24"/>
              </w:rPr>
              <w:t>址</w:t>
            </w:r>
          </w:p>
        </w:tc>
        <w:tc>
          <w:tcPr>
            <w:tcW w:w="1664" w:type="pct"/>
            <w:gridSpan w:val="2"/>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32" w:type="pct"/>
            <w:vMerge w:val="continue"/>
            <w:tcBorders>
              <w:top w:val="nil"/>
              <w:left w:val="single" w:color="auto" w:sz="6" w:space="0"/>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负责人</w:t>
            </w: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联系方式</w:t>
            </w:r>
          </w:p>
        </w:tc>
        <w:tc>
          <w:tcPr>
            <w:tcW w:w="1664" w:type="pct"/>
            <w:gridSpan w:val="2"/>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32" w:type="pct"/>
            <w:vMerge w:val="continue"/>
            <w:tcBorders>
              <w:top w:val="nil"/>
              <w:left w:val="single" w:color="auto" w:sz="6" w:space="0"/>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6" w:type="pct"/>
            <w:vMerge w:val="restar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加工情况</w:t>
            </w: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品名</w:t>
            </w: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规</w:t>
            </w:r>
            <w:r>
              <w:rPr>
                <w:rFonts w:hint="eastAsia" w:ascii="宋体" w:hAnsi="宋体" w:eastAsia="仿宋_GB2312" w:cs="宋体"/>
                <w:kern w:val="0"/>
                <w:sz w:val="24"/>
                <w:szCs w:val="24"/>
              </w:rPr>
              <w:t> </w:t>
            </w:r>
            <w:r>
              <w:rPr>
                <w:rFonts w:hint="eastAsia" w:ascii="Calibri" w:hAnsi="Calibri" w:eastAsia="仿宋_GB2312" w:cs="宋体"/>
                <w:kern w:val="0"/>
                <w:sz w:val="24"/>
                <w:szCs w:val="24"/>
              </w:rPr>
              <w:t>  </w:t>
            </w:r>
            <w:r>
              <w:rPr>
                <w:rFonts w:hint="eastAsia" w:ascii="宋体" w:hAnsi="宋体" w:eastAsia="仿宋_GB2312" w:cs="宋体"/>
                <w:kern w:val="0"/>
                <w:sz w:val="24"/>
                <w:szCs w:val="24"/>
              </w:rPr>
              <w:t> </w:t>
            </w:r>
            <w:r>
              <w:rPr>
                <w:rFonts w:hint="eastAsia" w:ascii="仿宋_GB2312" w:hAnsi="宋体" w:eastAsia="仿宋_GB2312" w:cs="宋体"/>
                <w:kern w:val="0"/>
                <w:sz w:val="24"/>
                <w:szCs w:val="24"/>
              </w:rPr>
              <w:t>格</w:t>
            </w: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基原</w:t>
            </w:r>
          </w:p>
        </w:tc>
        <w:tc>
          <w:tcPr>
            <w:tcW w:w="832" w:type="pc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执行标准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35" w:hRule="atLeast"/>
          <w:jc w:val="center"/>
        </w:trPr>
        <w:tc>
          <w:tcPr>
            <w:tcW w:w="832" w:type="pct"/>
            <w:vMerge w:val="continue"/>
            <w:tcBorders>
              <w:top w:val="nil"/>
              <w:left w:val="single" w:color="auto" w:sz="6" w:space="0"/>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6" w:type="pct"/>
            <w:vMerge w:val="continue"/>
            <w:tcBorders>
              <w:top w:val="nil"/>
              <w:left w:val="nil"/>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832" w:type="pct"/>
            <w:vMerge w:val="continue"/>
            <w:tcBorders>
              <w:top w:val="nil"/>
              <w:left w:val="single" w:color="auto" w:sz="6" w:space="0"/>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6" w:type="pct"/>
            <w:vMerge w:val="continue"/>
            <w:tcBorders>
              <w:top w:val="nil"/>
              <w:left w:val="nil"/>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32" w:type="pct"/>
            <w:vMerge w:val="continue"/>
            <w:tcBorders>
              <w:top w:val="nil"/>
              <w:left w:val="single" w:color="auto" w:sz="6" w:space="0"/>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6" w:type="pct"/>
            <w:vMerge w:val="restar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主要设施</w:t>
            </w:r>
          </w:p>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设</w:t>
            </w:r>
            <w:r>
              <w:rPr>
                <w:rFonts w:hint="eastAsia" w:ascii="宋体" w:hAnsi="宋体" w:eastAsia="仿宋_GB2312" w:cs="宋体"/>
                <w:kern w:val="0"/>
                <w:sz w:val="24"/>
                <w:szCs w:val="24"/>
              </w:rPr>
              <w:t> </w:t>
            </w:r>
            <w:r>
              <w:rPr>
                <w:rFonts w:hint="eastAsia" w:ascii="Calibri" w:hAnsi="Calibri" w:eastAsia="仿宋_GB2312" w:cs="宋体"/>
                <w:kern w:val="0"/>
                <w:sz w:val="24"/>
                <w:szCs w:val="24"/>
              </w:rPr>
              <w:t>   </w:t>
            </w:r>
            <w:r>
              <w:rPr>
                <w:rFonts w:hint="eastAsia" w:ascii="仿宋_GB2312" w:hAnsi="宋体" w:eastAsia="仿宋_GB2312" w:cs="宋体"/>
                <w:kern w:val="0"/>
                <w:sz w:val="24"/>
                <w:szCs w:val="24"/>
              </w:rPr>
              <w:t>备</w:t>
            </w: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名称</w:t>
            </w: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型号规格</w:t>
            </w: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性能指标</w:t>
            </w: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center"/>
              <w:rPr>
                <w:rFonts w:ascii="仿宋_GB2312" w:hAnsi="微软雅黑" w:eastAsia="仿宋_GB2312" w:cs="宋体"/>
                <w:kern w:val="0"/>
                <w:sz w:val="24"/>
                <w:szCs w:val="24"/>
              </w:rPr>
            </w:pPr>
            <w:r>
              <w:rPr>
                <w:rFonts w:hint="eastAsia" w:ascii="仿宋_GB2312" w:hAnsi="宋体" w:eastAsia="仿宋_GB2312"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832" w:type="pct"/>
            <w:vMerge w:val="continue"/>
            <w:tcBorders>
              <w:top w:val="nil"/>
              <w:left w:val="single" w:color="auto" w:sz="6" w:space="0"/>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6" w:type="pct"/>
            <w:vMerge w:val="continue"/>
            <w:tcBorders>
              <w:top w:val="nil"/>
              <w:left w:val="nil"/>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5" w:hRule="atLeast"/>
          <w:jc w:val="center"/>
        </w:trPr>
        <w:tc>
          <w:tcPr>
            <w:tcW w:w="832" w:type="pct"/>
            <w:vMerge w:val="continue"/>
            <w:tcBorders>
              <w:top w:val="nil"/>
              <w:left w:val="single" w:color="auto" w:sz="6" w:space="0"/>
              <w:bottom w:val="single" w:color="auto" w:sz="4"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6" w:type="pct"/>
            <w:vMerge w:val="continue"/>
            <w:tcBorders>
              <w:top w:val="nil"/>
              <w:left w:val="nil"/>
              <w:bottom w:val="single" w:color="auto" w:sz="4"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4"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6" w:type="pct"/>
            <w:tcBorders>
              <w:top w:val="nil"/>
              <w:left w:val="nil"/>
              <w:bottom w:val="single" w:color="auto" w:sz="4"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4"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c>
          <w:tcPr>
            <w:tcW w:w="832" w:type="pct"/>
            <w:tcBorders>
              <w:top w:val="nil"/>
              <w:left w:val="nil"/>
              <w:bottom w:val="single" w:color="auto" w:sz="4" w:space="0"/>
              <w:right w:val="single" w:color="auto" w:sz="6" w:space="0"/>
            </w:tcBorders>
            <w:tcMar>
              <w:top w:w="0" w:type="dxa"/>
              <w:left w:w="105" w:type="dxa"/>
              <w:bottom w:w="0" w:type="dxa"/>
              <w:right w:w="105" w:type="dxa"/>
            </w:tcMar>
            <w:vAlign w:val="center"/>
          </w:tcPr>
          <w:p>
            <w:pPr>
              <w:widowControl/>
              <w:spacing w:line="300" w:lineRule="exact"/>
              <w:jc w:val="left"/>
              <w:rPr>
                <w:rFonts w:ascii="仿宋_GB2312" w:hAnsi="微软雅黑" w:eastAsia="仿宋_GB2312"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2" w:hRule="atLeast"/>
          <w:jc w:val="center"/>
        </w:trPr>
        <w:tc>
          <w:tcPr>
            <w:tcW w:w="832" w:type="pct"/>
            <w:tcBorders>
              <w:top w:val="single" w:color="auto" w:sz="4" w:space="0"/>
              <w:left w:val="single" w:color="auto" w:sz="6" w:space="0"/>
              <w:bottom w:val="single" w:color="auto" w:sz="6" w:space="0"/>
              <w:right w:val="single" w:color="auto" w:sz="6" w:space="0"/>
            </w:tcBorders>
            <w:vAlign w:val="center"/>
          </w:tcPr>
          <w:p>
            <w:pPr>
              <w:spacing w:line="300" w:lineRule="exact"/>
              <w:jc w:val="center"/>
              <w:rPr>
                <w:rFonts w:ascii="仿宋_GB2312" w:hAnsi="微软雅黑" w:eastAsia="仿宋_GB2312" w:cs="宋体"/>
                <w:kern w:val="0"/>
                <w:sz w:val="24"/>
                <w:szCs w:val="24"/>
              </w:rPr>
            </w:pPr>
          </w:p>
          <w:p>
            <w:pPr>
              <w:spacing w:line="300" w:lineRule="exact"/>
              <w:jc w:val="center"/>
              <w:rPr>
                <w:rFonts w:ascii="仿宋_GB2312" w:hAnsi="微软雅黑" w:eastAsia="仿宋_GB2312" w:cs="宋体"/>
                <w:kern w:val="0"/>
                <w:sz w:val="24"/>
                <w:szCs w:val="24"/>
              </w:rPr>
            </w:pPr>
            <w:r>
              <w:rPr>
                <w:rFonts w:hint="eastAsia" w:ascii="仿宋_GB2312" w:hAnsi="微软雅黑" w:eastAsia="仿宋_GB2312" w:cs="宋体"/>
                <w:kern w:val="0"/>
                <w:sz w:val="24"/>
                <w:szCs w:val="24"/>
              </w:rPr>
              <w:t>审计结论</w:t>
            </w:r>
          </w:p>
          <w:p>
            <w:pPr>
              <w:spacing w:line="300" w:lineRule="exact"/>
              <w:jc w:val="center"/>
              <w:rPr>
                <w:rFonts w:ascii="仿宋_GB2312" w:hAnsi="微软雅黑" w:eastAsia="仿宋_GB2312" w:cs="宋体"/>
                <w:kern w:val="0"/>
                <w:sz w:val="24"/>
                <w:szCs w:val="24"/>
              </w:rPr>
            </w:pPr>
          </w:p>
        </w:tc>
        <w:tc>
          <w:tcPr>
            <w:tcW w:w="4168" w:type="pct"/>
            <w:gridSpan w:val="5"/>
            <w:tcBorders>
              <w:top w:val="single" w:color="auto" w:sz="4" w:space="0"/>
              <w:left w:val="nil"/>
              <w:bottom w:val="single" w:color="auto" w:sz="6" w:space="0"/>
              <w:right w:val="single" w:color="auto" w:sz="6" w:space="0"/>
            </w:tcBorders>
            <w:vAlign w:val="center"/>
          </w:tcPr>
          <w:p>
            <w:pPr>
              <w:widowControl/>
              <w:spacing w:line="300" w:lineRule="exact"/>
              <w:jc w:val="left"/>
              <w:rPr>
                <w:rFonts w:ascii="仿宋_GB2312" w:hAnsi="微软雅黑" w:eastAsia="仿宋_GB2312" w:cs="宋体"/>
                <w:kern w:val="0"/>
                <w:sz w:val="24"/>
                <w:szCs w:val="24"/>
              </w:rPr>
            </w:pPr>
          </w:p>
          <w:p>
            <w:pPr>
              <w:widowControl/>
              <w:spacing w:line="300" w:lineRule="exact"/>
              <w:jc w:val="left"/>
              <w:rPr>
                <w:rFonts w:ascii="仿宋_GB2312" w:hAnsi="微软雅黑" w:eastAsia="仿宋_GB2312" w:cs="宋体"/>
                <w:kern w:val="0"/>
                <w:sz w:val="24"/>
                <w:szCs w:val="24"/>
              </w:rPr>
            </w:pPr>
            <w:r>
              <w:rPr>
                <w:rFonts w:hint="eastAsia" w:ascii="仿宋_GB2312" w:hAnsi="微软雅黑" w:eastAsia="仿宋_GB2312" w:cs="宋体"/>
                <w:kern w:val="0"/>
                <w:sz w:val="24"/>
                <w:szCs w:val="24"/>
              </w:rPr>
              <w:t xml:space="preserve">     经审查，加工单位的质量管理符合《质量管理指南》要求，自制（或采购）的鲜切药材品种符合《广西规范中药材产地趁鲜切制加工指导意见》要求，同意自制（或采购）上述鲜切药材品种。</w:t>
            </w:r>
          </w:p>
          <w:p>
            <w:pPr>
              <w:widowControl/>
              <w:spacing w:line="300" w:lineRule="exact"/>
              <w:jc w:val="left"/>
              <w:rPr>
                <w:rFonts w:ascii="仿宋_GB2312" w:hAnsi="微软雅黑" w:eastAsia="仿宋_GB2312" w:cs="宋体"/>
                <w:kern w:val="0"/>
                <w:sz w:val="24"/>
                <w:szCs w:val="24"/>
              </w:rPr>
            </w:pPr>
          </w:p>
          <w:p>
            <w:pPr>
              <w:widowControl/>
              <w:spacing w:line="300" w:lineRule="exact"/>
              <w:jc w:val="left"/>
              <w:rPr>
                <w:rFonts w:ascii="仿宋_GB2312" w:hAnsi="微软雅黑" w:eastAsia="仿宋_GB2312" w:cs="宋体"/>
                <w:kern w:val="0"/>
                <w:sz w:val="24"/>
                <w:szCs w:val="24"/>
              </w:rPr>
            </w:pPr>
            <w:r>
              <w:rPr>
                <w:rFonts w:hint="eastAsia" w:ascii="仿宋_GB2312" w:hAnsi="微软雅黑" w:eastAsia="仿宋_GB2312" w:cs="宋体"/>
                <w:kern w:val="0"/>
                <w:sz w:val="24"/>
                <w:szCs w:val="24"/>
              </w:rPr>
              <w:t xml:space="preserve">                                 时间：     年  月  日</w:t>
            </w:r>
          </w:p>
          <w:p>
            <w:pPr>
              <w:widowControl/>
              <w:spacing w:line="300" w:lineRule="exact"/>
              <w:jc w:val="left"/>
              <w:rPr>
                <w:rFonts w:ascii="仿宋_GB2312" w:hAnsi="微软雅黑" w:eastAsia="仿宋_GB2312" w:cs="宋体"/>
                <w:kern w:val="0"/>
                <w:sz w:val="24"/>
                <w:szCs w:val="24"/>
              </w:rPr>
            </w:pPr>
            <w:r>
              <w:rPr>
                <w:rFonts w:hint="eastAsia" w:ascii="仿宋_GB2312" w:hAnsi="微软雅黑" w:eastAsia="仿宋_GB2312" w:cs="宋体"/>
                <w:kern w:val="0"/>
                <w:sz w:val="24"/>
                <w:szCs w:val="24"/>
              </w:rPr>
              <w:t xml:space="preserve">                                       （中药生产企业印章）</w:t>
            </w:r>
          </w:p>
        </w:tc>
      </w:tr>
    </w:tbl>
    <w:p>
      <w:pPr>
        <w:widowControl/>
        <w:spacing w:line="400" w:lineRule="exact"/>
        <w:jc w:val="both"/>
        <w:rPr>
          <w:rFonts w:hint="eastAsia" w:ascii="黑体" w:hAnsi="黑体" w:eastAsia="黑体" w:cs="宋体"/>
          <w:color w:val="auto"/>
          <w:kern w:val="0"/>
          <w:sz w:val="32"/>
          <w:szCs w:val="32"/>
        </w:rPr>
      </w:pPr>
      <w:r>
        <w:rPr>
          <w:rFonts w:hint="eastAsia" w:ascii="仿宋_GB2312" w:hAnsi="微软雅黑" w:eastAsia="仿宋_GB2312" w:cs="宋体"/>
          <w:color w:val="auto"/>
          <w:kern w:val="0"/>
          <w:sz w:val="24"/>
          <w:szCs w:val="24"/>
        </w:rPr>
        <w:t xml:space="preserve">  备注：1、规模指“种植面积”；2、执行标准指“依据**标准制定的企业内控标准”； 3、该表由中药生产企业填报（一式二份），</w:t>
      </w:r>
      <w:r>
        <w:rPr>
          <w:rFonts w:hint="eastAsia" w:ascii="仿宋" w:hAnsi="仿宋" w:eastAsia="仿宋" w:cs="宋体"/>
          <w:color w:val="auto"/>
          <w:sz w:val="24"/>
          <w:szCs w:val="24"/>
        </w:rPr>
        <w:t>中药</w:t>
      </w:r>
      <w:r>
        <w:rPr>
          <w:rFonts w:hint="eastAsia" w:ascii="仿宋_GB2312" w:hAnsi="微软雅黑" w:eastAsia="仿宋_GB2312" w:cs="宋体"/>
          <w:color w:val="auto"/>
          <w:kern w:val="0"/>
          <w:sz w:val="24"/>
          <w:szCs w:val="24"/>
        </w:rPr>
        <w:t>生产企业和药品监管部门各1份。</w:t>
      </w:r>
    </w:p>
    <w:p>
      <w:pPr>
        <w:widowControl/>
        <w:spacing w:line="555" w:lineRule="atLeast"/>
        <w:jc w:val="both"/>
        <w:rPr>
          <w:rFonts w:ascii="微软雅黑" w:hAnsi="微软雅黑" w:eastAsia="微软雅黑" w:cs="宋体"/>
          <w:color w:val="auto"/>
          <w:kern w:val="0"/>
          <w:sz w:val="27"/>
          <w:szCs w:val="27"/>
        </w:rPr>
      </w:pPr>
      <w:r>
        <w:rPr>
          <w:rFonts w:hint="eastAsia" w:ascii="黑体" w:hAnsi="黑体" w:eastAsia="黑体" w:cs="宋体"/>
          <w:color w:val="auto"/>
          <w:kern w:val="0"/>
          <w:sz w:val="32"/>
          <w:szCs w:val="32"/>
        </w:rPr>
        <w:t>附件4</w:t>
      </w:r>
    </w:p>
    <w:p>
      <w:pPr>
        <w:widowControl/>
        <w:spacing w:line="555" w:lineRule="atLeast"/>
        <w:jc w:val="center"/>
        <w:rPr>
          <w:rFonts w:ascii="微软雅黑" w:hAnsi="微软雅黑" w:eastAsia="微软雅黑" w:cs="宋体"/>
          <w:color w:val="auto"/>
          <w:kern w:val="0"/>
          <w:sz w:val="27"/>
          <w:szCs w:val="27"/>
        </w:rPr>
      </w:pPr>
    </w:p>
    <w:p>
      <w:pPr>
        <w:widowControl/>
        <w:spacing w:line="700" w:lineRule="exact"/>
        <w:jc w:val="center"/>
        <w:textAlignment w:val="baseline"/>
        <w:rPr>
          <w:rFonts w:cs="宋体" w:asciiTheme="minorEastAsia" w:hAnsiTheme="minorEastAsia"/>
          <w:color w:val="auto"/>
          <w:kern w:val="0"/>
          <w:szCs w:val="21"/>
        </w:rPr>
      </w:pPr>
      <w:r>
        <w:rPr>
          <w:rFonts w:hint="eastAsia" w:cs="宋体" w:asciiTheme="minorEastAsia" w:hAnsiTheme="minorEastAsia"/>
          <w:color w:val="auto"/>
          <w:kern w:val="0"/>
          <w:sz w:val="44"/>
          <w:szCs w:val="44"/>
        </w:rPr>
        <w:t>中药材产地趁鲜切制加工质量保证协议</w:t>
      </w:r>
    </w:p>
    <w:p>
      <w:pPr>
        <w:widowControl/>
        <w:spacing w:line="700" w:lineRule="exact"/>
        <w:jc w:val="center"/>
        <w:textAlignment w:val="baseline"/>
        <w:rPr>
          <w:rFonts w:cs="宋体" w:asciiTheme="minorEastAsia" w:hAnsiTheme="minorEastAsia"/>
          <w:color w:val="auto"/>
          <w:kern w:val="0"/>
          <w:szCs w:val="21"/>
        </w:rPr>
      </w:pPr>
      <w:r>
        <w:rPr>
          <w:rFonts w:hint="eastAsia" w:cs="宋体" w:asciiTheme="minorEastAsia" w:hAnsiTheme="minorEastAsia"/>
          <w:color w:val="auto"/>
          <w:kern w:val="0"/>
          <w:sz w:val="44"/>
          <w:szCs w:val="44"/>
        </w:rPr>
        <w:t>（参考样式）</w:t>
      </w:r>
    </w:p>
    <w:p>
      <w:pPr>
        <w:widowControl/>
        <w:spacing w:line="555" w:lineRule="atLeast"/>
        <w:jc w:val="both"/>
        <w:textAlignment w:val="baseline"/>
        <w:rPr>
          <w:rFonts w:ascii="Times New Roman" w:hAnsi="Times New Roman" w:eastAsia="微软雅黑" w:cs="Times New Roman"/>
          <w:strike/>
          <w:color w:val="auto"/>
          <w:kern w:val="0"/>
          <w:sz w:val="29"/>
          <w:szCs w:val="29"/>
        </w:rPr>
      </w:pPr>
    </w:p>
    <w:p>
      <w:pPr>
        <w:widowControl/>
        <w:spacing w:line="555" w:lineRule="atLeast"/>
        <w:jc w:val="both"/>
        <w:textAlignment w:val="baseline"/>
        <w:rPr>
          <w:rFonts w:ascii="Times New Roman" w:hAnsi="Times New Roman" w:eastAsia="微软雅黑" w:cs="Times New Roman"/>
          <w:strike/>
          <w:color w:val="auto"/>
          <w:kern w:val="0"/>
          <w:sz w:val="29"/>
          <w:szCs w:val="29"/>
        </w:rPr>
      </w:pPr>
    </w:p>
    <w:p>
      <w:pPr>
        <w:widowControl/>
        <w:spacing w:line="555" w:lineRule="atLeast"/>
        <w:jc w:val="both"/>
        <w:textAlignment w:val="baseline"/>
        <w:rPr>
          <w:rFonts w:ascii="微软雅黑" w:hAnsi="微软雅黑" w:eastAsia="微软雅黑" w:cs="宋体"/>
          <w:strike/>
          <w:color w:val="auto"/>
          <w:kern w:val="0"/>
          <w:szCs w:val="21"/>
        </w:rPr>
      </w:pPr>
    </w:p>
    <w:p>
      <w:pPr>
        <w:widowControl/>
        <w:spacing w:line="555" w:lineRule="atLeast"/>
        <w:jc w:val="center"/>
        <w:textAlignment w:val="baseline"/>
        <w:rPr>
          <w:rFonts w:ascii="微软雅黑" w:hAnsi="微软雅黑" w:eastAsia="微软雅黑" w:cs="宋体"/>
          <w:color w:val="auto"/>
          <w:kern w:val="0"/>
          <w:szCs w:val="21"/>
        </w:rPr>
      </w:pPr>
      <w:r>
        <w:rPr>
          <w:rFonts w:hint="eastAsia" w:ascii="方正小标宋_GBK" w:hAnsi="微软雅黑" w:eastAsia="方正小标宋_GBK" w:cs="宋体"/>
          <w:color w:val="auto"/>
          <w:kern w:val="0"/>
          <w:sz w:val="44"/>
          <w:szCs w:val="44"/>
        </w:rPr>
        <w:t>中药材产地趁鲜切制加工质量保证协议</w:t>
      </w:r>
    </w:p>
    <w:p>
      <w:pPr>
        <w:widowControl/>
        <w:spacing w:line="450" w:lineRule="atLeast"/>
        <w:jc w:val="both"/>
        <w:rPr>
          <w:rFonts w:ascii="微软雅黑" w:hAnsi="微软雅黑" w:eastAsia="微软雅黑" w:cs="宋体"/>
          <w:color w:val="auto"/>
          <w:kern w:val="0"/>
          <w:sz w:val="27"/>
          <w:szCs w:val="27"/>
        </w:rPr>
      </w:pPr>
      <w:r>
        <w:rPr>
          <w:rFonts w:hint="eastAsia" w:ascii="宋体" w:hAnsi="宋体" w:eastAsia="宋体" w:cs="宋体"/>
          <w:color w:val="auto"/>
          <w:kern w:val="0"/>
          <w:sz w:val="29"/>
          <w:szCs w:val="29"/>
        </w:rPr>
        <w:t> </w:t>
      </w:r>
    </w:p>
    <w:p>
      <w:pPr>
        <w:widowControl/>
        <w:spacing w:line="450" w:lineRule="atLeast"/>
        <w:jc w:val="both"/>
        <w:rPr>
          <w:rFonts w:ascii="微软雅黑" w:hAnsi="微软雅黑" w:eastAsia="微软雅黑" w:cs="宋体"/>
          <w:color w:val="auto"/>
          <w:kern w:val="0"/>
          <w:sz w:val="27"/>
          <w:szCs w:val="27"/>
        </w:rPr>
      </w:pPr>
      <w:r>
        <w:rPr>
          <w:rFonts w:hint="eastAsia" w:ascii="宋体" w:hAnsi="宋体" w:eastAsia="宋体" w:cs="宋体"/>
          <w:color w:val="auto"/>
          <w:kern w:val="0"/>
          <w:sz w:val="29"/>
          <w:szCs w:val="29"/>
        </w:rPr>
        <w:t> </w:t>
      </w:r>
    </w:p>
    <w:p>
      <w:pPr>
        <w:widowControl/>
        <w:spacing w:line="450" w:lineRule="atLeast"/>
        <w:jc w:val="both"/>
        <w:rPr>
          <w:rFonts w:ascii="微软雅黑" w:hAnsi="微软雅黑" w:eastAsia="微软雅黑" w:cs="宋体"/>
          <w:color w:val="auto"/>
          <w:kern w:val="0"/>
          <w:sz w:val="27"/>
          <w:szCs w:val="27"/>
        </w:rPr>
      </w:pPr>
      <w:r>
        <w:rPr>
          <w:rFonts w:hint="eastAsia" w:ascii="宋体" w:hAnsi="宋体" w:eastAsia="宋体" w:cs="宋体"/>
          <w:color w:val="auto"/>
          <w:kern w:val="0"/>
          <w:sz w:val="29"/>
          <w:szCs w:val="29"/>
        </w:rPr>
        <w:t> </w:t>
      </w:r>
    </w:p>
    <w:p>
      <w:pPr>
        <w:widowControl/>
        <w:spacing w:line="450" w:lineRule="atLeast"/>
        <w:jc w:val="both"/>
        <w:rPr>
          <w:rFonts w:ascii="微软雅黑" w:hAnsi="微软雅黑" w:eastAsia="微软雅黑" w:cs="宋体"/>
          <w:color w:val="auto"/>
          <w:kern w:val="0"/>
          <w:sz w:val="27"/>
          <w:szCs w:val="27"/>
        </w:rPr>
      </w:pPr>
      <w:r>
        <w:rPr>
          <w:rFonts w:hint="eastAsia" w:ascii="宋体" w:hAnsi="宋体" w:eastAsia="宋体" w:cs="宋体"/>
          <w:color w:val="auto"/>
          <w:kern w:val="0"/>
          <w:sz w:val="29"/>
          <w:szCs w:val="29"/>
        </w:rPr>
        <w:t> </w:t>
      </w:r>
    </w:p>
    <w:p>
      <w:pPr>
        <w:widowControl/>
        <w:spacing w:line="450" w:lineRule="atLeast"/>
        <w:jc w:val="both"/>
        <w:rPr>
          <w:rFonts w:ascii="微软雅黑" w:hAnsi="微软雅黑" w:eastAsia="微软雅黑" w:cs="宋体"/>
          <w:color w:val="auto"/>
          <w:kern w:val="0"/>
          <w:sz w:val="27"/>
          <w:szCs w:val="27"/>
        </w:rPr>
      </w:pPr>
      <w:r>
        <w:rPr>
          <w:rFonts w:hint="eastAsia" w:ascii="宋体" w:hAnsi="宋体" w:eastAsia="宋体" w:cs="宋体"/>
          <w:color w:val="auto"/>
          <w:kern w:val="0"/>
          <w:sz w:val="29"/>
          <w:szCs w:val="29"/>
        </w:rPr>
        <w:t> </w:t>
      </w:r>
    </w:p>
    <w:p>
      <w:pPr>
        <w:widowControl/>
        <w:spacing w:line="450" w:lineRule="atLeast"/>
        <w:jc w:val="both"/>
        <w:rPr>
          <w:rFonts w:ascii="微软雅黑" w:hAnsi="微软雅黑" w:eastAsia="微软雅黑" w:cs="宋体"/>
          <w:color w:val="auto"/>
          <w:kern w:val="0"/>
          <w:sz w:val="27"/>
          <w:szCs w:val="27"/>
        </w:rPr>
      </w:pPr>
      <w:r>
        <w:rPr>
          <w:rFonts w:hint="eastAsia" w:ascii="宋体" w:hAnsi="宋体" w:eastAsia="宋体" w:cs="宋体"/>
          <w:color w:val="auto"/>
          <w:kern w:val="0"/>
          <w:sz w:val="29"/>
          <w:szCs w:val="29"/>
        </w:rPr>
        <w:t> </w:t>
      </w:r>
    </w:p>
    <w:p>
      <w:pPr>
        <w:widowControl/>
        <w:spacing w:line="450" w:lineRule="atLeast"/>
        <w:jc w:val="both"/>
        <w:rPr>
          <w:rFonts w:ascii="微软雅黑" w:hAnsi="微软雅黑" w:eastAsia="微软雅黑" w:cs="宋体"/>
          <w:color w:val="auto"/>
          <w:kern w:val="0"/>
          <w:sz w:val="27"/>
          <w:szCs w:val="27"/>
        </w:rPr>
      </w:pPr>
      <w:r>
        <w:rPr>
          <w:rFonts w:hint="eastAsia" w:ascii="宋体" w:hAnsi="宋体" w:eastAsia="宋体" w:cs="宋体"/>
          <w:color w:val="auto"/>
          <w:kern w:val="0"/>
          <w:sz w:val="29"/>
          <w:szCs w:val="29"/>
        </w:rPr>
        <w:t> </w:t>
      </w:r>
    </w:p>
    <w:p>
      <w:pPr>
        <w:widowControl/>
        <w:spacing w:line="450" w:lineRule="atLeast"/>
        <w:jc w:val="both"/>
        <w:rPr>
          <w:rFonts w:ascii="微软雅黑" w:hAnsi="微软雅黑" w:eastAsia="微软雅黑" w:cs="宋体"/>
          <w:color w:val="auto"/>
          <w:kern w:val="0"/>
          <w:sz w:val="27"/>
          <w:szCs w:val="27"/>
        </w:rPr>
      </w:pPr>
      <w:r>
        <w:rPr>
          <w:rFonts w:hint="eastAsia" w:ascii="宋体" w:hAnsi="宋体" w:eastAsia="宋体" w:cs="宋体"/>
          <w:color w:val="auto"/>
          <w:kern w:val="0"/>
          <w:sz w:val="29"/>
          <w:szCs w:val="29"/>
        </w:rPr>
        <w:t> </w:t>
      </w:r>
    </w:p>
    <w:p>
      <w:pPr>
        <w:widowControl/>
        <w:spacing w:line="450" w:lineRule="atLeast"/>
        <w:jc w:val="both"/>
        <w:rPr>
          <w:rFonts w:ascii="微软雅黑" w:hAnsi="微软雅黑" w:eastAsia="微软雅黑" w:cs="宋体"/>
          <w:color w:val="auto"/>
          <w:kern w:val="0"/>
          <w:sz w:val="27"/>
          <w:szCs w:val="27"/>
        </w:rPr>
      </w:pPr>
      <w:r>
        <w:rPr>
          <w:rFonts w:hint="eastAsia" w:ascii="宋体" w:hAnsi="宋体" w:eastAsia="宋体" w:cs="宋体"/>
          <w:color w:val="auto"/>
          <w:kern w:val="0"/>
          <w:sz w:val="29"/>
          <w:szCs w:val="29"/>
        </w:rPr>
        <w:t> </w:t>
      </w:r>
    </w:p>
    <w:p>
      <w:pPr>
        <w:widowControl/>
        <w:spacing w:line="450" w:lineRule="atLeast"/>
        <w:jc w:val="both"/>
        <w:rPr>
          <w:rFonts w:ascii="微软雅黑" w:hAnsi="微软雅黑" w:eastAsia="微软雅黑" w:cs="宋体"/>
          <w:color w:val="auto"/>
          <w:kern w:val="0"/>
          <w:sz w:val="27"/>
          <w:szCs w:val="27"/>
        </w:rPr>
      </w:pPr>
      <w:r>
        <w:rPr>
          <w:rFonts w:hint="eastAsia" w:ascii="微软雅黑" w:hAnsi="微软雅黑" w:eastAsia="微软雅黑" w:cs="宋体"/>
          <w:color w:val="auto"/>
          <w:kern w:val="0"/>
          <w:sz w:val="29"/>
          <w:szCs w:val="29"/>
        </w:rPr>
        <w:br w:type="textWrapping"/>
      </w:r>
    </w:p>
    <w:p>
      <w:pPr>
        <w:widowControl/>
        <w:spacing w:line="450" w:lineRule="atLeast"/>
        <w:jc w:val="both"/>
        <w:rPr>
          <w:rFonts w:ascii="微软雅黑" w:hAnsi="微软雅黑" w:eastAsia="微软雅黑" w:cs="宋体"/>
          <w:color w:val="auto"/>
          <w:kern w:val="0"/>
          <w:sz w:val="27"/>
          <w:szCs w:val="27"/>
        </w:rPr>
      </w:pPr>
    </w:p>
    <w:p>
      <w:pPr>
        <w:snapToGrid w:val="0"/>
        <w:spacing w:line="560" w:lineRule="exact"/>
        <w:jc w:val="both"/>
        <w:rPr>
          <w:rStyle w:val="11"/>
          <w:rFonts w:hint="eastAsia" w:ascii="仿宋_GB2312" w:hAnsi="仿宋_GB2312" w:eastAsia="仿宋_GB2312" w:cs="仿宋_GB2312"/>
          <w:color w:val="auto"/>
          <w:sz w:val="32"/>
          <w:szCs w:val="32"/>
        </w:rPr>
      </w:pPr>
      <w:r>
        <w:rPr>
          <w:rStyle w:val="11"/>
          <w:rFonts w:hint="eastAsia" w:ascii="仿宋" w:hAnsi="仿宋" w:eastAsia="仿宋"/>
          <w:color w:val="auto"/>
          <w:sz w:val="32"/>
          <w:szCs w:val="32"/>
        </w:rPr>
        <w:t xml:space="preserve">   </w:t>
      </w:r>
      <w:r>
        <w:rPr>
          <w:rStyle w:val="11"/>
          <w:rFonts w:hint="eastAsia" w:ascii="仿宋_GB2312" w:hAnsi="仿宋_GB2312" w:eastAsia="仿宋_GB2312" w:cs="仿宋_GB2312"/>
          <w:color w:val="auto"/>
          <w:sz w:val="32"/>
          <w:szCs w:val="32"/>
        </w:rPr>
        <w:t xml:space="preserve"> 采购企业（采购方）：</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药品生产许可证编号：</w:t>
      </w:r>
    </w:p>
    <w:p>
      <w:pPr>
        <w:widowControl/>
        <w:spacing w:line="555" w:lineRule="atLeast"/>
        <w:ind w:left="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统一社会信用代码：</w:t>
      </w:r>
    </w:p>
    <w:p>
      <w:pPr>
        <w:widowControl/>
        <w:spacing w:line="555" w:lineRule="atLeast"/>
        <w:ind w:left="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住所（经营场所）：</w:t>
      </w:r>
    </w:p>
    <w:p>
      <w:pPr>
        <w:widowControl/>
        <w:spacing w:line="555" w:lineRule="atLeast"/>
        <w:ind w:left="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生产地址：</w:t>
      </w:r>
    </w:p>
    <w:p>
      <w:pPr>
        <w:widowControl/>
        <w:spacing w:line="555" w:lineRule="atLeast"/>
        <w:ind w:left="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邮政编码：</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联系人：</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电话：</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传真：</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电子邮箱：</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p>
      <w:pPr>
        <w:snapToGrid w:val="0"/>
        <w:spacing w:line="560" w:lineRule="exact"/>
        <w:jc w:val="both"/>
        <w:rPr>
          <w:rStyle w:val="11"/>
          <w:rFonts w:hint="eastAsia"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 xml:space="preserve">    供应单位（供应方）：</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统一社会信用代码：</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住所（经营场所）：</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加工车间地址：</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邮政编码：</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联系人：</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电话：</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传真：</w:t>
      </w:r>
    </w:p>
    <w:p>
      <w:pPr>
        <w:widowControl/>
        <w:spacing w:line="555" w:lineRule="atLeast"/>
        <w:ind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电子邮箱：</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为了保证中药材产地趁鲜加工质量，依据《药品管理法》等法律法规、文件规定，经双方友好协商，达成以下协议：</w:t>
      </w:r>
    </w:p>
    <w:p>
      <w:pPr>
        <w:snapToGrid w:val="0"/>
        <w:spacing w:line="560" w:lineRule="exact"/>
        <w:ind w:firstLine="640" w:firstLineChars="200"/>
        <w:jc w:val="both"/>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color w:val="auto"/>
          <w:sz w:val="32"/>
          <w:szCs w:val="32"/>
        </w:rPr>
        <w:t>1.采购中药材信息</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药材名称：</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质量标准：</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来源（基原）：</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种植产地：</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种植年限：</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采收时节：</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鲜药材储存方式及加工时限：</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加工方法：</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成品规格：</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加工数量：</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包装材料：</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包装规格：</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成品质量标准：</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包装要求：</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运输要求：</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2.职责</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Times New Roman" w:eastAsia="仿宋_GB2312" w:cs="Times New Roman"/>
          <w:color w:val="auto"/>
          <w:kern w:val="0"/>
          <w:sz w:val="32"/>
          <w:szCs w:val="32"/>
        </w:rPr>
        <w:t>质量协议双方</w:t>
      </w:r>
      <w:r>
        <w:rPr>
          <w:rFonts w:hint="eastAsia" w:ascii="仿宋_GB2312" w:hAnsi="微软雅黑" w:eastAsia="仿宋_GB2312" w:cs="宋体"/>
          <w:color w:val="auto"/>
          <w:kern w:val="0"/>
          <w:sz w:val="32"/>
          <w:szCs w:val="32"/>
        </w:rPr>
        <w:t>应当</w:t>
      </w:r>
      <w:r>
        <w:rPr>
          <w:rFonts w:hint="eastAsia" w:ascii="仿宋_GB2312" w:hAnsi="Times New Roman" w:eastAsia="仿宋_GB2312" w:cs="Times New Roman"/>
          <w:color w:val="auto"/>
          <w:kern w:val="0"/>
          <w:sz w:val="32"/>
          <w:szCs w:val="32"/>
        </w:rPr>
        <w:t>履行药品管理法律法规规定的相关义务，遵守所有</w:t>
      </w:r>
      <w:r>
        <w:rPr>
          <w:rFonts w:hint="eastAsia" w:ascii="仿宋_GB2312" w:hAnsi="微软雅黑" w:eastAsia="仿宋_GB2312" w:cs="宋体"/>
          <w:color w:val="auto"/>
          <w:kern w:val="0"/>
          <w:sz w:val="32"/>
          <w:szCs w:val="32"/>
        </w:rPr>
        <w:t>药品相关</w:t>
      </w:r>
      <w:r>
        <w:rPr>
          <w:rFonts w:hint="eastAsia" w:ascii="仿宋_GB2312" w:hAnsi="Times New Roman" w:eastAsia="仿宋_GB2312" w:cs="Times New Roman"/>
          <w:color w:val="auto"/>
          <w:kern w:val="0"/>
          <w:sz w:val="32"/>
          <w:szCs w:val="32"/>
        </w:rPr>
        <w:t>的法律法规和技术规范要求，建立良好的沟通机制，确保采购</w:t>
      </w:r>
      <w:r>
        <w:rPr>
          <w:rFonts w:hint="eastAsia" w:ascii="仿宋_GB2312" w:hAnsi="微软雅黑" w:eastAsia="仿宋_GB2312" w:cs="宋体"/>
          <w:color w:val="auto"/>
          <w:kern w:val="0"/>
          <w:sz w:val="32"/>
          <w:szCs w:val="32"/>
        </w:rPr>
        <w:t>产品</w:t>
      </w:r>
      <w:r>
        <w:rPr>
          <w:rFonts w:hint="eastAsia" w:ascii="仿宋_GB2312" w:hAnsi="Times New Roman" w:eastAsia="仿宋_GB2312" w:cs="Times New Roman"/>
          <w:color w:val="auto"/>
          <w:kern w:val="0"/>
          <w:sz w:val="32"/>
          <w:szCs w:val="32"/>
        </w:rPr>
        <w:t>的安全、有效、质量可控。具体要求见本质量协议各项规定。</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3.技术文件</w:t>
      </w:r>
    </w:p>
    <w:p>
      <w:pPr>
        <w:widowControl/>
        <w:spacing w:line="555" w:lineRule="atLeast"/>
        <w:ind w:firstLine="630"/>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采购方负责根据现行版</w:t>
      </w:r>
      <w:r>
        <w:rPr>
          <w:rFonts w:hint="eastAsia" w:ascii="仿宋_GB2312" w:hAnsi="Times New Roman" w:eastAsia="仿宋_GB2312" w:cs="Times New Roman"/>
          <w:color w:val="auto"/>
          <w:kern w:val="0"/>
          <w:sz w:val="32"/>
          <w:szCs w:val="32"/>
        </w:rPr>
        <w:t>《中国药典》《广西中药材标准》《广西中药饮片炮制规范》等国家和广西地方中药材标准</w:t>
      </w:r>
      <w:r>
        <w:rPr>
          <w:rFonts w:hint="eastAsia" w:ascii="仿宋_GB2312" w:hAnsi="微软雅黑" w:eastAsia="仿宋_GB2312" w:cs="宋体"/>
          <w:color w:val="auto"/>
          <w:kern w:val="0"/>
          <w:sz w:val="32"/>
          <w:szCs w:val="32"/>
        </w:rPr>
        <w:t>制定采购产品</w:t>
      </w:r>
      <w:r>
        <w:rPr>
          <w:rFonts w:hint="eastAsia" w:ascii="仿宋_GB2312" w:hAnsi="Times New Roman" w:eastAsia="仿宋_GB2312" w:cs="Times New Roman"/>
          <w:color w:val="auto"/>
          <w:kern w:val="0"/>
          <w:sz w:val="32"/>
          <w:szCs w:val="32"/>
        </w:rPr>
        <w:t>相关的</w:t>
      </w:r>
      <w:r>
        <w:rPr>
          <w:rFonts w:hint="eastAsia" w:ascii="仿宋_GB2312" w:hAnsi="微软雅黑" w:eastAsia="仿宋_GB2312" w:cs="宋体"/>
          <w:color w:val="auto"/>
          <w:kern w:val="0"/>
          <w:sz w:val="32"/>
          <w:szCs w:val="32"/>
        </w:rPr>
        <w:t>质量标准、特殊</w:t>
      </w:r>
      <w:r>
        <w:rPr>
          <w:rFonts w:hint="eastAsia" w:ascii="仿宋_GB2312" w:hAnsi="Times New Roman" w:eastAsia="仿宋_GB2312" w:cs="Times New Roman"/>
          <w:color w:val="auto"/>
          <w:kern w:val="0"/>
          <w:sz w:val="32"/>
          <w:szCs w:val="32"/>
        </w:rPr>
        <w:t>加工工艺流程与技术要求</w:t>
      </w:r>
      <w:r>
        <w:rPr>
          <w:rFonts w:hint="eastAsia" w:ascii="仿宋_GB2312" w:hAnsi="微软雅黑" w:eastAsia="仿宋_GB2312" w:cs="宋体"/>
          <w:color w:val="auto"/>
          <w:kern w:val="0"/>
          <w:sz w:val="32"/>
          <w:szCs w:val="32"/>
        </w:rPr>
        <w:t>等技术文件，并在签订本质量协议后X日内将技术文件转交给</w:t>
      </w:r>
      <w:r>
        <w:rPr>
          <w:rStyle w:val="11"/>
          <w:rFonts w:hint="eastAsia" w:ascii="仿宋" w:hAnsi="仿宋" w:eastAsia="仿宋"/>
          <w:color w:val="auto"/>
          <w:sz w:val="32"/>
          <w:szCs w:val="32"/>
        </w:rPr>
        <w:t>供应方</w:t>
      </w:r>
      <w:r>
        <w:rPr>
          <w:rFonts w:hint="eastAsia" w:ascii="仿宋_GB2312" w:hAnsi="微软雅黑" w:eastAsia="仿宋_GB2312" w:cs="宋体"/>
          <w:color w:val="auto"/>
          <w:kern w:val="0"/>
          <w:sz w:val="32"/>
          <w:szCs w:val="32"/>
        </w:rPr>
        <w:t>，如有需要应当派驻人员对供应方进行培训。</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eastAsia" w:ascii="仿宋_GB2312" w:hAnsi="Times New Roman" w:eastAsia="仿宋_GB2312" w:cs="Times New Roman"/>
          <w:color w:val="auto"/>
          <w:kern w:val="0"/>
          <w:sz w:val="32"/>
          <w:szCs w:val="32"/>
        </w:rPr>
        <w:t>供应方</w:t>
      </w:r>
      <w:r>
        <w:rPr>
          <w:rFonts w:hint="eastAsia" w:ascii="仿宋_GB2312" w:hAnsi="微软雅黑" w:eastAsia="仿宋_GB2312" w:cs="宋体"/>
          <w:color w:val="auto"/>
          <w:kern w:val="0"/>
          <w:sz w:val="32"/>
          <w:szCs w:val="32"/>
        </w:rPr>
        <w:t>应当</w:t>
      </w:r>
      <w:r>
        <w:rPr>
          <w:rFonts w:hint="eastAsia" w:ascii="仿宋_GB2312" w:hAnsi="Times New Roman" w:eastAsia="仿宋_GB2312" w:cs="Times New Roman"/>
          <w:color w:val="auto"/>
          <w:kern w:val="0"/>
          <w:sz w:val="32"/>
          <w:szCs w:val="32"/>
        </w:rPr>
        <w:t>对所有本质量协议涉及产品的技术文件进行保密，</w:t>
      </w:r>
      <w:r>
        <w:rPr>
          <w:rFonts w:hint="default" w:ascii="Times New Roman" w:hAnsi="Times New Roman" w:eastAsia="仿宋_GB2312" w:cs="Times New Roman"/>
          <w:color w:val="auto"/>
          <w:kern w:val="0"/>
          <w:sz w:val="32"/>
          <w:szCs w:val="32"/>
        </w:rPr>
        <w:t>并根据药品管理法律法规和技术规范的要求建立相应的质量体系和质量文件。</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4.法律法规依据</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双方应当遵循《中华人民共和国药品管理法》《中华人民共和国药品管理法实施条例》《药品生产监督管理办法》《药品生产质量管理规范》，以及其他药品相关的技术规范和标准要求。</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5.人员</w:t>
      </w:r>
    </w:p>
    <w:p>
      <w:pPr>
        <w:widowControl/>
        <w:spacing w:line="555" w:lineRule="atLeast"/>
        <w:ind w:firstLine="615"/>
        <w:jc w:val="both"/>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供应方应当确保相关人员经过培训和资质确认，直接接触药材的工作人员，应当身体健康，无传染病和外伤疾病，保持环境和个人卫生。</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6.厂房、设施与设备</w:t>
      </w:r>
    </w:p>
    <w:p>
      <w:pPr>
        <w:widowControl/>
        <w:spacing w:line="555" w:lineRule="atLeast"/>
        <w:ind w:firstLine="615"/>
        <w:jc w:val="both"/>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供应方加工场地、仓储设施应当整洁、宽敞、通风良好，具有遮阳，防雨和防鼠、虫及禽畜的设施，</w:t>
      </w:r>
      <w:r>
        <w:rPr>
          <w:rFonts w:hint="eastAsia" w:ascii="仿宋_GB2312" w:hAnsi="Times New Roman" w:eastAsia="仿宋_GB2312" w:cs="Times New Roman"/>
          <w:color w:val="auto"/>
          <w:kern w:val="0"/>
          <w:sz w:val="32"/>
          <w:szCs w:val="32"/>
        </w:rPr>
        <w:t>不易产生脱落物，不易滋生霉菌</w:t>
      </w:r>
      <w:r>
        <w:rPr>
          <w:rFonts w:hint="eastAsia" w:ascii="仿宋_GB2312" w:hAnsi="微软雅黑" w:eastAsia="仿宋_GB2312" w:cs="宋体"/>
          <w:color w:val="auto"/>
          <w:kern w:val="0"/>
          <w:sz w:val="32"/>
          <w:szCs w:val="32"/>
        </w:rPr>
        <w:t>，</w:t>
      </w:r>
      <w:r>
        <w:rPr>
          <w:rFonts w:hint="eastAsia" w:ascii="仿宋_GB2312" w:hAnsi="Times New Roman" w:eastAsia="仿宋_GB2312" w:cs="Times New Roman"/>
          <w:color w:val="auto"/>
          <w:kern w:val="0"/>
          <w:sz w:val="32"/>
          <w:szCs w:val="32"/>
        </w:rPr>
        <w:t>易于清洁</w:t>
      </w:r>
      <w:r>
        <w:rPr>
          <w:rFonts w:hint="eastAsia" w:ascii="仿宋_GB2312" w:hAnsi="微软雅黑" w:eastAsia="仿宋_GB2312" w:cs="宋体"/>
          <w:color w:val="auto"/>
          <w:kern w:val="0"/>
          <w:sz w:val="32"/>
          <w:szCs w:val="32"/>
        </w:rPr>
        <w:t>。加工储运工具、设施设备应当符合中药材加工所需卫生要求，不得污染和影响药材质量</w:t>
      </w:r>
      <w:r>
        <w:rPr>
          <w:rFonts w:hint="eastAsia" w:ascii="仿宋_GB2312" w:hAnsi="Times New Roman" w:eastAsia="仿宋_GB2312" w:cs="Times New Roman"/>
          <w:color w:val="auto"/>
          <w:kern w:val="0"/>
          <w:sz w:val="32"/>
          <w:szCs w:val="32"/>
        </w:rPr>
        <w:t>。</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7.原料药材</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7.1供应方应当保证采购产品的原料药材符合本质量协议第1条规定的药材名称、来源（基原）、种植产地等信息。要利用信息技术手段，将中药材种植养殖过程管理等信息纳入企业质量管理体系，保证大宗中药材来源质量可溯可控。</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7.2供应方应当对原料药材育苗、田间管理、采收过程加强指导，保障种植药材质量，如实填写并保存育种育苗登记表、田间种植登记表、采收工序登记表。</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7.3供应方应当确保原料药材按照本协议第1条规定的种植年限、采收时节采收，采收机械、器具应当保持清洁、无污染， 采收过程中尽可能排除非药用部分及异物，剔除破损、腐烂变质的部分。</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7.4供应方应当确保采收的原料药材储存于清洁、通风的场所，鲜用药材可采用冷藏/砂藏/罐贮/生物保鲜等适宜的保鲜方法，原则上不使用保鲜剂和防腐剂，如必须使用应当符合国家相关规定。</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8.加工管理</w:t>
      </w:r>
    </w:p>
    <w:p>
      <w:pPr>
        <w:widowControl/>
        <w:spacing w:line="555" w:lineRule="atLeast"/>
        <w:ind w:firstLine="630"/>
        <w:jc w:val="both"/>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8.1供应方应当根据采购方提供的技术资料，严格按照本协议第1条规定的加工方法、鲜药材加工时限、成品规格、加工数量、质量标准、包装要求，按照广西传统加工方法加工。</w:t>
      </w:r>
    </w:p>
    <w:p>
      <w:pPr>
        <w:widowControl/>
        <w:spacing w:line="555" w:lineRule="atLeast"/>
        <w:ind w:firstLine="630"/>
        <w:jc w:val="both"/>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8.2供应方药材加工用水应当符合饮用水标准。</w:t>
      </w:r>
    </w:p>
    <w:p>
      <w:pPr>
        <w:widowControl/>
        <w:spacing w:line="555" w:lineRule="atLeast"/>
        <w:ind w:firstLine="630"/>
        <w:jc w:val="both"/>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8.3供应方应当确保在药材加工过程中，禁止使用有毒、有害物质用于防霉、防腐、防蛀虫；禁止一切染色增重、漂白、掺杂使假等行为，严格确保质量。</w:t>
      </w:r>
    </w:p>
    <w:p>
      <w:pPr>
        <w:widowControl/>
        <w:spacing w:line="555" w:lineRule="atLeast"/>
        <w:ind w:firstLine="630"/>
        <w:jc w:val="both"/>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8.4供应方应当如实填写加工环节记录。</w:t>
      </w:r>
    </w:p>
    <w:p>
      <w:pPr>
        <w:widowControl/>
        <w:spacing w:line="555" w:lineRule="atLeast"/>
        <w:ind w:firstLine="630"/>
        <w:jc w:val="both"/>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8.5供应方应当确保产品包装材料符合中药材加工所需卫生要求，不得污染和影响药材质量。</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8.6供应方应当按照以下格式编制加工批号：</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xxxxxxxx（前四位为年份，5-6位为月份，7-8位为当月生产批次。例如某中药材为2022年6月生产的第1批，则批号为：20220601）</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8.7针对本质量协议涉及产品的加工过程，采购方应当对供应方的加工活动进行指导和监督。</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9.产品检验</w:t>
      </w:r>
    </w:p>
    <w:p>
      <w:pPr>
        <w:widowControl/>
        <w:spacing w:line="555" w:lineRule="atLeast"/>
        <w:ind w:firstLine="630"/>
        <w:jc w:val="both"/>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采购方负责产品质量检验，可以自行检验也可以委托符合资质要求的第三方检验，检验项目和控制标准不低于《中国药典》《广西中药材标准》《广西中药饮片炮制规范》等国家和广西地方中药材法定质量标准相关规定。</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10.产品储存、发运</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10.1供应方应当对产品的储存条件进行有效监控和维护，按照规定的储存条件进行储存。供应方接到检验合格的书面证明后，按照合同约定将产品运输至持有人指定地点。产品的储存和发运期间，采购方应当采取必要的措施，确保产品没有混淆、差错、污染和交叉污染的风险，采取必要的措施确保产品包装的完整性。</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10.2供应方向采购方交货验收时，应当随货提供种植、采收、加工全过程质量可追溯信息证明文件，包括：种子种苗繁育、田间种植（养殖）管理、采收、干燥、加工、包装等，各信息记录表应当记录完整、真实可靠，可追溯。</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11.现场审核</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11.1采购方应当对供应方的加工条件、技术水平和质量管理情况进行现场审核，确保其具备本质量协议涉及产品的加工条件和质量管理能力。在对供应方资质确认审核通过后，采购方应当至少每年对供应方进行一次现场审核。供应方应当积极配合持有人进行现场审核。在审核过程中，采购方应当遵守供应方的制度、程序和安全保密工作要求。</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11.2采购方在现场审核过程中发现的缺陷项，供应方应当积极整改，制定整改计划，明确纠正预防措施，在审核结束后X日内报采购方审核批准，整改完成后X日内采购方进行审核确认。</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12.监管部门监督检查</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采购方在接受药品监管部门监督检查时，如需提供相关采购资料的，供应方应当配合提供；需要对供应方开展现场检查时，供应方应当予以配合。</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13.质量争议及处理</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13.1供应方须保证所提供的药材满足经双方确认的质量要求。技术、质量要求等有新变更时，由双方协商后进行确认。</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13.2双方按照约定的质量要求进行产品交付验收，验收包括外包装、名称、规格、数量、质量、资料等。如不符合要求采购方可直接向供应方提出退货。</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13.3供应方接到甲方通报供货质量异常报告时，应当能迅速应对，并满足采购方的筛选、更换、退货等要求。</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13.4由于供应方储存和养护不当所造成损失由供应方自行负责。</w:t>
      </w:r>
    </w:p>
    <w:p>
      <w:pPr>
        <w:widowControl/>
        <w:spacing w:line="555" w:lineRule="atLeast"/>
        <w:ind w:firstLine="63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13.5合同一式四份，双方各两份，同等有效。如有质量争议，优先协商解决，不能协商解决时，以双方认可有检验资质的第三方检测机构检验报告为准。</w:t>
      </w:r>
    </w:p>
    <w:p>
      <w:pPr>
        <w:widowControl/>
        <w:spacing w:line="555" w:lineRule="atLeast"/>
        <w:jc w:val="left"/>
        <w:textAlignment w:val="baseline"/>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 xml:space="preserve">   </w:t>
      </w:r>
    </w:p>
    <w:p>
      <w:pPr>
        <w:widowControl/>
        <w:spacing w:line="555" w:lineRule="atLeast"/>
        <w:jc w:val="left"/>
        <w:textAlignment w:val="baseline"/>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 xml:space="preserve">  委托方：    （盖章）            受托方：    （盖章）</w:t>
      </w:r>
    </w:p>
    <w:p>
      <w:pPr>
        <w:widowControl/>
        <w:spacing w:line="555" w:lineRule="atLeast"/>
        <w:jc w:val="left"/>
        <w:textAlignment w:val="baseline"/>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    法人（法人代表）：             法人（法人代表）：</w:t>
      </w:r>
    </w:p>
    <w:p>
      <w:pPr>
        <w:widowControl/>
        <w:spacing w:line="555" w:lineRule="atLeast"/>
        <w:jc w:val="left"/>
        <w:textAlignment w:val="baseline"/>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    项目负责人：                     项目负责人：</w:t>
      </w:r>
    </w:p>
    <w:p>
      <w:pPr>
        <w:widowControl/>
        <w:spacing w:line="555" w:lineRule="atLeast"/>
        <w:jc w:val="left"/>
        <w:textAlignment w:val="baseline"/>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    地址：                              地址：</w:t>
      </w:r>
    </w:p>
    <w:p>
      <w:pPr>
        <w:widowControl/>
        <w:spacing w:line="555" w:lineRule="atLeast"/>
        <w:jc w:val="left"/>
        <w:textAlignment w:val="baseline"/>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    电话：                              电话：</w:t>
      </w:r>
    </w:p>
    <w:p>
      <w:pPr>
        <w:widowControl/>
        <w:spacing w:line="555" w:lineRule="atLeast"/>
        <w:jc w:val="left"/>
        <w:textAlignment w:val="baseline"/>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 xml:space="preserve">  签订地址：</w:t>
      </w:r>
    </w:p>
    <w:p>
      <w:pPr>
        <w:widowControl/>
        <w:spacing w:line="450" w:lineRule="atLeast"/>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 </w:t>
      </w:r>
    </w:p>
    <w:p>
      <w:pPr>
        <w:widowControl/>
        <w:spacing w:line="450" w:lineRule="atLeast"/>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 xml:space="preserve">                             签订日期：     年   月   日</w:t>
      </w:r>
    </w:p>
    <w:p>
      <w:pPr>
        <w:rPr>
          <w:rFonts w:ascii="仿宋_GB2312" w:eastAsia="仿宋_GB2312"/>
          <w:sz w:val="32"/>
          <w:szCs w:val="32"/>
        </w:rPr>
      </w:pPr>
    </w:p>
    <w:p>
      <w:pPr>
        <w:spacing w:line="560" w:lineRule="exact"/>
        <w:jc w:val="left"/>
        <w:rPr>
          <w:rFonts w:hint="eastAsia" w:ascii="仿宋_GB2312" w:eastAsia="仿宋_GB2312"/>
          <w:sz w:val="32"/>
          <w:szCs w:val="32"/>
        </w:rPr>
      </w:pPr>
    </w:p>
    <w:sectPr>
      <w:pgSz w:w="11906" w:h="16838"/>
      <w:pgMar w:top="1928" w:right="1361"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98D"/>
    <w:rsid w:val="0001698D"/>
    <w:rsid w:val="000753F6"/>
    <w:rsid w:val="00202626"/>
    <w:rsid w:val="002B6643"/>
    <w:rsid w:val="005F7D65"/>
    <w:rsid w:val="007B541C"/>
    <w:rsid w:val="009C7465"/>
    <w:rsid w:val="009D75A4"/>
    <w:rsid w:val="00A23F38"/>
    <w:rsid w:val="00CA5A90"/>
    <w:rsid w:val="00CE2136"/>
    <w:rsid w:val="00DB6A77"/>
    <w:rsid w:val="00F37D1D"/>
    <w:rsid w:val="0166665D"/>
    <w:rsid w:val="039D5930"/>
    <w:rsid w:val="0EDB2D25"/>
    <w:rsid w:val="10E851C8"/>
    <w:rsid w:val="11761F61"/>
    <w:rsid w:val="17D00047"/>
    <w:rsid w:val="27DB530A"/>
    <w:rsid w:val="336471EC"/>
    <w:rsid w:val="429C232F"/>
    <w:rsid w:val="447860E3"/>
    <w:rsid w:val="546868CF"/>
    <w:rsid w:val="64524717"/>
    <w:rsid w:val="6C373278"/>
    <w:rsid w:val="6D956CA1"/>
    <w:rsid w:val="7B6A1B62"/>
    <w:rsid w:val="7BF01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uiPriority w:val="99"/>
    <w:pPr>
      <w:ind w:left="100" w:leftChars="250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日期 Char"/>
    <w:basedOn w:val="6"/>
    <w:link w:val="2"/>
    <w:semiHidden/>
    <w:qFormat/>
    <w:uiPriority w:val="99"/>
  </w:style>
  <w:style w:type="character" w:customStyle="1" w:styleId="11">
    <w:name w:val="NormalCharacter"/>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1669</Words>
  <Characters>9515</Characters>
  <Lines>79</Lines>
  <Paragraphs>22</Paragraphs>
  <TotalTime>2</TotalTime>
  <ScaleCrop>false</ScaleCrop>
  <LinksUpToDate>false</LinksUpToDate>
  <CharactersWithSpaces>11162</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2022-04-25T01:00:00Z</dcterms:created>
  <dc:creator>荣向阳</dc:creator>
  <cp:lastModifiedBy>Dell</cp:lastModifiedBy>
  <cp:lastPrinted>2022-10-27T07:31:00Z</cp:lastPrinted>
  <dcterms:modified xsi:type="dcterms:W3CDTF">2022-11-01T09:55:57Z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