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9AC3">
      <w:pPr>
        <w:keepNext w:val="0"/>
        <w:keepLines w:val="0"/>
        <w:pageBreakBefore w:val="0"/>
        <w:widowControl/>
        <w:tabs>
          <w:tab w:val="left" w:pos="7380"/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5D4E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3BE46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化妆品标准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制修订项目</w:t>
      </w:r>
    </w:p>
    <w:p w14:paraId="65DA3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1080"/>
        <w:gridCol w:w="2660"/>
        <w:gridCol w:w="2386"/>
      </w:tblGrid>
      <w:tr w14:paraId="5DD6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tblHeader/>
          <w:jc w:val="center"/>
        </w:trPr>
        <w:tc>
          <w:tcPr>
            <w:tcW w:w="2933" w:type="dxa"/>
            <w:noWrap w:val="0"/>
            <w:vAlign w:val="center"/>
          </w:tcPr>
          <w:p w14:paraId="2BECEEE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项目名称</w:t>
            </w:r>
          </w:p>
        </w:tc>
        <w:tc>
          <w:tcPr>
            <w:tcW w:w="1080" w:type="dxa"/>
            <w:noWrap w:val="0"/>
            <w:vAlign w:val="center"/>
          </w:tcPr>
          <w:p w14:paraId="31D3E3D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制修订</w:t>
            </w:r>
          </w:p>
          <w:p w14:paraId="7D5CA42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类型</w:t>
            </w:r>
          </w:p>
        </w:tc>
        <w:tc>
          <w:tcPr>
            <w:tcW w:w="2660" w:type="dxa"/>
            <w:noWrap w:val="0"/>
            <w:vAlign w:val="center"/>
          </w:tcPr>
          <w:p w14:paraId="0CA2AFA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承担项目的</w:t>
            </w:r>
          </w:p>
          <w:p w14:paraId="11D1FEC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标委会分技术委员会</w:t>
            </w:r>
          </w:p>
        </w:tc>
        <w:tc>
          <w:tcPr>
            <w:tcW w:w="2386" w:type="dxa"/>
            <w:noWrap w:val="0"/>
            <w:vAlign w:val="center"/>
          </w:tcPr>
          <w:p w14:paraId="37424D3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eastAsia="zh-CN"/>
              </w:rPr>
              <w:t>起草单位</w:t>
            </w:r>
          </w:p>
        </w:tc>
      </w:tr>
      <w:tr w14:paraId="0171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933" w:type="dxa"/>
            <w:noWrap w:val="0"/>
            <w:vAlign w:val="center"/>
          </w:tcPr>
          <w:p w14:paraId="7F272AC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丁基乙酰氨基丙酸乙酯</w:t>
            </w:r>
          </w:p>
        </w:tc>
        <w:tc>
          <w:tcPr>
            <w:tcW w:w="1080" w:type="dxa"/>
            <w:noWrap w:val="0"/>
            <w:vAlign w:val="center"/>
          </w:tcPr>
          <w:p w14:paraId="1BE5A3C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制定</w:t>
            </w:r>
          </w:p>
        </w:tc>
        <w:tc>
          <w:tcPr>
            <w:tcW w:w="2660" w:type="dxa"/>
            <w:noWrap w:val="0"/>
            <w:vAlign w:val="center"/>
          </w:tcPr>
          <w:p w14:paraId="5DBAF858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通用技术要求</w:t>
            </w:r>
          </w:p>
          <w:p w14:paraId="138E4407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分技术委员会</w:t>
            </w:r>
          </w:p>
        </w:tc>
        <w:tc>
          <w:tcPr>
            <w:tcW w:w="2386" w:type="dxa"/>
            <w:noWrap w:val="0"/>
            <w:vAlign w:val="center"/>
          </w:tcPr>
          <w:p w14:paraId="7075DE0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中国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食品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药品检定</w:t>
            </w:r>
          </w:p>
          <w:p w14:paraId="295B24F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研究院</w:t>
            </w:r>
          </w:p>
        </w:tc>
      </w:tr>
    </w:tbl>
    <w:p w14:paraId="7BDBD434">
      <w:pPr>
        <w:tabs>
          <w:tab w:val="left" w:pos="7380"/>
          <w:tab w:val="left" w:pos="7560"/>
          <w:tab w:val="left" w:pos="7740"/>
        </w:tabs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12C98E7">
      <w:pPr>
        <w:tabs>
          <w:tab w:val="left" w:pos="7380"/>
          <w:tab w:val="left" w:pos="7560"/>
          <w:tab w:val="left" w:pos="7740"/>
        </w:tabs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2ADD9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36DD3"/>
    <w:rsid w:val="1CA3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2026-07-07T08:56:00Z</dcterms:created>
  <dc:creator>新祺</dc:creator>
  <cp:lastModifiedBy>新祺</cp:lastModifiedBy>
  <dcterms:modified xsi:type="dcterms:W3CDTF">2026-07-07T08:57:31Z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85E398EC278743A389F147EF9AD09D9D_11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