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102" w:rightChars="-32"/>
        <w:jc w:val="center"/>
        <w:rPr>
          <w:rFonts w:hint="eastAsia" w:eastAsia="方正小标宋简体"/>
          <w:color w:val="000000"/>
          <w:sz w:val="44"/>
          <w:szCs w:val="44"/>
        </w:rPr>
      </w:pPr>
      <w:r>
        <w:rPr>
          <w:rFonts w:hint="eastAsia" w:eastAsia="方正小标宋简体"/>
          <w:color w:val="000000"/>
          <w:sz w:val="44"/>
          <w:szCs w:val="44"/>
        </w:rPr>
        <w:t>耳鸣康复设备注册审查指导原则</w:t>
      </w:r>
    </w:p>
    <w:p>
      <w:pPr>
        <w:spacing w:line="520" w:lineRule="exact"/>
        <w:ind w:right="-102" w:rightChars="-32"/>
        <w:jc w:val="center"/>
        <w:rPr>
          <w:rFonts w:eastAsia="方正小标宋简体"/>
          <w:color w:val="000000"/>
          <w:sz w:val="44"/>
          <w:szCs w:val="44"/>
        </w:rPr>
      </w:pPr>
      <w:r>
        <w:rPr>
          <w:rFonts w:hint="eastAsia" w:eastAsia="方正小标宋简体"/>
          <w:color w:val="000000"/>
          <w:sz w:val="44"/>
          <w:szCs w:val="44"/>
        </w:rPr>
        <w:t>（征求意见稿）</w:t>
      </w:r>
    </w:p>
    <w:p>
      <w:pPr>
        <w:spacing w:line="520" w:lineRule="exact"/>
        <w:ind w:firstLine="632" w:firstLineChars="200"/>
        <w:rPr>
          <w:rFonts w:eastAsia="仿宋_GB2312"/>
          <w:spacing w:val="-2"/>
          <w:kern w:val="0"/>
          <w:szCs w:val="32"/>
        </w:rPr>
      </w:pPr>
    </w:p>
    <w:p>
      <w:pPr>
        <w:spacing w:line="520" w:lineRule="exact"/>
        <w:ind w:firstLine="640" w:firstLineChars="200"/>
        <w:rPr>
          <w:rFonts w:eastAsia="仿宋_GB2312"/>
          <w:color w:val="000000"/>
          <w:szCs w:val="32"/>
        </w:rPr>
      </w:pPr>
      <w:r>
        <w:rPr>
          <w:rFonts w:hint="eastAsia" w:eastAsia="仿宋_GB2312"/>
          <w:color w:val="000000"/>
          <w:szCs w:val="32"/>
        </w:rPr>
        <w:t>本指导原则旨在指导注册申请人对耳鸣康复设备注册申报资料的准备及撰写，同时也为技术审评部门审评注册申报资料提供参考。</w:t>
      </w:r>
    </w:p>
    <w:p>
      <w:pPr>
        <w:spacing w:line="520" w:lineRule="exact"/>
        <w:ind w:firstLine="640" w:firstLineChars="200"/>
        <w:rPr>
          <w:rFonts w:eastAsia="仿宋_GB2312"/>
          <w:color w:val="000000"/>
          <w:szCs w:val="32"/>
        </w:rPr>
      </w:pPr>
      <w:r>
        <w:rPr>
          <w:rFonts w:hint="eastAsia" w:eastAsia="仿宋_GB2312"/>
          <w:color w:val="000000"/>
          <w:szCs w:val="32"/>
        </w:rPr>
        <w:t>本指导原则是对耳鸣康复设备注册申报资料的一般要求，申请人应依据产品的具体特性确定其中的内容是否适用。若不适用，需具体阐述其理由及相应的科学依据，并依据具体的产品特性对注册申报资料的内容进行充实和细化。</w:t>
      </w:r>
    </w:p>
    <w:p>
      <w:pPr>
        <w:spacing w:line="520" w:lineRule="exact"/>
        <w:ind w:firstLine="640" w:firstLineChars="200"/>
        <w:rPr>
          <w:rFonts w:eastAsia="仿宋_GB2312"/>
          <w:color w:val="000000"/>
          <w:szCs w:val="32"/>
        </w:rPr>
      </w:pPr>
      <w:r>
        <w:rPr>
          <w:rFonts w:hint="eastAsia" w:eastAsia="仿宋_GB2312"/>
          <w:color w:val="000000"/>
          <w:szCs w:val="32"/>
        </w:rPr>
        <w:t>本指导原则是供注册申请人和技术审评人员使用的指导性文件，但不包括注册审批所涉及的行政事项，亦不作为法规强制执行，应在遵循相关法规的前提下使用本指导原则。如果有能够满足相关法规要求的其他方法，也可以采用，但是需要提供详细的研究资料和验证资料。</w:t>
      </w:r>
    </w:p>
    <w:p>
      <w:pPr>
        <w:spacing w:line="520" w:lineRule="exact"/>
        <w:ind w:firstLine="640" w:firstLineChars="200"/>
        <w:rPr>
          <w:rFonts w:eastAsia="仿宋_GB2312"/>
          <w:color w:val="000000"/>
          <w:szCs w:val="32"/>
        </w:rPr>
      </w:pPr>
      <w:r>
        <w:rPr>
          <w:rFonts w:hint="eastAsia" w:eastAsia="仿宋_GB2312"/>
          <w:color w:val="000000"/>
          <w:szCs w:val="32"/>
        </w:rPr>
        <w:t>本指导原则是在现行法规和标准体系以及当前认知水平下制定的，随着法规和标准的不断完善，以及科学技术的不断发展，相关内容也将适时进行调整。</w:t>
      </w:r>
    </w:p>
    <w:p>
      <w:pPr>
        <w:spacing w:line="520" w:lineRule="exact"/>
        <w:ind w:firstLine="640" w:firstLineChars="200"/>
        <w:rPr>
          <w:rFonts w:eastAsia="黑体"/>
          <w:color w:val="000000"/>
          <w:szCs w:val="32"/>
        </w:rPr>
      </w:pPr>
      <w:r>
        <w:rPr>
          <w:rFonts w:hint="eastAsia" w:eastAsia="黑体"/>
          <w:color w:val="000000"/>
          <w:szCs w:val="32"/>
        </w:rPr>
        <w:t>一、适用范围</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szCs w:val="32"/>
        </w:rPr>
        <w:t>本指导原则适用于利用耳鸣掩蔽疗法，通过选择与耳鸣音调、响度相匹配的特定外界声作为掩蔽声，在医师的指导下聆听掩</w:t>
      </w:r>
      <w:r>
        <w:rPr>
          <w:rFonts w:hint="eastAsia" w:eastAsia="仿宋_GB2312"/>
          <w:color w:val="000000" w:themeColor="text1"/>
          <w:szCs w:val="32"/>
          <w14:textFill>
            <w14:solidFill>
              <w14:schemeClr w14:val="tx1"/>
            </w14:solidFill>
          </w14:textFill>
        </w:rPr>
        <w:t>蔽声，以抑制耳鸣或缓解耳鸣症状的耳鸣康复设备，该类产品通常包含耳鸣测试，管理类别为II类，产品分类编码为19-01</w:t>
      </w:r>
      <w:r>
        <w:rPr>
          <w:rFonts w:hint="eastAsia"/>
          <w:color w:val="000000" w:themeColor="text1"/>
          <w:lang w:val="en-US" w:eastAsia="zh-CN"/>
          <w14:textFill>
            <w14:solidFill>
              <w14:schemeClr w14:val="tx1"/>
            </w14:solidFill>
          </w14:textFill>
        </w:rPr>
        <w:t>-03</w:t>
      </w:r>
      <w:r>
        <w:rPr>
          <w:rFonts w:hint="eastAsia" w:eastAsia="仿宋_GB2312"/>
          <w:color w:val="000000" w:themeColor="text1"/>
          <w:szCs w:val="32"/>
          <w14:textFill>
            <w14:solidFill>
              <w14:schemeClr w14:val="tx1"/>
            </w14:solidFill>
          </w14:textFill>
        </w:rPr>
        <w:t>。</w:t>
      </w:r>
    </w:p>
    <w:p>
      <w:pPr>
        <w:spacing w:line="520" w:lineRule="exact"/>
        <w:ind w:firstLine="640" w:firstLineChars="200"/>
        <w:rPr>
          <w:rFonts w:eastAsia="黑体"/>
          <w:color w:val="000000"/>
          <w:szCs w:val="32"/>
        </w:rPr>
      </w:pPr>
      <w:r>
        <w:rPr>
          <w:rFonts w:hint="eastAsia" w:eastAsia="黑体"/>
          <w:color w:val="000000"/>
          <w:szCs w:val="32"/>
        </w:rPr>
        <w:t>二、注册审查要点</w:t>
      </w:r>
    </w:p>
    <w:p>
      <w:pPr>
        <w:spacing w:line="520" w:lineRule="exact"/>
        <w:ind w:firstLine="640" w:firstLineChars="200"/>
        <w:rPr>
          <w:rFonts w:eastAsia="楷体_GB2312" w:cstheme="majorBidi"/>
          <w:bCs/>
          <w:color w:val="000000"/>
          <w:kern w:val="0"/>
          <w:szCs w:val="32"/>
        </w:rPr>
      </w:pPr>
      <w:r>
        <w:rPr>
          <w:rFonts w:hint="eastAsia" w:ascii="楷体_GB2312" w:hAnsi="楷体_GB2312" w:eastAsia="楷体_GB2312" w:cs="楷体_GB2312"/>
          <w:bCs/>
          <w:color w:val="000000"/>
          <w:kern w:val="0"/>
          <w:szCs w:val="32"/>
        </w:rPr>
        <w:t>（一）</w:t>
      </w:r>
      <w:r>
        <w:rPr>
          <w:rFonts w:hint="eastAsia" w:eastAsia="楷体_GB2312" w:cstheme="majorBidi"/>
          <w:bCs/>
          <w:color w:val="000000"/>
          <w:kern w:val="0"/>
          <w:szCs w:val="32"/>
        </w:rPr>
        <w:t>监管信息</w:t>
      </w:r>
    </w:p>
    <w:p>
      <w:pPr>
        <w:spacing w:line="520" w:lineRule="exact"/>
        <w:ind w:firstLine="640" w:firstLineChars="200"/>
        <w:rPr>
          <w:rFonts w:eastAsia="仿宋_GB2312"/>
          <w:color w:val="000000"/>
          <w:szCs w:val="32"/>
        </w:rPr>
      </w:pPr>
      <w:r>
        <w:rPr>
          <w:rFonts w:hint="eastAsia" w:eastAsia="仿宋_GB2312"/>
          <w:color w:val="000000"/>
          <w:szCs w:val="32"/>
        </w:rPr>
        <w:t>1.产品名称</w:t>
      </w:r>
    </w:p>
    <w:p>
      <w:pPr>
        <w:spacing w:line="520" w:lineRule="exact"/>
        <w:ind w:firstLine="640" w:firstLineChars="200"/>
        <w:rPr>
          <w:rFonts w:eastAsia="仿宋_GB2312"/>
          <w:color w:val="000000"/>
          <w:szCs w:val="32"/>
        </w:rPr>
      </w:pPr>
      <w:r>
        <w:rPr>
          <w:rFonts w:hint="eastAsia" w:eastAsia="仿宋_GB2312"/>
          <w:color w:val="000000"/>
          <w:szCs w:val="32"/>
        </w:rPr>
        <w:t>产品名称应符合《医疗器械通用名称命名规则》《医疗器械通用名称命名指导原则》《医用康复器械通用名称命名指导原则》的要求。</w:t>
      </w:r>
    </w:p>
    <w:p>
      <w:pPr>
        <w:spacing w:line="520" w:lineRule="exact"/>
        <w:ind w:firstLine="640" w:firstLineChars="200"/>
        <w:rPr>
          <w:rFonts w:eastAsia="仿宋_GB2312"/>
          <w:color w:val="000000"/>
          <w:szCs w:val="32"/>
        </w:rPr>
      </w:pPr>
      <w:r>
        <w:rPr>
          <w:rFonts w:hint="eastAsia" w:eastAsia="仿宋_GB2312"/>
          <w:color w:val="000000"/>
          <w:szCs w:val="32"/>
        </w:rPr>
        <w:t>产品名称示例：耳鸣康复治疗仪、耳鸣康复设备。</w:t>
      </w:r>
    </w:p>
    <w:p>
      <w:pPr>
        <w:spacing w:line="520" w:lineRule="exact"/>
        <w:ind w:firstLine="640" w:firstLineChars="200"/>
        <w:rPr>
          <w:rFonts w:eastAsia="仿宋_GB2312"/>
          <w:color w:val="000000"/>
          <w:szCs w:val="32"/>
        </w:rPr>
      </w:pPr>
      <w:r>
        <w:rPr>
          <w:rFonts w:hint="eastAsia" w:eastAsia="仿宋_GB2312"/>
          <w:color w:val="000000"/>
          <w:szCs w:val="32"/>
        </w:rPr>
        <w:t>2.管理类别和分类编码</w:t>
      </w:r>
    </w:p>
    <w:p>
      <w:pPr>
        <w:spacing w:line="520" w:lineRule="exact"/>
        <w:ind w:firstLine="640" w:firstLineChars="200"/>
        <w:rPr>
          <w:rFonts w:eastAsia="仿宋_GB2312"/>
          <w:color w:val="000000"/>
          <w:szCs w:val="32"/>
        </w:rPr>
      </w:pPr>
      <w:r>
        <w:rPr>
          <w:rFonts w:hint="eastAsia" w:eastAsia="仿宋_GB2312"/>
          <w:color w:val="000000"/>
          <w:szCs w:val="32"/>
        </w:rPr>
        <w:t>该类产品不在《医疗器械分类目录》中，根据《医疗器械分类界定结果汇总》，该产品管理类别为II类，分类编码为19-01。</w:t>
      </w:r>
    </w:p>
    <w:p>
      <w:pPr>
        <w:spacing w:line="520" w:lineRule="exact"/>
        <w:ind w:firstLine="640" w:firstLineChars="200"/>
        <w:rPr>
          <w:rFonts w:eastAsia="仿宋_GB2312"/>
          <w:color w:val="000000"/>
          <w:szCs w:val="32"/>
        </w:rPr>
      </w:pPr>
      <w:r>
        <w:rPr>
          <w:rFonts w:hint="eastAsia" w:eastAsia="仿宋_GB2312"/>
          <w:color w:val="000000"/>
          <w:szCs w:val="32"/>
        </w:rPr>
        <w:t>3.注册单元划分</w:t>
      </w:r>
    </w:p>
    <w:p>
      <w:pPr>
        <w:spacing w:line="520" w:lineRule="exact"/>
        <w:ind w:firstLine="640" w:firstLineChars="200"/>
        <w:rPr>
          <w:rFonts w:eastAsia="仿宋_GB2312"/>
          <w:color w:val="000000"/>
          <w:szCs w:val="32"/>
        </w:rPr>
      </w:pPr>
      <w:r>
        <w:rPr>
          <w:rFonts w:hint="eastAsia" w:eastAsia="仿宋_GB2312"/>
          <w:color w:val="000000"/>
          <w:szCs w:val="32"/>
        </w:rPr>
        <w:t>申报产品注册单元划分应按照《医疗器械注册与备案管理办法》《医疗器械注册单元划分指导原则》要求，以产品的技术原理、结构组成、性能指标、适用范围等为划分依据。</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szCs w:val="32"/>
        </w:rPr>
        <w:t>3.1适用范围</w:t>
      </w:r>
      <w:r>
        <w:rPr>
          <w:rFonts w:hint="eastAsia" w:eastAsia="仿宋_GB2312"/>
          <w:color w:val="000000" w:themeColor="text1"/>
          <w:szCs w:val="32"/>
          <w14:textFill>
            <w14:solidFill>
              <w14:schemeClr w14:val="tx1"/>
            </w14:solidFill>
          </w14:textFill>
        </w:rPr>
        <w:t>、性能、结构方面存在较大差异的，应划分为不同的注册单元</w:t>
      </w:r>
      <w:r>
        <w:rPr>
          <w:rFonts w:hint="eastAsia" w:eastAsia="仿宋_GB2312"/>
          <w:color w:val="000000" w:themeColor="text1"/>
          <w:szCs w:val="32"/>
          <w:lang w:eastAsia="zh-CN"/>
          <w14:textFill>
            <w14:solidFill>
              <w14:schemeClr w14:val="tx1"/>
            </w14:solidFill>
          </w14:textFill>
        </w:rPr>
        <w:t>。</w:t>
      </w:r>
    </w:p>
    <w:p>
      <w:pPr>
        <w:spacing w:line="520" w:lineRule="exact"/>
        <w:ind w:firstLine="640" w:firstLineChars="200"/>
        <w:rPr>
          <w:rFonts w:eastAsia="楷体_GB2312" w:cstheme="majorBidi"/>
          <w:bCs/>
          <w:color w:val="000000" w:themeColor="text1"/>
          <w:kern w:val="0"/>
          <w:szCs w:val="32"/>
          <w14:textFill>
            <w14:solidFill>
              <w14:schemeClr w14:val="tx1"/>
            </w14:solidFill>
          </w14:textFill>
        </w:rPr>
      </w:pPr>
      <w:r>
        <w:rPr>
          <w:rFonts w:hint="eastAsia" w:ascii="楷体_GB2312" w:hAnsi="楷体_GB2312" w:eastAsia="楷体_GB2312" w:cs="楷体_GB2312"/>
          <w:bCs/>
          <w:color w:val="000000" w:themeColor="text1"/>
          <w:kern w:val="0"/>
          <w:szCs w:val="32"/>
          <w14:textFill>
            <w14:solidFill>
              <w14:schemeClr w14:val="tx1"/>
            </w14:solidFill>
          </w14:textFill>
        </w:rPr>
        <w:t>（二）</w:t>
      </w:r>
      <w:r>
        <w:rPr>
          <w:rFonts w:hint="eastAsia" w:eastAsia="楷体_GB2312" w:cstheme="majorBidi"/>
          <w:bCs/>
          <w:color w:val="000000" w:themeColor="text1"/>
          <w:kern w:val="0"/>
          <w:szCs w:val="32"/>
          <w14:textFill>
            <w14:solidFill>
              <w14:schemeClr w14:val="tx1"/>
            </w14:solidFill>
          </w14:textFill>
        </w:rPr>
        <w:t>综述资料</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1.产品描述</w:t>
      </w:r>
    </w:p>
    <w:p>
      <w:pPr>
        <w:spacing w:line="520" w:lineRule="exact"/>
        <w:ind w:firstLine="640" w:firstLineChars="200"/>
        <w:rPr>
          <w:rFonts w:eastAsia="仿宋_GB2312"/>
          <w:color w:val="000000"/>
          <w:szCs w:val="32"/>
        </w:rPr>
      </w:pPr>
      <w:r>
        <w:rPr>
          <w:rFonts w:hint="eastAsia" w:eastAsia="仿宋_GB2312"/>
          <w:color w:val="000000"/>
          <w:szCs w:val="32"/>
        </w:rPr>
        <w:t>1.1器械及操作原理描述</w:t>
      </w:r>
    </w:p>
    <w:p>
      <w:pPr>
        <w:spacing w:line="520" w:lineRule="exact"/>
        <w:ind w:firstLine="640" w:firstLineChars="200"/>
        <w:rPr>
          <w:rFonts w:eastAsia="仿宋_GB2312"/>
          <w:color w:val="000000"/>
          <w:szCs w:val="32"/>
        </w:rPr>
      </w:pPr>
      <w:r>
        <w:rPr>
          <w:rFonts w:hint="eastAsia" w:eastAsia="仿宋_GB2312"/>
          <w:color w:val="000000"/>
          <w:szCs w:val="32"/>
        </w:rPr>
        <w:t>1.1.1工作原理</w:t>
      </w:r>
    </w:p>
    <w:p>
      <w:pPr>
        <w:spacing w:line="520" w:lineRule="exact"/>
        <w:ind w:firstLine="640" w:firstLineChars="200"/>
        <w:rPr>
          <w:rFonts w:eastAsia="仿宋_GB2312"/>
          <w:color w:val="000000"/>
          <w:szCs w:val="32"/>
        </w:rPr>
      </w:pPr>
      <w:r>
        <w:rPr>
          <w:rFonts w:hint="eastAsia" w:eastAsia="仿宋_GB2312"/>
          <w:color w:val="000000"/>
          <w:szCs w:val="32"/>
        </w:rPr>
        <w:t>耳</w:t>
      </w:r>
      <w:r>
        <w:rPr>
          <w:rFonts w:eastAsia="仿宋_GB2312"/>
          <w:color w:val="000000"/>
          <w:szCs w:val="32"/>
        </w:rPr>
        <w:t>鸣测试：主机通过模拟不同频率和强度的声音，基于患者主观反馈，匹配耳鸣声的频率和响度：设备播放不同频率和强度的声音，患者将所听的声音反馈给医护人员，供医护人员确认与自身耳鸣声最接近的信号。</w:t>
      </w:r>
    </w:p>
    <w:p>
      <w:pPr>
        <w:spacing w:line="520" w:lineRule="exact"/>
        <w:ind w:firstLine="640" w:firstLineChars="200"/>
        <w:rPr>
          <w:rFonts w:eastAsia="仿宋_GB2312"/>
          <w:color w:val="000000"/>
          <w:szCs w:val="32"/>
        </w:rPr>
      </w:pPr>
      <w:r>
        <w:rPr>
          <w:rFonts w:hint="eastAsia" w:eastAsia="仿宋_GB2312"/>
          <w:color w:val="000000"/>
          <w:szCs w:val="32"/>
        </w:rPr>
        <w:t>耳</w:t>
      </w:r>
      <w:r>
        <w:rPr>
          <w:rFonts w:eastAsia="仿宋_GB2312"/>
          <w:color w:val="000000"/>
          <w:szCs w:val="32"/>
        </w:rPr>
        <w:t>鸣</w:t>
      </w:r>
      <w:r>
        <w:rPr>
          <w:rFonts w:hint="eastAsia" w:eastAsia="仿宋_GB2312"/>
          <w:color w:val="000000"/>
          <w:szCs w:val="32"/>
        </w:rPr>
        <w:t>康复治疗</w:t>
      </w:r>
      <w:r>
        <w:rPr>
          <w:rFonts w:eastAsia="仿宋_GB2312"/>
          <w:color w:val="000000"/>
          <w:szCs w:val="32"/>
        </w:rPr>
        <w:t>：将患者耳鸣声和舒缓的音乐合成，播放给患者听，帮助患者适应耳鸣，减轻患者对耳鸣的感知。</w:t>
      </w:r>
    </w:p>
    <w:p>
      <w:pPr>
        <w:spacing w:line="520" w:lineRule="exact"/>
        <w:ind w:left="320" w:leftChars="100" w:firstLine="320" w:firstLineChars="100"/>
        <w:rPr>
          <w:rFonts w:eastAsia="仿宋_GB2312"/>
          <w:color w:val="000000"/>
          <w:szCs w:val="32"/>
        </w:rPr>
      </w:pPr>
      <w:r>
        <w:rPr>
          <w:rFonts w:hint="eastAsia" w:eastAsia="仿宋_GB2312"/>
          <w:color w:val="000000"/>
          <w:szCs w:val="32"/>
        </w:rPr>
        <w:t>1.1.2作用机理</w:t>
      </w:r>
    </w:p>
    <w:p>
      <w:pPr>
        <w:spacing w:line="520" w:lineRule="exact"/>
        <w:ind w:firstLine="640" w:firstLineChars="200"/>
        <w:rPr>
          <w:rFonts w:eastAsia="仿宋_GB2312"/>
          <w:color w:val="000000"/>
          <w:szCs w:val="32"/>
        </w:rPr>
      </w:pPr>
      <w:r>
        <w:rPr>
          <w:rFonts w:hint="eastAsia" w:eastAsia="仿宋_GB2312"/>
          <w:color w:val="000000"/>
          <w:szCs w:val="32"/>
        </w:rPr>
        <w:t>利</w:t>
      </w:r>
      <w:r>
        <w:rPr>
          <w:rFonts w:eastAsia="仿宋_GB2312"/>
          <w:color w:val="000000"/>
          <w:szCs w:val="32"/>
        </w:rPr>
        <w:t>用掩蔽疗法原理，通过特定声音掩盖耳鸣声，帮助患者适应耳鸣从而减轻患者对耳鸣的感知</w:t>
      </w:r>
      <w:r>
        <w:rPr>
          <w:rFonts w:hint="eastAsia" w:eastAsia="仿宋_GB2312"/>
          <w:color w:val="000000"/>
          <w:szCs w:val="32"/>
        </w:rPr>
        <w:t>。掩</w:t>
      </w:r>
      <w:r>
        <w:rPr>
          <w:rFonts w:eastAsia="仿宋_GB2312"/>
          <w:color w:val="000000"/>
          <w:szCs w:val="32"/>
        </w:rPr>
        <w:t>蔽疗法是通过外界声音掩盖耳鸣声，从而减轻患者对耳鸣的感知。其具体作用机制如下：</w:t>
      </w:r>
    </w:p>
    <w:p>
      <w:pPr>
        <w:spacing w:line="520" w:lineRule="exact"/>
        <w:ind w:firstLine="640" w:firstLineChars="200"/>
        <w:rPr>
          <w:rFonts w:eastAsia="仿宋_GB2312"/>
          <w:color w:val="000000"/>
          <w:szCs w:val="32"/>
        </w:rPr>
      </w:pPr>
      <w:r>
        <w:rPr>
          <w:rFonts w:hint="eastAsia" w:eastAsia="仿宋_GB2312"/>
          <w:color w:val="000000"/>
          <w:szCs w:val="32"/>
        </w:rPr>
        <w:t>降</w:t>
      </w:r>
      <w:r>
        <w:rPr>
          <w:rFonts w:eastAsia="仿宋_GB2312"/>
          <w:color w:val="000000"/>
          <w:szCs w:val="32"/>
        </w:rPr>
        <w:t>低中枢兴奋性：通过选择与耳鸣频率匹配的窄带噪声或特定声音，刺激听觉神经通路，降低耳蜗毛细胞的异常自发放电活动，使其恢复正常。</w:t>
      </w:r>
    </w:p>
    <w:p>
      <w:pPr>
        <w:spacing w:line="520" w:lineRule="exact"/>
        <w:ind w:firstLine="640" w:firstLineChars="200"/>
        <w:rPr>
          <w:rFonts w:eastAsia="仿宋_GB2312"/>
          <w:color w:val="000000"/>
          <w:szCs w:val="32"/>
        </w:rPr>
      </w:pPr>
      <w:r>
        <w:rPr>
          <w:rFonts w:eastAsia="仿宋_GB2312"/>
          <w:color w:val="000000"/>
          <w:szCs w:val="32"/>
        </w:rPr>
        <w:t>心理适应：掩蔽声可以转移患者的注意力，减少耳鸣对患者情绪的负面影响，从而切断耳鸣与焦虑、烦躁等不良情绪的恶性循环。</w:t>
      </w:r>
      <w:r>
        <w:rPr>
          <w:rFonts w:hint="eastAsia" w:eastAsia="仿宋_GB2312"/>
          <w:color w:val="000000"/>
          <w:szCs w:val="32"/>
        </w:rPr>
        <w:t xml:space="preserve">    </w:t>
      </w:r>
    </w:p>
    <w:p>
      <w:pPr>
        <w:spacing w:line="520" w:lineRule="exact"/>
        <w:ind w:firstLine="640" w:firstLineChars="200"/>
        <w:rPr>
          <w:rFonts w:eastAsia="仿宋_GB2312"/>
          <w:color w:val="000000"/>
          <w:szCs w:val="32"/>
        </w:rPr>
      </w:pPr>
      <w:r>
        <w:rPr>
          <w:rFonts w:eastAsia="仿宋_GB2312"/>
          <w:color w:val="000000"/>
          <w:szCs w:val="32"/>
        </w:rPr>
        <w:t>习服疗法：通过持续的声刺激，使患者习惯耳鸣声音，从而达到缓解甚至消除耳鸣的效果。</w:t>
      </w:r>
    </w:p>
    <w:p>
      <w:pPr>
        <w:spacing w:line="520" w:lineRule="exact"/>
        <w:ind w:firstLine="640" w:firstLineChars="200"/>
        <w:rPr>
          <w:rFonts w:eastAsia="仿宋_GB2312"/>
          <w:color w:val="000000"/>
          <w:szCs w:val="32"/>
        </w:rPr>
      </w:pPr>
      <w:r>
        <w:rPr>
          <w:rFonts w:hint="eastAsia" w:eastAsia="仿宋_GB2312"/>
          <w:color w:val="000000"/>
          <w:szCs w:val="32"/>
        </w:rPr>
        <w:t>1.1.3结构组成</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szCs w:val="32"/>
        </w:rPr>
        <w:t>应详细描述产品结构组成、主要功能及其组成部件（关键组件和软件）的</w:t>
      </w:r>
      <w:r>
        <w:rPr>
          <w:rFonts w:hint="eastAsia" w:eastAsia="仿宋_GB2312"/>
          <w:color w:val="000000" w:themeColor="text1"/>
          <w:szCs w:val="32"/>
          <w14:textFill>
            <w14:solidFill>
              <w14:schemeClr w14:val="tx1"/>
            </w14:solidFill>
          </w14:textFill>
        </w:rPr>
        <w:t>功能、产品图示（含接口、操控面板、应用部分等细节），含有多个组成部分的，应说明其连接方式或组装关系。</w:t>
      </w:r>
    </w:p>
    <w:p>
      <w:pPr>
        <w:spacing w:line="520" w:lineRule="exact"/>
        <w:ind w:firstLine="640" w:firstLineChars="200"/>
        <w:rPr>
          <w:color w:val="000000" w:themeColor="text1"/>
          <w14:textFill>
            <w14:solidFill>
              <w14:schemeClr w14:val="tx1"/>
            </w14:solidFill>
          </w14:textFill>
        </w:rPr>
      </w:pPr>
      <w:r>
        <w:rPr>
          <w:rFonts w:hint="eastAsia" w:eastAsia="仿宋_GB2312"/>
          <w:color w:val="000000" w:themeColor="text1"/>
          <w:szCs w:val="32"/>
          <w14:textFill>
            <w14:solidFill>
              <w14:schemeClr w14:val="tx1"/>
            </w14:solidFill>
          </w14:textFill>
        </w:rPr>
        <w:t>耳鸣康复设备通常由主机、软件</w:t>
      </w:r>
      <w:r>
        <w:rPr>
          <w:rFonts w:hint="eastAsia" w:eastAsia="仿宋_GB2312"/>
          <w:color w:val="000000" w:themeColor="text1"/>
          <w:szCs w:val="32"/>
          <w:lang w:eastAsia="zh-CN"/>
          <w14:textFill>
            <w14:solidFill>
              <w14:schemeClr w14:val="tx1"/>
            </w14:solidFill>
          </w14:textFill>
        </w:rPr>
        <w:t>（如适用，标明型号及发布版本号）</w:t>
      </w:r>
      <w:r>
        <w:rPr>
          <w:rFonts w:hint="eastAsia" w:eastAsia="仿宋_GB2312"/>
          <w:color w:val="000000" w:themeColor="text1"/>
          <w:szCs w:val="32"/>
          <w14:textFill>
            <w14:solidFill>
              <w14:schemeClr w14:val="tx1"/>
            </w14:solidFill>
          </w14:textFill>
        </w:rPr>
        <w:t>、换能器、</w:t>
      </w:r>
      <w:r>
        <w:rPr>
          <w:rFonts w:hint="eastAsia" w:eastAsia="仿宋_GB2312"/>
          <w:color w:val="000000" w:themeColor="text1"/>
          <w:szCs w:val="32"/>
          <w:lang w:eastAsia="zh-CN"/>
          <w14:textFill>
            <w14:solidFill>
              <w14:schemeClr w14:val="tx1"/>
            </w14:solidFill>
          </w14:textFill>
        </w:rPr>
        <w:t>电源适配器</w:t>
      </w:r>
      <w:r>
        <w:rPr>
          <w:rFonts w:hint="eastAsia" w:eastAsia="仿宋_GB2312"/>
          <w:color w:val="000000" w:themeColor="text1"/>
          <w:szCs w:val="32"/>
          <w14:textFill>
            <w14:solidFill>
              <w14:schemeClr w14:val="tx1"/>
            </w14:solidFill>
          </w14:textFill>
        </w:rPr>
        <w:t>、</w:t>
      </w:r>
      <w:r>
        <w:rPr>
          <w:rFonts w:hint="eastAsia" w:eastAsia="仿宋_GB2312"/>
          <w:color w:val="000000" w:themeColor="text1"/>
          <w:szCs w:val="32"/>
          <w:lang w:eastAsia="zh-CN"/>
          <w14:textFill>
            <w14:solidFill>
              <w14:schemeClr w14:val="tx1"/>
            </w14:solidFill>
          </w14:textFill>
        </w:rPr>
        <w:t>线缆</w:t>
      </w:r>
      <w:r>
        <w:rPr>
          <w:rFonts w:hint="eastAsia" w:eastAsia="仿宋_GB2312"/>
          <w:color w:val="000000" w:themeColor="text1"/>
          <w:szCs w:val="32"/>
          <w14:textFill>
            <w14:solidFill>
              <w14:schemeClr w14:val="tx1"/>
            </w14:solidFill>
          </w14:textFill>
        </w:rPr>
        <w:t>组成。</w:t>
      </w:r>
    </w:p>
    <w:p>
      <w:pPr>
        <w:spacing w:line="520" w:lineRule="exact"/>
        <w:ind w:firstLine="640" w:firstLineChars="200"/>
        <w:rPr>
          <w:rFonts w:hint="eastAsia" w:eastAsia="仿宋_GB2312"/>
          <w:color w:val="000000" w:themeColor="text1"/>
          <w:szCs w:val="32"/>
          <w:lang w:eastAsia="zh-CN"/>
          <w14:textFill>
            <w14:solidFill>
              <w14:schemeClr w14:val="tx1"/>
            </w14:solidFill>
          </w14:textFill>
        </w:rPr>
      </w:pPr>
      <w:r>
        <w:rPr>
          <w:rFonts w:hint="eastAsia" w:eastAsia="仿宋_GB2312"/>
          <w:color w:val="000000" w:themeColor="text1"/>
          <w:szCs w:val="32"/>
          <w:lang w:eastAsia="zh-CN"/>
          <w14:textFill>
            <w14:solidFill>
              <w14:schemeClr w14:val="tx1"/>
            </w14:solidFill>
          </w14:textFill>
        </w:rPr>
        <w:t>常见耳鸣康复设备示意图如下：</w:t>
      </w:r>
    </w:p>
    <w:p>
      <w:pPr>
        <w:spacing w:line="520" w:lineRule="exact"/>
        <w:ind w:firstLine="640" w:firstLineChars="200"/>
        <w:rPr>
          <w:rFonts w:hint="eastAsia"/>
          <w:color w:val="000000" w:themeColor="text1"/>
          <w:lang w:eastAsia="zh-CN"/>
          <w14:textFill>
            <w14:solidFill>
              <w14:schemeClr w14:val="tx1"/>
            </w14:solidFill>
          </w14:textFill>
        </w:rPr>
      </w:pPr>
    </w:p>
    <w:p>
      <w:pPr>
        <w:spacing w:line="520" w:lineRule="exact"/>
        <w:ind w:firstLine="640" w:firstLineChars="200"/>
        <w:rPr>
          <w:rFonts w:hint="eastAsia"/>
          <w:color w:val="000000" w:themeColor="text1"/>
          <w:lang w:eastAsia="zh-CN"/>
          <w14:textFill>
            <w14:solidFill>
              <w14:schemeClr w14:val="tx1"/>
            </w14:solidFill>
          </w14:textFill>
        </w:rPr>
      </w:pPr>
    </w:p>
    <w:p>
      <w:pPr>
        <w:spacing w:line="520" w:lineRule="exact"/>
        <w:ind w:firstLine="640" w:firstLineChars="200"/>
        <w:rPr>
          <w:rFonts w:hint="eastAsia"/>
          <w:color w:val="000000" w:themeColor="text1"/>
          <w:lang w:eastAsia="zh-CN"/>
          <w14:textFill>
            <w14:solidFill>
              <w14:schemeClr w14:val="tx1"/>
            </w14:solidFill>
          </w14:textFill>
        </w:rPr>
      </w:pPr>
    </w:p>
    <w:p>
      <w:pPr>
        <w:spacing w:line="520" w:lineRule="exact"/>
        <w:ind w:firstLine="640" w:firstLineChars="200"/>
        <w:rPr>
          <w:rFonts w:hint="eastAsia"/>
          <w:color w:val="000000" w:themeColor="text1"/>
          <w:lang w:eastAsia="zh-CN"/>
          <w14:textFill>
            <w14:solidFill>
              <w14:schemeClr w14:val="tx1"/>
            </w14:solidFill>
          </w14:textFill>
        </w:rPr>
      </w:pPr>
      <w:r>
        <w:drawing>
          <wp:anchor distT="0" distB="0" distL="114300" distR="114300" simplePos="0" relativeHeight="251659264" behindDoc="0" locked="0" layoutInCell="1" allowOverlap="1">
            <wp:simplePos x="0" y="0"/>
            <wp:positionH relativeFrom="column">
              <wp:posOffset>3017520</wp:posOffset>
            </wp:positionH>
            <wp:positionV relativeFrom="paragraph">
              <wp:posOffset>-683895</wp:posOffset>
            </wp:positionV>
            <wp:extent cx="2280285" cy="1219835"/>
            <wp:effectExtent l="0" t="0" r="5715" b="12065"/>
            <wp:wrapSquare wrapText="bothSides"/>
            <wp:docPr id="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true"/>
                    </pic:cNvPicPr>
                  </pic:nvPicPr>
                  <pic:blipFill>
                    <a:blip r:embed="rId6"/>
                    <a:stretch>
                      <a:fillRect/>
                    </a:stretch>
                  </pic:blipFill>
                  <pic:spPr>
                    <a:xfrm>
                      <a:off x="0" y="0"/>
                      <a:ext cx="2280285" cy="1219835"/>
                    </a:xfrm>
                    <a:prstGeom prst="rect">
                      <a:avLst/>
                    </a:prstGeom>
                    <a:noFill/>
                    <a:ln>
                      <a:noFill/>
                    </a:ln>
                  </pic:spPr>
                </pic:pic>
              </a:graphicData>
            </a:graphic>
          </wp:anchor>
        </w:drawing>
      </w:r>
      <w:r>
        <w:rPr>
          <w:rFonts w:hint="eastAsia"/>
          <w:color w:val="000000" w:themeColor="text1"/>
          <w:lang w:eastAsia="zh-CN"/>
          <w14:textFill>
            <w14:solidFill>
              <w14:schemeClr w14:val="tx1"/>
            </w14:solidFill>
          </w14:textFill>
        </w:rPr>
        <w:drawing>
          <wp:anchor distT="0" distB="0" distL="114300" distR="114300" simplePos="0" relativeHeight="251658240" behindDoc="0" locked="0" layoutInCell="1" allowOverlap="1">
            <wp:simplePos x="0" y="0"/>
            <wp:positionH relativeFrom="column">
              <wp:posOffset>568325</wp:posOffset>
            </wp:positionH>
            <wp:positionV relativeFrom="paragraph">
              <wp:posOffset>-741680</wp:posOffset>
            </wp:positionV>
            <wp:extent cx="2649855" cy="3289300"/>
            <wp:effectExtent l="0" t="0" r="4445" b="0"/>
            <wp:wrapSquare wrapText="bothSides"/>
            <wp:docPr id="1" name="图片 1" descr="fajJg4R0M"/>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fajJg4R0M"/>
                    <pic:cNvPicPr>
                      <a:picLocks noChangeAspect="true"/>
                    </pic:cNvPicPr>
                  </pic:nvPicPr>
                  <pic:blipFill>
                    <a:blip r:embed="rId7"/>
                    <a:srcRect l="39705" t="6667"/>
                    <a:stretch>
                      <a:fillRect/>
                    </a:stretch>
                  </pic:blipFill>
                  <pic:spPr>
                    <a:xfrm>
                      <a:off x="0" y="0"/>
                      <a:ext cx="2649855" cy="3289300"/>
                    </a:xfrm>
                    <a:prstGeom prst="rect">
                      <a:avLst/>
                    </a:prstGeom>
                  </pic:spPr>
                </pic:pic>
              </a:graphicData>
            </a:graphic>
          </wp:anchor>
        </w:drawing>
      </w:r>
    </w:p>
    <w:p>
      <w:pPr>
        <w:spacing w:line="520" w:lineRule="exact"/>
        <w:ind w:firstLine="0" w:firstLineChars="0"/>
        <w:rPr>
          <w:rFonts w:hint="eastAsia"/>
          <w:color w:val="000000" w:themeColor="text1"/>
          <w:lang w:eastAsia="zh-CN"/>
          <w14:textFill>
            <w14:solidFill>
              <w14:schemeClr w14:val="tx1"/>
            </w14:solidFill>
          </w14:textFill>
        </w:rPr>
      </w:pPr>
    </w:p>
    <w:p>
      <w:pPr>
        <w:spacing w:line="520" w:lineRule="exact"/>
        <w:ind w:firstLine="640" w:firstLineChars="200"/>
        <w:rPr>
          <w:rFonts w:hint="eastAsia"/>
          <w:color w:val="000000" w:themeColor="text1"/>
          <w:lang w:eastAsia="zh-CN"/>
          <w14:textFill>
            <w14:solidFill>
              <w14:schemeClr w14:val="tx1"/>
            </w14:solidFill>
          </w14:textFill>
        </w:rPr>
      </w:pPr>
      <w:r>
        <w:drawing>
          <wp:anchor distT="0" distB="0" distL="114300" distR="114300" simplePos="0" relativeHeight="251660288" behindDoc="0" locked="0" layoutInCell="1" allowOverlap="1">
            <wp:simplePos x="0" y="0"/>
            <wp:positionH relativeFrom="column">
              <wp:posOffset>3573145</wp:posOffset>
            </wp:positionH>
            <wp:positionV relativeFrom="paragraph">
              <wp:posOffset>13970</wp:posOffset>
            </wp:positionV>
            <wp:extent cx="1539875" cy="1032510"/>
            <wp:effectExtent l="0" t="0" r="9525" b="8890"/>
            <wp:wrapSquare wrapText="bothSides"/>
            <wp:docPr id="3"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true"/>
                    </pic:cNvPicPr>
                  </pic:nvPicPr>
                  <pic:blipFill>
                    <a:blip r:embed="rId8"/>
                    <a:stretch>
                      <a:fillRect/>
                    </a:stretch>
                  </pic:blipFill>
                  <pic:spPr>
                    <a:xfrm>
                      <a:off x="0" y="0"/>
                      <a:ext cx="1539875" cy="1032510"/>
                    </a:xfrm>
                    <a:prstGeom prst="rect">
                      <a:avLst/>
                    </a:prstGeom>
                    <a:noFill/>
                    <a:ln>
                      <a:noFill/>
                    </a:ln>
                  </pic:spPr>
                </pic:pic>
              </a:graphicData>
            </a:graphic>
          </wp:anchor>
        </w:drawing>
      </w:r>
    </w:p>
    <w:p>
      <w:pPr>
        <w:spacing w:line="520" w:lineRule="exact"/>
        <w:ind w:firstLine="640" w:firstLineChars="200"/>
        <w:rPr>
          <w:rFonts w:hint="eastAsia"/>
          <w:color w:val="000000" w:themeColor="text1"/>
          <w:lang w:eastAsia="zh-CN"/>
          <w14:textFill>
            <w14:solidFill>
              <w14:schemeClr w14:val="tx1"/>
            </w14:solidFill>
          </w14:textFill>
        </w:rPr>
      </w:pPr>
    </w:p>
    <w:p>
      <w:pPr>
        <w:spacing w:line="520" w:lineRule="exact"/>
        <w:ind w:firstLine="640" w:firstLineChars="200"/>
        <w:rPr>
          <w:rFonts w:hint="eastAsia"/>
          <w:color w:val="000000" w:themeColor="text1"/>
          <w:lang w:eastAsia="zh-CN"/>
          <w14:textFill>
            <w14:solidFill>
              <w14:schemeClr w14:val="tx1"/>
            </w14:solidFill>
          </w14:textFill>
        </w:rPr>
      </w:pPr>
    </w:p>
    <w:p>
      <w:pPr>
        <w:spacing w:line="520" w:lineRule="exact"/>
        <w:ind w:firstLine="640" w:firstLineChars="200"/>
        <w:rPr>
          <w:rFonts w:hint="eastAsia"/>
          <w:color w:val="000000" w:themeColor="text1"/>
          <w:lang w:eastAsia="zh-CN"/>
          <w14:textFill>
            <w14:solidFill>
              <w14:schemeClr w14:val="tx1"/>
            </w14:solidFill>
          </w14:textFill>
        </w:rPr>
      </w:pPr>
    </w:p>
    <w:p>
      <w:pPr>
        <w:spacing w:line="520" w:lineRule="exact"/>
        <w:ind w:firstLine="640" w:firstLineChars="20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p>
    <w:p>
      <w:pPr>
        <w:spacing w:line="520" w:lineRule="exact"/>
        <w:ind w:firstLine="640" w:firstLineChars="200"/>
        <w:rPr>
          <w:rFonts w:hint="eastAsia"/>
          <w:color w:val="000000" w:themeColor="text1"/>
          <w:lang w:eastAsia="zh-CN"/>
          <w14:textFill>
            <w14:solidFill>
              <w14:schemeClr w14:val="tx1"/>
            </w14:solidFill>
          </w14:textFill>
        </w:rPr>
      </w:pPr>
    </w:p>
    <w:p>
      <w:pPr>
        <w:spacing w:line="520" w:lineRule="exact"/>
        <w:ind w:firstLine="640" w:firstLineChars="200"/>
        <w:rPr>
          <w:rFonts w:hint="default"/>
          <w:color w:val="000000" w:themeColor="text1"/>
          <w:lang w:val="en-US" w:eastAsia="zh-CN"/>
          <w14:textFill>
            <w14:solidFill>
              <w14:schemeClr w14:val="tx1"/>
            </w14:solidFill>
          </w14:textFill>
        </w:rPr>
      </w:pPr>
      <w:r>
        <w:rPr>
          <w:rFonts w:hint="eastAsia" w:eastAsia="仿宋_GB2312"/>
          <w:color w:val="000000"/>
          <w:szCs w:val="32"/>
          <w:lang w:eastAsia="zh-CN"/>
        </w:rPr>
        <w:t>图</w:t>
      </w:r>
      <w:r>
        <w:rPr>
          <w:rFonts w:hint="eastAsia" w:eastAsia="仿宋_GB2312"/>
          <w:color w:val="000000"/>
          <w:szCs w:val="32"/>
          <w:lang w:val="en-US" w:eastAsia="zh-CN"/>
        </w:rPr>
        <w:t>1：耳鸣康复治疗设备常见结构及组成</w:t>
      </w:r>
    </w:p>
    <w:p>
      <w:pPr>
        <w:spacing w:line="520" w:lineRule="exact"/>
        <w:ind w:firstLine="640" w:firstLineChars="200"/>
        <w:rPr>
          <w:rFonts w:hint="eastAsia"/>
          <w:color w:val="000000" w:themeColor="text1"/>
          <w:lang w:eastAsia="zh-CN"/>
          <w14:textFill>
            <w14:solidFill>
              <w14:schemeClr w14:val="tx1"/>
            </w14:solidFill>
          </w14:textFill>
        </w:rPr>
      </w:pPr>
    </w:p>
    <w:p>
      <w:pPr>
        <w:spacing w:line="520" w:lineRule="exact"/>
        <w:ind w:firstLine="640" w:firstLineChars="200"/>
        <w:rPr>
          <w:rFonts w:eastAsia="仿宋_GB2312"/>
          <w:color w:val="000000"/>
          <w:szCs w:val="32"/>
        </w:rPr>
      </w:pPr>
      <w:r>
        <w:rPr>
          <w:rFonts w:hint="eastAsia" w:eastAsia="仿宋_GB2312"/>
          <w:color w:val="000000"/>
          <w:szCs w:val="32"/>
        </w:rPr>
        <w:t>1.2型号规格</w:t>
      </w:r>
    </w:p>
    <w:p>
      <w:pPr>
        <w:spacing w:line="520" w:lineRule="exact"/>
        <w:ind w:firstLine="640" w:firstLineChars="200"/>
        <w:rPr>
          <w:rFonts w:eastAsia="仿宋_GB2312"/>
          <w:color w:val="000000"/>
          <w:szCs w:val="32"/>
        </w:rPr>
      </w:pPr>
      <w:r>
        <w:rPr>
          <w:rFonts w:hint="eastAsia" w:eastAsia="仿宋_GB2312"/>
          <w:color w:val="000000"/>
          <w:szCs w:val="32"/>
        </w:rPr>
        <w:t>对于存在多种型号规格的产品，应当明确各型号规格的区别。应当采用对比表或带有说明性文字的图片、图表，描述各种型号规格的结构组成（或配置）、功能、产品特征和运行模式、技术参数等内容。</w:t>
      </w:r>
    </w:p>
    <w:p>
      <w:pPr>
        <w:spacing w:line="520" w:lineRule="exact"/>
        <w:ind w:firstLine="640" w:firstLineChars="200"/>
        <w:rPr>
          <w:rFonts w:eastAsia="仿宋_GB2312"/>
          <w:color w:val="000000"/>
          <w:szCs w:val="32"/>
        </w:rPr>
      </w:pPr>
      <w:r>
        <w:rPr>
          <w:rFonts w:hint="eastAsia" w:eastAsia="仿宋_GB2312"/>
          <w:color w:val="000000"/>
          <w:szCs w:val="32"/>
        </w:rPr>
        <w:t>1.3包装说明</w:t>
      </w:r>
    </w:p>
    <w:p>
      <w:pPr>
        <w:spacing w:line="520" w:lineRule="exact"/>
        <w:ind w:firstLine="640" w:firstLineChars="200"/>
        <w:rPr>
          <w:rFonts w:eastAsia="仿宋_GB2312"/>
          <w:color w:val="000000"/>
          <w:szCs w:val="32"/>
        </w:rPr>
      </w:pPr>
      <w:r>
        <w:rPr>
          <w:rFonts w:hint="eastAsia" w:eastAsia="仿宋_GB2312"/>
          <w:color w:val="000000"/>
          <w:szCs w:val="32"/>
        </w:rPr>
        <w:t>应当描述产品包装的类型、材质等，以及与该产品一起销售的配件包装情况，包括运输包装的信息。</w:t>
      </w:r>
    </w:p>
    <w:p>
      <w:pPr>
        <w:spacing w:line="520" w:lineRule="exact"/>
        <w:ind w:firstLine="640" w:firstLineChars="200"/>
        <w:rPr>
          <w:rFonts w:eastAsia="仿宋_GB2312"/>
          <w:color w:val="000000"/>
          <w:szCs w:val="32"/>
        </w:rPr>
      </w:pPr>
      <w:r>
        <w:rPr>
          <w:rFonts w:hint="eastAsia" w:eastAsia="仿宋_GB2312"/>
          <w:color w:val="000000"/>
          <w:szCs w:val="32"/>
        </w:rPr>
        <w:t>1.4研发历程</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szCs w:val="32"/>
        </w:rPr>
        <w:t>若存在可以参考的同类产品或前代产品，应阐述申请注册的产品开发的背景和目的。对于同类产品，应说明选择其作为研究开发所参考的原因。应列表比较说明申报产品与同类产品或前代产品在工作原理、结构组成、性能指标、适用范围等方面的异同，并重</w:t>
      </w:r>
      <w:r>
        <w:rPr>
          <w:rFonts w:hint="eastAsia" w:eastAsia="仿宋_GB2312"/>
          <w:color w:val="000000" w:themeColor="text1"/>
          <w:szCs w:val="32"/>
          <w14:textFill>
            <w14:solidFill>
              <w14:schemeClr w14:val="tx1"/>
            </w14:solidFill>
          </w14:textFill>
        </w:rPr>
        <w:t>点说明申报产品的新功能、新应用、新特征。</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2.适用范围和禁忌证</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2.1适用范围</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用于对</w:t>
      </w:r>
      <w:r>
        <w:rPr>
          <w:rFonts w:hint="eastAsia" w:eastAsia="仿宋_GB2312"/>
          <w:color w:val="000000" w:themeColor="text1"/>
          <w:szCs w:val="32"/>
          <w:lang w:eastAsia="zh-CN"/>
          <w14:textFill>
            <w14:solidFill>
              <w14:schemeClr w14:val="tx1"/>
            </w14:solidFill>
          </w14:textFill>
        </w:rPr>
        <w:t>主观性及功能性</w:t>
      </w:r>
      <w:r>
        <w:rPr>
          <w:rFonts w:hint="eastAsia" w:eastAsia="仿宋_GB2312"/>
          <w:color w:val="000000" w:themeColor="text1"/>
          <w:szCs w:val="32"/>
          <w14:textFill>
            <w14:solidFill>
              <w14:schemeClr w14:val="tx1"/>
            </w14:solidFill>
          </w14:textFill>
        </w:rPr>
        <w:t>耳鸣患者进行耳鸣检测和辅助治疗。</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2.2预期使用环境</w:t>
      </w:r>
    </w:p>
    <w:p>
      <w:pPr>
        <w:spacing w:line="520" w:lineRule="exact"/>
        <w:ind w:firstLine="640" w:firstLineChars="200"/>
        <w:rPr>
          <w:rFonts w:eastAsia="仿宋_GB2312"/>
          <w:color w:val="000000"/>
          <w:szCs w:val="32"/>
        </w:rPr>
      </w:pPr>
      <w:r>
        <w:rPr>
          <w:rFonts w:hint="eastAsia" w:eastAsia="仿宋_GB2312"/>
          <w:color w:val="000000"/>
          <w:szCs w:val="32"/>
        </w:rPr>
        <w:t>该产品预期使用的地点如医疗机构</w:t>
      </w:r>
      <w:r>
        <w:rPr>
          <w:rFonts w:hint="eastAsia" w:eastAsia="仿宋_GB2312"/>
          <w:color w:val="000000"/>
          <w:szCs w:val="32"/>
          <w:lang w:eastAsia="zh-CN"/>
        </w:rPr>
        <w:t>、家庭环境</w:t>
      </w:r>
      <w:r>
        <w:rPr>
          <w:rFonts w:hint="eastAsia" w:eastAsia="仿宋_GB2312"/>
          <w:color w:val="000000"/>
          <w:szCs w:val="32"/>
        </w:rPr>
        <w:t>，以及可能会影响其安全性和有效性的环境条件（如，温度、湿度、功率、压力、移动、电源条件等）。</w:t>
      </w:r>
    </w:p>
    <w:p>
      <w:pPr>
        <w:spacing w:line="520" w:lineRule="exact"/>
        <w:ind w:firstLine="640" w:firstLineChars="200"/>
        <w:rPr>
          <w:rFonts w:eastAsia="仿宋_GB2312"/>
          <w:color w:val="000000"/>
          <w:szCs w:val="32"/>
        </w:rPr>
      </w:pPr>
      <w:r>
        <w:rPr>
          <w:rFonts w:hint="eastAsia" w:eastAsia="仿宋_GB2312"/>
          <w:color w:val="000000"/>
          <w:szCs w:val="32"/>
        </w:rPr>
        <w:t>2.3适用人群</w:t>
      </w:r>
    </w:p>
    <w:p>
      <w:pPr>
        <w:spacing w:line="520" w:lineRule="exact"/>
        <w:ind w:firstLine="640" w:firstLineChars="200"/>
        <w:rPr>
          <w:rFonts w:eastAsia="仿宋_GB2312"/>
          <w:color w:val="000000"/>
          <w:szCs w:val="32"/>
        </w:rPr>
      </w:pPr>
      <w:r>
        <w:rPr>
          <w:rFonts w:hint="eastAsia" w:eastAsia="仿宋_GB2312"/>
          <w:color w:val="000000"/>
          <w:szCs w:val="32"/>
        </w:rPr>
        <w:t>目标患者人群的信息（如成人、儿童），患者选择标准的信息，以及使用过程中需要监测的参数、考虑的因素。</w:t>
      </w:r>
    </w:p>
    <w:p>
      <w:pPr>
        <w:spacing w:line="520" w:lineRule="exact"/>
        <w:ind w:firstLine="640" w:firstLineChars="200"/>
        <w:rPr>
          <w:rFonts w:eastAsia="仿宋_GB2312"/>
          <w:color w:val="000000"/>
          <w:szCs w:val="32"/>
        </w:rPr>
      </w:pPr>
      <w:r>
        <w:rPr>
          <w:rFonts w:hint="eastAsia" w:eastAsia="仿宋_GB2312"/>
          <w:color w:val="000000"/>
          <w:szCs w:val="32"/>
        </w:rPr>
        <w:t>2.4禁忌证</w:t>
      </w:r>
    </w:p>
    <w:p>
      <w:pPr>
        <w:spacing w:line="520" w:lineRule="exact"/>
        <w:ind w:firstLine="640" w:firstLineChars="200"/>
        <w:rPr>
          <w:rFonts w:eastAsia="仿宋_GB2312"/>
          <w:color w:val="000000"/>
          <w:szCs w:val="32"/>
        </w:rPr>
      </w:pPr>
      <w:r>
        <w:rPr>
          <w:rFonts w:hint="eastAsia" w:eastAsia="仿宋_GB2312"/>
          <w:color w:val="000000"/>
          <w:szCs w:val="32"/>
        </w:rPr>
        <w:t>患</w:t>
      </w:r>
      <w:r>
        <w:rPr>
          <w:rFonts w:eastAsia="仿宋_GB2312"/>
          <w:color w:val="000000"/>
          <w:szCs w:val="32"/>
        </w:rPr>
        <w:t>有较严重的中耳炎、化脓性耳道炎的患者；听觉过敏患者；重度或极重度感音神经性听力损失者以及急性期耳鸣患者；耳部急性炎症患者；严重高血压、糖尿病、心脑血管疾病患者；诊断明确症状未控制的精神疾病；严重心理障碍患者。</w:t>
      </w:r>
    </w:p>
    <w:p>
      <w:pPr>
        <w:spacing w:line="520" w:lineRule="exact"/>
        <w:ind w:firstLine="640" w:firstLineChars="200"/>
        <w:rPr>
          <w:rFonts w:eastAsia="楷体_GB2312" w:cs="Arial"/>
          <w:color w:val="000000" w:themeColor="text1"/>
          <w:kern w:val="0"/>
          <w:szCs w:val="32"/>
          <w14:textFill>
            <w14:solidFill>
              <w14:schemeClr w14:val="tx1"/>
            </w14:solidFill>
          </w14:textFill>
        </w:rPr>
      </w:pPr>
      <w:r>
        <w:rPr>
          <w:rFonts w:hint="eastAsia" w:ascii="楷体_GB2312" w:hAnsi="楷体_GB2312" w:eastAsia="楷体_GB2312" w:cs="楷体_GB2312"/>
          <w:color w:val="000000"/>
          <w:kern w:val="0"/>
          <w:szCs w:val="32"/>
        </w:rPr>
        <w:t>（三）</w:t>
      </w:r>
      <w:r>
        <w:rPr>
          <w:rFonts w:hint="eastAsia" w:eastAsia="楷体_GB2312" w:cs="Arial"/>
          <w:color w:val="000000" w:themeColor="text1"/>
          <w:kern w:val="0"/>
          <w:szCs w:val="32"/>
          <w14:textFill>
            <w14:solidFill>
              <w14:schemeClr w14:val="tx1"/>
            </w14:solidFill>
          </w14:textFill>
        </w:rPr>
        <w:t>非临床资料</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1.产品</w:t>
      </w:r>
      <w:r>
        <w:rPr>
          <w:rFonts w:hint="eastAsia" w:eastAsia="楷体_GB2312" w:cs="Arial"/>
          <w:color w:val="000000" w:themeColor="text1"/>
          <w:kern w:val="0"/>
          <w:szCs w:val="32"/>
          <w14:textFill>
            <w14:solidFill>
              <w14:schemeClr w14:val="tx1"/>
            </w14:solidFill>
          </w14:textFill>
        </w:rPr>
        <w:t>风险</w:t>
      </w:r>
      <w:r>
        <w:rPr>
          <w:rFonts w:hint="eastAsia" w:eastAsia="仿宋_GB2312"/>
          <w:color w:val="000000" w:themeColor="text1"/>
          <w:szCs w:val="32"/>
          <w14:textFill>
            <w14:solidFill>
              <w14:schemeClr w14:val="tx1"/>
            </w14:solidFill>
          </w14:textFill>
        </w:rPr>
        <w:t>管理资料</w:t>
      </w:r>
    </w:p>
    <w:p>
      <w:pPr>
        <w:spacing w:line="520" w:lineRule="exact"/>
        <w:ind w:firstLine="640" w:firstLineChars="200"/>
        <w:rPr>
          <w:rFonts w:eastAsia="仿宋_GB2312"/>
          <w:color w:val="000000"/>
          <w:szCs w:val="32"/>
        </w:rPr>
      </w:pPr>
      <w:r>
        <w:rPr>
          <w:rFonts w:hint="eastAsia" w:eastAsia="仿宋_GB2312"/>
          <w:color w:val="000000"/>
          <w:szCs w:val="32"/>
        </w:rPr>
        <w:t>申请人应参照GB/T 42062的规定，并结合产品特点对产品风险进行全生命周期的管理。附件1给出了耳鸣康复设备常见的风险要素及示例。风险管理活动要贯穿产品设计、生产、上市后使用及产品处理的整个生命周期。风险管理报告可包含风险分析、风险评价、风险控制、风险监测，应符合《医疗器械风险管理对医疗器械的应用》（GB/T 42062）的有关要求，审查要点包括：</w:t>
      </w:r>
    </w:p>
    <w:p>
      <w:pPr>
        <w:spacing w:line="520" w:lineRule="exact"/>
        <w:ind w:firstLine="640" w:firstLineChars="200"/>
        <w:rPr>
          <w:rFonts w:eastAsia="仿宋_GB2312"/>
          <w:color w:val="000000"/>
          <w:szCs w:val="32"/>
        </w:rPr>
      </w:pPr>
      <w:r>
        <w:rPr>
          <w:rFonts w:hint="eastAsia" w:eastAsia="仿宋_GB2312"/>
          <w:color w:val="000000"/>
          <w:szCs w:val="32"/>
        </w:rPr>
        <w:t>1.1是否正确识别与产品安全有关的特征。</w:t>
      </w:r>
    </w:p>
    <w:p>
      <w:pPr>
        <w:spacing w:line="520" w:lineRule="exact"/>
        <w:ind w:firstLine="640" w:firstLineChars="200"/>
        <w:rPr>
          <w:rFonts w:eastAsia="仿宋_GB2312"/>
          <w:color w:val="000000"/>
          <w:szCs w:val="32"/>
        </w:rPr>
      </w:pPr>
      <w:r>
        <w:rPr>
          <w:rFonts w:hint="eastAsia" w:eastAsia="仿宋_GB2312"/>
          <w:color w:val="000000"/>
          <w:szCs w:val="32"/>
        </w:rPr>
        <w:t>1.2是否系统识别正常和故障两种条件下的可预见危险（源）。</w:t>
      </w:r>
    </w:p>
    <w:p>
      <w:pPr>
        <w:spacing w:line="520" w:lineRule="exact"/>
        <w:ind w:firstLine="640" w:firstLineChars="200"/>
        <w:rPr>
          <w:rFonts w:eastAsia="仿宋_GB2312"/>
          <w:color w:val="000000"/>
          <w:szCs w:val="32"/>
        </w:rPr>
      </w:pPr>
      <w:r>
        <w:rPr>
          <w:rFonts w:hint="eastAsia" w:eastAsia="仿宋_GB2312"/>
          <w:color w:val="000000"/>
          <w:szCs w:val="32"/>
        </w:rPr>
        <w:t>1.3是否利用风险管理计划中规定的可接受准则，对风险进行评价并进行风险控制，也包括综合剩余风险的可接受性评价及生产和生产后监视相关方法。</w:t>
      </w:r>
    </w:p>
    <w:p>
      <w:pPr>
        <w:spacing w:line="520" w:lineRule="exact"/>
        <w:ind w:firstLine="640" w:firstLineChars="200"/>
        <w:rPr>
          <w:rFonts w:eastAsia="仿宋_GB2312"/>
          <w:color w:val="000000"/>
          <w:szCs w:val="32"/>
        </w:rPr>
      </w:pPr>
      <w:r>
        <w:rPr>
          <w:rFonts w:hint="eastAsia" w:eastAsia="仿宋_GB2312"/>
          <w:color w:val="000000"/>
          <w:szCs w:val="32"/>
        </w:rPr>
        <w:t>2.医疗器械安全和性能基本原则清单</w:t>
      </w:r>
    </w:p>
    <w:p>
      <w:pPr>
        <w:spacing w:line="520" w:lineRule="exact"/>
        <w:ind w:firstLine="640" w:firstLineChars="200"/>
        <w:rPr>
          <w:rFonts w:eastAsia="仿宋_GB2312"/>
          <w:color w:val="000000"/>
          <w:szCs w:val="32"/>
        </w:rPr>
      </w:pPr>
      <w:r>
        <w:rPr>
          <w:rFonts w:hint="eastAsia" w:eastAsia="仿宋_GB2312"/>
          <w:color w:val="000000"/>
          <w:szCs w:val="32"/>
        </w:rPr>
        <w:t>说明产品符合《医疗器械安全和性能基本原则清单》各项适用要求所采用的方法，以及证明其符合性的文件。对于《医疗器械安全和性能基本原则清单》中不适用的各项要求，应当说明理由。</w:t>
      </w:r>
    </w:p>
    <w:p>
      <w:pPr>
        <w:spacing w:line="520" w:lineRule="exact"/>
        <w:ind w:firstLine="640" w:firstLineChars="200"/>
        <w:rPr>
          <w:rFonts w:eastAsia="仿宋_GB2312"/>
          <w:color w:val="000000"/>
          <w:szCs w:val="32"/>
        </w:rPr>
      </w:pPr>
      <w:r>
        <w:rPr>
          <w:rFonts w:hint="eastAsia" w:eastAsia="仿宋_GB2312"/>
          <w:color w:val="000000"/>
          <w:szCs w:val="32"/>
        </w:rPr>
        <w:t>对于包含在产品注册申报资料中的文件，应当说明其在申报资料中的具体位置；对于未包含在产品注册申报资料中的文件，应当注明该证据文件名称及其在质量管理体系文件中的编号备查。</w:t>
      </w:r>
    </w:p>
    <w:p>
      <w:pPr>
        <w:spacing w:line="520" w:lineRule="exact"/>
        <w:ind w:firstLine="640" w:firstLineChars="200"/>
        <w:rPr>
          <w:rFonts w:eastAsia="仿宋_GB2312"/>
          <w:color w:val="000000"/>
          <w:szCs w:val="32"/>
        </w:rPr>
      </w:pPr>
      <w:r>
        <w:rPr>
          <w:rFonts w:hint="eastAsia" w:eastAsia="仿宋_GB2312"/>
          <w:color w:val="000000"/>
          <w:szCs w:val="32"/>
        </w:rPr>
        <w:t>3.产品技术要求及检验报告</w:t>
      </w:r>
    </w:p>
    <w:p>
      <w:pPr>
        <w:spacing w:line="520" w:lineRule="exact"/>
        <w:ind w:firstLine="640" w:firstLineChars="200"/>
        <w:rPr>
          <w:rFonts w:eastAsia="仿宋_GB2312"/>
          <w:color w:val="000000"/>
          <w:szCs w:val="32"/>
        </w:rPr>
      </w:pPr>
      <w:r>
        <w:rPr>
          <w:rFonts w:hint="eastAsia" w:eastAsia="仿宋_GB2312"/>
          <w:color w:val="000000"/>
          <w:szCs w:val="32"/>
        </w:rPr>
        <w:t>3.1技术要求</w:t>
      </w:r>
    </w:p>
    <w:p>
      <w:pPr>
        <w:spacing w:line="520" w:lineRule="exact"/>
        <w:ind w:firstLine="640" w:firstLineChars="200"/>
        <w:rPr>
          <w:rFonts w:eastAsia="仿宋_GB2312"/>
          <w:color w:val="000000"/>
          <w:szCs w:val="32"/>
        </w:rPr>
      </w:pPr>
      <w:r>
        <w:rPr>
          <w:rFonts w:hint="eastAsia" w:eastAsia="仿宋_GB2312"/>
          <w:color w:val="000000"/>
          <w:szCs w:val="32"/>
        </w:rPr>
        <w:t>技术要求应当按照《医疗器械产品技术要求编写指导原则》的规定编制。可以根据产品的技术特点制定相应的技术要求，但性能指标不得低于相关国家标准、行业标准的有关要求，如有不适用条款，应说明理由。</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szCs w:val="32"/>
        </w:rPr>
        <w:t>产品技术要求明确产品规格型号及划分说明。存在多种型号的，应明确不同型号之间的异同。若含有软件组件，应要注明软件发布版</w:t>
      </w:r>
      <w:r>
        <w:rPr>
          <w:rFonts w:hint="eastAsia" w:eastAsia="仿宋_GB2312"/>
          <w:color w:val="000000" w:themeColor="text1"/>
          <w:szCs w:val="32"/>
          <w14:textFill>
            <w14:solidFill>
              <w14:schemeClr w14:val="tx1"/>
            </w14:solidFill>
          </w14:textFill>
        </w:rPr>
        <w:t>本、软件版本命名规则，其中软件版本命名规则需与质量管理体系保持一致。</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3.1.1性能指标</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lang w:eastAsia="zh-CN"/>
          <w14:textFill>
            <w14:solidFill>
              <w14:schemeClr w14:val="tx1"/>
            </w14:solidFill>
          </w14:textFill>
        </w:rPr>
        <w:t>产品</w:t>
      </w:r>
      <w:r>
        <w:rPr>
          <w:rFonts w:hint="eastAsia" w:eastAsia="仿宋_GB2312"/>
          <w:color w:val="000000" w:themeColor="text1"/>
          <w:szCs w:val="32"/>
          <w14:textFill>
            <w14:solidFill>
              <w14:schemeClr w14:val="tx1"/>
            </w14:solidFill>
          </w14:textFill>
        </w:rPr>
        <w:t>性能一般应包括以下技术指标的要求：</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频率范围：应明确耳鸣测试给声的频率范围，范围应在人类听阈范围内。</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频率准确度：应明确各频点的频率准确度，不</w:t>
      </w:r>
      <w:r>
        <w:rPr>
          <w:rFonts w:hint="eastAsia" w:eastAsia="仿宋_GB2312"/>
          <w:color w:val="000000" w:themeColor="text1"/>
          <w:szCs w:val="32"/>
          <w:lang w:eastAsia="zh-CN"/>
          <w14:textFill>
            <w14:solidFill>
              <w14:schemeClr w14:val="tx1"/>
            </w14:solidFill>
          </w14:textFill>
        </w:rPr>
        <w:t>超过</w:t>
      </w:r>
      <w:r>
        <w:rPr>
          <w:rFonts w:hint="eastAsia" w:eastAsia="仿宋_GB2312"/>
          <w:color w:val="000000" w:themeColor="text1"/>
          <w:szCs w:val="32"/>
          <w14:textFill>
            <w14:solidFill>
              <w14:schemeClr w14:val="tx1"/>
            </w14:solidFill>
          </w14:textFill>
        </w:rPr>
        <w:t>±2%</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声压级范围：应明确各频率范围的最大声压级，最大声压级应能保证安全。</w:t>
      </w:r>
    </w:p>
    <w:p>
      <w:pPr>
        <w:spacing w:line="520" w:lineRule="exact"/>
        <w:ind w:firstLine="640" w:firstLineChars="200"/>
        <w:rPr>
          <w:rFonts w:eastAsia="仿宋_GB2312"/>
          <w:szCs w:val="32"/>
        </w:rPr>
      </w:pPr>
      <w:r>
        <w:rPr>
          <w:rFonts w:hint="eastAsia" w:eastAsia="仿宋_GB2312"/>
          <w:szCs w:val="32"/>
        </w:rPr>
        <w:t>声压级准确度：应明确各频率范围内的声压级准确度</w:t>
      </w:r>
    </w:p>
    <w:p>
      <w:pPr>
        <w:spacing w:line="520" w:lineRule="exact"/>
        <w:ind w:firstLine="640" w:firstLineChars="200"/>
        <w:rPr>
          <w:rFonts w:eastAsia="仿宋_GB2312"/>
          <w:szCs w:val="32"/>
        </w:rPr>
      </w:pPr>
      <w:r>
        <w:rPr>
          <w:rFonts w:hint="eastAsia" w:eastAsia="仿宋_GB2312"/>
          <w:szCs w:val="32"/>
        </w:rPr>
        <w:t>声压级控制准确度：应明确调节步进和准确度。</w:t>
      </w:r>
    </w:p>
    <w:p>
      <w:pPr>
        <w:spacing w:line="520" w:lineRule="exact"/>
        <w:ind w:firstLine="640" w:firstLineChars="200"/>
        <w:rPr>
          <w:rFonts w:eastAsia="仿宋_GB2312"/>
          <w:szCs w:val="32"/>
        </w:rPr>
      </w:pPr>
      <w:r>
        <w:rPr>
          <w:rFonts w:hint="eastAsia" w:eastAsia="仿宋_GB2312"/>
          <w:szCs w:val="32"/>
        </w:rPr>
        <w:t>总谐波失真等：应明确各频段的谐波失真，可参考GB/T7341.1相关要求。</w:t>
      </w:r>
    </w:p>
    <w:p>
      <w:pPr>
        <w:spacing w:line="520" w:lineRule="exact"/>
        <w:ind w:firstLine="640" w:firstLineChars="200"/>
        <w:rPr>
          <w:rFonts w:eastAsia="仿宋_GB2312"/>
          <w:szCs w:val="32"/>
        </w:rPr>
      </w:pPr>
      <w:r>
        <w:rPr>
          <w:rFonts w:hint="eastAsia" w:eastAsia="仿宋_GB2312"/>
          <w:szCs w:val="32"/>
        </w:rPr>
        <w:t>若产品含窄带噪声功能，则噪声带应以测试频率为几何中心。可参考GB/T7341.1相关要求。</w:t>
      </w:r>
    </w:p>
    <w:p>
      <w:pPr>
        <w:spacing w:line="520" w:lineRule="exact"/>
        <w:ind w:firstLine="640" w:firstLineChars="200"/>
        <w:rPr>
          <w:rFonts w:eastAsia="仿宋_GB2312"/>
          <w:szCs w:val="32"/>
        </w:rPr>
      </w:pPr>
      <w:r>
        <w:rPr>
          <w:rFonts w:hint="eastAsia" w:eastAsia="仿宋_GB2312"/>
          <w:szCs w:val="32"/>
        </w:rPr>
        <w:t>不需要的声：应制定相关要求，保证非测试耳机不影响测试耳机。</w:t>
      </w:r>
    </w:p>
    <w:p>
      <w:pPr>
        <w:spacing w:line="520" w:lineRule="exact"/>
        <w:ind w:firstLine="640" w:firstLineChars="200"/>
        <w:rPr>
          <w:rFonts w:hint="eastAsia" w:eastAsia="仿宋_GB2312"/>
          <w:szCs w:val="32"/>
          <w:lang w:eastAsia="zh-CN"/>
        </w:rPr>
      </w:pPr>
      <w:r>
        <w:rPr>
          <w:rFonts w:hint="eastAsia" w:eastAsia="仿宋_GB2312"/>
          <w:szCs w:val="32"/>
        </w:rPr>
        <w:t>电池工作时长（如适用）：应描述电池在最大负载下的续航时间</w:t>
      </w:r>
      <w:r>
        <w:rPr>
          <w:rFonts w:hint="eastAsia" w:eastAsia="仿宋_GB2312"/>
          <w:szCs w:val="32"/>
          <w:lang w:eastAsia="zh-CN"/>
        </w:rPr>
        <w:t>。</w:t>
      </w:r>
    </w:p>
    <w:p>
      <w:pPr>
        <w:pStyle w:val="2"/>
        <w:spacing w:line="52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软件要求：</w:t>
      </w:r>
    </w:p>
    <w:p>
      <w:pPr>
        <w:pStyle w:val="2"/>
        <w:spacing w:line="520" w:lineRule="exact"/>
        <w:ind w:firstLine="640" w:firstLineChars="200"/>
        <w:rPr>
          <w:rFonts w:hint="default"/>
          <w:lang w:val="en-US" w:eastAsia="zh-CN"/>
        </w:rPr>
      </w:pPr>
      <w:r>
        <w:rPr>
          <w:rFonts w:hint="eastAsia" w:eastAsia="仿宋_GB2312"/>
          <w:sz w:val="32"/>
          <w:szCs w:val="32"/>
        </w:rPr>
        <w:t>含软件的</w:t>
      </w:r>
      <w:r>
        <w:rPr>
          <w:rFonts w:hint="eastAsia" w:eastAsia="仿宋_GB2312"/>
          <w:sz w:val="32"/>
          <w:szCs w:val="32"/>
          <w:lang w:eastAsia="zh-CN"/>
        </w:rPr>
        <w:t>耳鸣康复设备</w:t>
      </w:r>
      <w:r>
        <w:rPr>
          <w:rFonts w:hint="eastAsia" w:eastAsia="仿宋_GB2312"/>
          <w:sz w:val="32"/>
          <w:szCs w:val="32"/>
        </w:rPr>
        <w:t>，应明确软件的功能、使用限制、接口、访问控制、运行环境（若适用）、性能效率（若适用）等要求。</w:t>
      </w:r>
    </w:p>
    <w:p>
      <w:pPr>
        <w:spacing w:line="520" w:lineRule="exact"/>
        <w:ind w:firstLine="640" w:firstLineChars="200"/>
        <w:rPr>
          <w:rFonts w:eastAsia="仿宋_GB2312"/>
          <w:szCs w:val="32"/>
        </w:rPr>
      </w:pPr>
      <w:r>
        <w:rPr>
          <w:rFonts w:hint="eastAsia" w:eastAsia="仿宋_GB2312"/>
          <w:szCs w:val="32"/>
        </w:rPr>
        <w:t>3.1.2电气安全要求</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szCs w:val="32"/>
        </w:rPr>
        <w:t>电气安全应当符合GB 9706.1《医用电气设备 第1部分：基本安全和基本性能</w:t>
      </w:r>
      <w:r>
        <w:rPr>
          <w:rFonts w:hint="eastAsia" w:eastAsia="仿宋_GB2312"/>
          <w:color w:val="000000" w:themeColor="text1"/>
          <w:szCs w:val="32"/>
          <w14:textFill>
            <w14:solidFill>
              <w14:schemeClr w14:val="tx1"/>
            </w14:solidFill>
          </w14:textFill>
        </w:rPr>
        <w:t>的通用要求》的要求，预期在家庭护理环境中使用的应符合YY 9706.111《医用电气设备 第1-11部分：基本安全和基本性能的通用要求 并列标准：在家庭护理环境中使用的医用电气设备和医用电气系统的要求》。</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3.1.3电磁兼容要求</w:t>
      </w:r>
    </w:p>
    <w:p>
      <w:pPr>
        <w:spacing w:line="520" w:lineRule="exact"/>
        <w:ind w:firstLine="640" w:firstLineChars="200"/>
        <w:rPr>
          <w:rFonts w:hint="default" w:eastAsia="仿宋_GB2312"/>
          <w:color w:val="000000" w:themeColor="text1"/>
          <w:szCs w:val="32"/>
          <w:lang w:val="en-US"/>
          <w14:textFill>
            <w14:solidFill>
              <w14:schemeClr w14:val="tx1"/>
            </w14:solidFill>
          </w14:textFill>
        </w:rPr>
      </w:pPr>
      <w:r>
        <w:rPr>
          <w:rFonts w:hint="eastAsia" w:eastAsia="仿宋_GB2312"/>
          <w:color w:val="000000" w:themeColor="text1"/>
          <w:szCs w:val="32"/>
          <w14:textFill>
            <w14:solidFill>
              <w14:schemeClr w14:val="tx1"/>
            </w14:solidFill>
          </w14:textFill>
        </w:rPr>
        <w:t>电磁兼容应符合YY 9706.102《医用电气设备 第1-2部分：基本安全和基本性能的通用要求并列标准：电磁兼容 要求和试验》的要求。</w:t>
      </w:r>
      <w:r>
        <w:rPr>
          <w:rFonts w:hint="eastAsia"/>
          <w:color w:val="000000" w:themeColor="text1"/>
          <w:lang w:eastAsia="zh-CN"/>
          <w14:textFill>
            <w14:solidFill>
              <w14:schemeClr w14:val="tx1"/>
            </w14:solidFill>
          </w14:textFill>
        </w:rPr>
        <w:t>如适用，应符合</w:t>
      </w:r>
      <w:r>
        <w:rPr>
          <w:rFonts w:hint="eastAsia"/>
          <w:color w:val="000000" w:themeColor="text1"/>
          <w:lang w:val="en-US" w:eastAsia="zh-CN"/>
          <w14:textFill>
            <w14:solidFill>
              <w14:schemeClr w14:val="tx1"/>
            </w14:solidFill>
          </w14:textFill>
        </w:rPr>
        <w:t>YY 9706.111。</w:t>
      </w:r>
    </w:p>
    <w:p>
      <w:pPr>
        <w:spacing w:line="520" w:lineRule="exact"/>
        <w:ind w:firstLine="640" w:firstLineChars="200"/>
        <w:rPr>
          <w:rFonts w:eastAsia="仿宋_GB2312"/>
          <w:color w:val="000000"/>
          <w:szCs w:val="32"/>
        </w:rPr>
      </w:pPr>
      <w:r>
        <w:rPr>
          <w:rFonts w:hint="eastAsia" w:eastAsia="仿宋_GB2312"/>
          <w:color w:val="000000"/>
          <w:szCs w:val="32"/>
        </w:rPr>
        <w:t>3.2产品检验报告</w:t>
      </w:r>
    </w:p>
    <w:p>
      <w:pPr>
        <w:spacing w:line="520" w:lineRule="exact"/>
        <w:ind w:firstLine="640" w:firstLineChars="200"/>
        <w:rPr>
          <w:rFonts w:eastAsia="仿宋_GB2312"/>
          <w:color w:val="000000"/>
          <w:szCs w:val="32"/>
        </w:rPr>
      </w:pPr>
      <w:r>
        <w:rPr>
          <w:rFonts w:hint="eastAsia" w:eastAsia="仿宋_GB2312"/>
          <w:color w:val="000000"/>
          <w:szCs w:val="32"/>
        </w:rPr>
        <w:t>注册申请人应按照产品技术要求进行检验，并提交检验报告。</w:t>
      </w:r>
    </w:p>
    <w:p>
      <w:pPr>
        <w:autoSpaceDE w:val="0"/>
        <w:autoSpaceDN w:val="0"/>
        <w:spacing w:line="520" w:lineRule="exact"/>
        <w:ind w:firstLine="640" w:firstLineChars="200"/>
        <w:rPr>
          <w:rFonts w:eastAsia="仿宋_GB2312"/>
          <w:kern w:val="0"/>
          <w:szCs w:val="32"/>
        </w:rPr>
      </w:pPr>
      <w:r>
        <w:rPr>
          <w:rFonts w:hint="eastAsia" w:eastAsia="仿宋_GB2312"/>
          <w:color w:val="000000"/>
          <w:szCs w:val="32"/>
        </w:rPr>
        <w:t>应说明检验用型号规格的典型性。</w:t>
      </w:r>
      <w:r>
        <w:rPr>
          <w:rFonts w:eastAsia="仿宋_GB2312"/>
          <w:kern w:val="0"/>
          <w:szCs w:val="32"/>
        </w:rPr>
        <w:t>检验用产品应当能够代表申请注册或者进行备案产品的安全性和有效性，应充分考虑产品功能、结构组成、控制方式及其他风险等方面；代表产品应是功能最齐全、结构最复杂、风险最高的产品。</w:t>
      </w:r>
    </w:p>
    <w:p>
      <w:pPr>
        <w:spacing w:line="520" w:lineRule="exact"/>
        <w:ind w:firstLine="640" w:firstLineChars="200"/>
        <w:rPr>
          <w:rFonts w:eastAsia="仿宋_GB2312"/>
          <w:szCs w:val="28"/>
        </w:rPr>
      </w:pPr>
      <w:r>
        <w:rPr>
          <w:rFonts w:eastAsia="仿宋_GB2312"/>
          <w:kern w:val="0"/>
          <w:szCs w:val="32"/>
        </w:rPr>
        <w:t>注册单元内各型号的主要安全指标、性能指标不能被代表型号全部涵盖时，则应选择涵盖安全指标、性能指标最多的产品作为代表产品，同时还应考虑其他型号中未被代表型号所涵盖的安全指标及性能指标。</w:t>
      </w:r>
    </w:p>
    <w:p>
      <w:pPr>
        <w:spacing w:line="520" w:lineRule="exact"/>
        <w:ind w:firstLine="640" w:firstLineChars="200"/>
        <w:rPr>
          <w:rFonts w:eastAsia="仿宋_GB2312"/>
          <w:color w:val="000000"/>
          <w:szCs w:val="32"/>
        </w:rPr>
      </w:pPr>
      <w:r>
        <w:rPr>
          <w:rFonts w:hint="eastAsia" w:eastAsia="仿宋_GB2312"/>
          <w:color w:val="000000"/>
          <w:szCs w:val="32"/>
        </w:rPr>
        <w:t>4.研究资料</w:t>
      </w:r>
    </w:p>
    <w:p>
      <w:pPr>
        <w:spacing w:line="520" w:lineRule="exact"/>
        <w:ind w:firstLine="640" w:firstLineChars="200"/>
        <w:rPr>
          <w:rFonts w:eastAsia="仿宋_GB2312"/>
          <w:color w:val="000000"/>
          <w:szCs w:val="32"/>
        </w:rPr>
      </w:pPr>
      <w:r>
        <w:rPr>
          <w:rFonts w:hint="eastAsia" w:eastAsia="仿宋_GB2312"/>
          <w:color w:val="000000"/>
          <w:szCs w:val="32"/>
        </w:rPr>
        <w:t>4.1化学和物理性能研究</w:t>
      </w:r>
    </w:p>
    <w:p>
      <w:pPr>
        <w:spacing w:line="520" w:lineRule="exact"/>
        <w:ind w:firstLine="640" w:firstLineChars="200"/>
        <w:rPr>
          <w:rFonts w:eastAsia="仿宋_GB2312"/>
          <w:color w:val="000000"/>
          <w:szCs w:val="32"/>
        </w:rPr>
      </w:pPr>
      <w:r>
        <w:rPr>
          <w:rFonts w:hint="eastAsia" w:eastAsia="仿宋_GB2312"/>
          <w:color w:val="000000"/>
          <w:szCs w:val="32"/>
        </w:rPr>
        <w:t>应当提供产品化学/材料表征、物理和/或机械性能指标的确定依据、设计输入来源以及临床意义，所采用的标准或方法、采用的原因及理论基础。</w:t>
      </w:r>
    </w:p>
    <w:p>
      <w:pPr>
        <w:spacing w:line="520" w:lineRule="exact"/>
        <w:ind w:firstLine="640" w:firstLineChars="200"/>
        <w:rPr>
          <w:rFonts w:eastAsia="仿宋_GB2312"/>
          <w:szCs w:val="32"/>
        </w:rPr>
      </w:pPr>
      <w:r>
        <w:rPr>
          <w:rFonts w:hint="eastAsia" w:eastAsia="仿宋_GB2312"/>
          <w:szCs w:val="32"/>
        </w:rPr>
        <w:t>如应明确频率范围、最大声压级确定依据，证明在该范围内的安全有效性。</w:t>
      </w:r>
    </w:p>
    <w:p>
      <w:pPr>
        <w:spacing w:line="520" w:lineRule="exact"/>
        <w:ind w:firstLine="640" w:firstLineChars="200"/>
        <w:rPr>
          <w:rFonts w:eastAsia="仿宋_GB2312"/>
          <w:color w:val="000000"/>
          <w:szCs w:val="32"/>
        </w:rPr>
      </w:pPr>
      <w:r>
        <w:rPr>
          <w:rFonts w:hint="eastAsia" w:eastAsia="仿宋_GB2312"/>
          <w:color w:val="000000"/>
          <w:szCs w:val="32"/>
        </w:rPr>
        <w:t>4.2软件研究</w:t>
      </w:r>
    </w:p>
    <w:p>
      <w:pPr>
        <w:spacing w:line="520" w:lineRule="exact"/>
        <w:ind w:firstLine="640" w:firstLineChars="200"/>
        <w:rPr>
          <w:rFonts w:eastAsia="仿宋_GB2312"/>
          <w:szCs w:val="32"/>
        </w:rPr>
      </w:pPr>
      <w:r>
        <w:rPr>
          <w:rFonts w:eastAsia="仿宋_GB2312"/>
          <w:szCs w:val="32"/>
        </w:rPr>
        <w:t>应</w:t>
      </w:r>
      <w:r>
        <w:rPr>
          <w:rFonts w:hint="eastAsia" w:eastAsia="仿宋_GB2312"/>
          <w:szCs w:val="32"/>
        </w:rPr>
        <w:t>参照</w:t>
      </w:r>
      <w:r>
        <w:rPr>
          <w:rFonts w:eastAsia="仿宋_GB2312"/>
          <w:szCs w:val="32"/>
        </w:rPr>
        <w:t>《医疗器械软件注册技术审查指导原则》的相关要求。提供一份单独的医疗器械软件描述文档，内容包括基本信息、实现过程和核心算法，详尽程度取决于软件的安全性级别和复杂程度。同时，应出具关于软件版本命名规则的声明，并明确软件完整版本的全部字段及字段含义，确定软件的完整版本和软件发布版本。</w:t>
      </w:r>
      <w:r>
        <w:rPr>
          <w:rFonts w:hint="eastAsia" w:eastAsia="仿宋_GB2312"/>
          <w:snapToGrid w:val="0"/>
          <w:kern w:val="0"/>
          <w:szCs w:val="32"/>
        </w:rPr>
        <w:t xml:space="preserve">应提交GB/T 25000.51标准自测报告或第三方检验报告。 </w:t>
      </w:r>
    </w:p>
    <w:p>
      <w:pPr>
        <w:spacing w:line="520" w:lineRule="exact"/>
        <w:ind w:firstLine="640" w:firstLineChars="200"/>
        <w:rPr>
          <w:rFonts w:eastAsia="仿宋_GB2312"/>
          <w:color w:val="000000"/>
          <w:szCs w:val="32"/>
        </w:rPr>
      </w:pPr>
      <w:r>
        <w:rPr>
          <w:rFonts w:hint="eastAsia" w:eastAsia="仿宋_GB2312"/>
          <w:color w:val="000000"/>
          <w:szCs w:val="32"/>
        </w:rPr>
        <w:t>如申报产品适用于医疗器械网络安全，包括具备电子数据交换、远程访问与控制、用户访问三种功能当中一种及以上功能，应按照《医疗器械网络安全注册审查指导原则》（2022年修订版），提交医疗器械网络安全研究资料。</w:t>
      </w:r>
    </w:p>
    <w:p>
      <w:pPr>
        <w:spacing w:line="520" w:lineRule="exact"/>
        <w:ind w:firstLine="640" w:firstLineChars="200"/>
        <w:rPr>
          <w:rFonts w:eastAsia="仿宋_GB2312"/>
          <w:color w:val="000000"/>
          <w:szCs w:val="32"/>
        </w:rPr>
      </w:pPr>
      <w:r>
        <w:rPr>
          <w:rFonts w:hint="eastAsia" w:eastAsia="仿宋_GB2312"/>
          <w:color w:val="000000"/>
          <w:szCs w:val="32"/>
        </w:rPr>
        <w:t>4.3生物学特性研究</w:t>
      </w:r>
    </w:p>
    <w:p>
      <w:pPr>
        <w:spacing w:line="520" w:lineRule="exact"/>
        <w:ind w:firstLine="640" w:firstLineChars="200"/>
        <w:rPr>
          <w:rFonts w:eastAsia="仿宋_GB2312"/>
          <w:snapToGrid w:val="0"/>
          <w:kern w:val="0"/>
          <w:szCs w:val="32"/>
        </w:rPr>
      </w:pPr>
      <w:r>
        <w:rPr>
          <w:rFonts w:hint="eastAsia" w:eastAsia="仿宋_GB2312"/>
          <w:snapToGrid w:val="0"/>
          <w:kern w:val="0"/>
          <w:szCs w:val="32"/>
        </w:rPr>
        <w:t>应描述产品与人体接触的材料，以及接触的性质和时间，参照《医疗器械生物学评价和审查指南》、GB/T 16886.1的要求对其进行生物相容性评价。</w:t>
      </w:r>
    </w:p>
    <w:p>
      <w:pPr>
        <w:spacing w:line="520" w:lineRule="exact"/>
        <w:ind w:firstLine="640" w:firstLineChars="200"/>
        <w:rPr>
          <w:rFonts w:eastAsia="仿宋_GB2312"/>
          <w:snapToGrid w:val="0"/>
          <w:kern w:val="0"/>
          <w:szCs w:val="32"/>
        </w:rPr>
      </w:pPr>
      <w:r>
        <w:rPr>
          <w:rFonts w:hint="eastAsia" w:eastAsia="仿宋_GB2312"/>
          <w:snapToGrid w:val="0"/>
          <w:kern w:val="0"/>
          <w:szCs w:val="32"/>
        </w:rPr>
        <w:t>若产品与完整皮肤接触，开展生物学试验进行评价，至少进行细胞毒性、致敏反应、皮肤刺激的生物学评价研究。</w:t>
      </w:r>
    </w:p>
    <w:p>
      <w:pPr>
        <w:spacing w:line="520" w:lineRule="exact"/>
        <w:ind w:firstLine="640" w:firstLineChars="200"/>
        <w:rPr>
          <w:rFonts w:eastAsia="仿宋_GB2312"/>
          <w:snapToGrid w:val="0"/>
          <w:kern w:val="0"/>
          <w:szCs w:val="32"/>
        </w:rPr>
      </w:pPr>
      <w:r>
        <w:rPr>
          <w:rFonts w:hint="eastAsia" w:eastAsia="仿宋_GB2312"/>
          <w:snapToGrid w:val="0"/>
          <w:kern w:val="0"/>
          <w:szCs w:val="32"/>
        </w:rPr>
        <w:t>若开展申报产品与已上市产品等同性比较的生物相容性评价，应按照《医疗器械生物学评价和审查指南》要求进行评价，应提供资料证明申报产品与已上市产品具有等同性。</w:t>
      </w:r>
    </w:p>
    <w:p>
      <w:pPr>
        <w:spacing w:line="520" w:lineRule="exact"/>
        <w:ind w:firstLine="640" w:firstLineChars="200"/>
        <w:rPr>
          <w:rFonts w:eastAsia="仿宋_GB2312"/>
          <w:snapToGrid w:val="0"/>
          <w:kern w:val="0"/>
          <w:szCs w:val="32"/>
        </w:rPr>
      </w:pPr>
      <w:r>
        <w:rPr>
          <w:rFonts w:hint="eastAsia" w:eastAsia="仿宋_GB2312"/>
          <w:snapToGrid w:val="0"/>
          <w:kern w:val="0"/>
          <w:szCs w:val="32"/>
        </w:rPr>
        <w:t>若无法证明申报产品与已上市产品的等同性，可按照GB/T 16886.1的要求开展申报产品生物相容性试验予以评价。</w:t>
      </w:r>
    </w:p>
    <w:p>
      <w:pPr>
        <w:spacing w:line="520" w:lineRule="exact"/>
        <w:ind w:firstLine="640" w:firstLineChars="200"/>
        <w:rPr>
          <w:rFonts w:eastAsia="仿宋_GB2312"/>
          <w:color w:val="000000"/>
          <w:szCs w:val="32"/>
        </w:rPr>
      </w:pPr>
      <w:r>
        <w:rPr>
          <w:rFonts w:hint="eastAsia" w:eastAsia="仿宋_GB2312"/>
          <w:color w:val="000000"/>
          <w:szCs w:val="32"/>
        </w:rPr>
        <w:t>4.4</w:t>
      </w:r>
      <w:r>
        <w:rPr>
          <w:rFonts w:eastAsia="仿宋_GB2312"/>
          <w:color w:val="000000"/>
          <w:szCs w:val="32"/>
        </w:rPr>
        <w:t>清洁</w:t>
      </w:r>
      <w:r>
        <w:rPr>
          <w:rFonts w:hint="eastAsia" w:eastAsia="仿宋_GB2312"/>
          <w:color w:val="000000"/>
          <w:szCs w:val="32"/>
        </w:rPr>
        <w:t>及</w:t>
      </w:r>
      <w:r>
        <w:rPr>
          <w:rFonts w:eastAsia="仿宋_GB2312"/>
          <w:color w:val="000000"/>
          <w:szCs w:val="32"/>
        </w:rPr>
        <w:t>消毒</w:t>
      </w:r>
      <w:r>
        <w:rPr>
          <w:rFonts w:hint="eastAsia" w:eastAsia="仿宋_GB2312"/>
          <w:color w:val="000000"/>
          <w:szCs w:val="32"/>
        </w:rPr>
        <w:t>工艺</w:t>
      </w:r>
      <w:r>
        <w:rPr>
          <w:rFonts w:eastAsia="仿宋_GB2312"/>
          <w:color w:val="000000"/>
          <w:szCs w:val="32"/>
        </w:rPr>
        <w:t>研究</w:t>
      </w:r>
    </w:p>
    <w:p>
      <w:pPr>
        <w:spacing w:line="520" w:lineRule="exact"/>
        <w:ind w:firstLine="640" w:firstLineChars="200"/>
        <w:rPr>
          <w:rFonts w:eastAsia="仿宋_GB2312"/>
          <w:color w:val="000000"/>
          <w:szCs w:val="32"/>
        </w:rPr>
      </w:pPr>
      <w:r>
        <w:rPr>
          <w:rFonts w:eastAsia="仿宋_GB2312"/>
          <w:color w:val="000000"/>
          <w:szCs w:val="32"/>
        </w:rPr>
        <w:t>使用者清洁和消毒：应当明确推荐的清洗和消毒工艺（方法和参数）、工艺的确定依据以及验证的相关研究资料。</w:t>
      </w:r>
    </w:p>
    <w:p>
      <w:pPr>
        <w:spacing w:line="520" w:lineRule="exact"/>
        <w:ind w:firstLine="640" w:firstLineChars="200"/>
        <w:rPr>
          <w:rFonts w:eastAsia="仿宋_GB2312"/>
          <w:color w:val="000000" w:themeColor="text1"/>
          <w:szCs w:val="32"/>
          <w14:textFill>
            <w14:solidFill>
              <w14:schemeClr w14:val="tx1"/>
            </w14:solidFill>
          </w14:textFill>
        </w:rPr>
      </w:pPr>
      <w:r>
        <w:rPr>
          <w:rFonts w:eastAsia="仿宋_GB2312"/>
          <w:color w:val="000000"/>
          <w:szCs w:val="32"/>
        </w:rPr>
        <w:t>残留毒性：若产品经消毒后可能产生残留物质,应当对消毒后的产品进行残留毒性的研究，明确残留物信息及采取的处理方法，并提供相关</w:t>
      </w:r>
      <w:r>
        <w:rPr>
          <w:rFonts w:eastAsia="仿宋_GB2312"/>
          <w:color w:val="000000" w:themeColor="text1"/>
          <w:szCs w:val="32"/>
          <w14:textFill>
            <w14:solidFill>
              <w14:schemeClr w14:val="tx1"/>
            </w14:solidFill>
          </w14:textFill>
        </w:rPr>
        <w:t>研究资料。</w:t>
      </w:r>
    </w:p>
    <w:p>
      <w:pPr>
        <w:spacing w:line="520" w:lineRule="exact"/>
        <w:ind w:firstLine="640" w:firstLineChars="200"/>
        <w:rPr>
          <w:rFonts w:hint="eastAsia" w:eastAsia="仿宋_GB2312"/>
          <w:sz w:val="32"/>
          <w:szCs w:val="32"/>
        </w:rPr>
      </w:pPr>
      <w:r>
        <w:rPr>
          <w:rFonts w:hint="eastAsia" w:eastAsia="仿宋_GB2312"/>
          <w:color w:val="000000" w:themeColor="text1"/>
          <w:szCs w:val="32"/>
          <w:lang w:val="en-US" w:eastAsia="zh-CN"/>
          <w14:textFill>
            <w14:solidFill>
              <w14:schemeClr w14:val="tx1"/>
            </w14:solidFill>
          </w14:textFill>
        </w:rPr>
        <w:t>4.5</w:t>
      </w:r>
      <w:r>
        <w:rPr>
          <w:rFonts w:hint="eastAsia" w:eastAsia="仿宋_GB2312"/>
          <w:sz w:val="32"/>
          <w:szCs w:val="32"/>
        </w:rPr>
        <w:t>可用性研究</w:t>
      </w:r>
    </w:p>
    <w:p>
      <w:pPr>
        <w:spacing w:line="520" w:lineRule="exact"/>
        <w:ind w:firstLine="640" w:firstLineChars="200"/>
        <w:rPr>
          <w:rFonts w:hint="default" w:eastAsia="仿宋_GB2312"/>
          <w:color w:val="000000" w:themeColor="text1"/>
          <w:szCs w:val="32"/>
          <w:lang w:val="en-US" w:eastAsia="zh-CN"/>
          <w14:textFill>
            <w14:solidFill>
              <w14:schemeClr w14:val="tx1"/>
            </w14:solidFill>
          </w14:textFill>
        </w:rPr>
      </w:pPr>
      <w:r>
        <w:rPr>
          <w:rFonts w:hint="eastAsia" w:eastAsia="仿宋_GB2312"/>
          <w:sz w:val="32"/>
          <w:szCs w:val="32"/>
        </w:rPr>
        <w:t>应参照《医疗器械可用性工程注册审查指导原则》，按照中、低使用风险医疗器械要求提交使用错误评估报告，包括基本信息、使用风险级别、核心要素、同类医疗器械上市后使用问题分析、使用风险管理、结论等内容。若前期已开展可用性工程工作，亦可提交可用性工程研究报告，用于替代使用错误评估报告。</w:t>
      </w:r>
    </w:p>
    <w:p>
      <w:pPr>
        <w:spacing w:line="520" w:lineRule="exact"/>
        <w:ind w:firstLine="640" w:firstLineChars="200"/>
        <w:rPr>
          <w:rFonts w:eastAsia="仿宋_GB2312"/>
          <w:color w:val="000000" w:themeColor="text1"/>
          <w:szCs w:val="32"/>
          <w14:textFill>
            <w14:solidFill>
              <w14:schemeClr w14:val="tx1"/>
            </w14:solidFill>
          </w14:textFill>
        </w:rPr>
      </w:pPr>
      <w:r>
        <w:rPr>
          <w:rFonts w:hint="eastAsia" w:eastAsia="仿宋_GB2312"/>
          <w:color w:val="000000" w:themeColor="text1"/>
          <w:szCs w:val="32"/>
          <w14:textFill>
            <w14:solidFill>
              <w14:schemeClr w14:val="tx1"/>
            </w14:solidFill>
          </w14:textFill>
        </w:rPr>
        <w:t>5.稳定性研究</w:t>
      </w:r>
    </w:p>
    <w:p>
      <w:pPr>
        <w:spacing w:line="520" w:lineRule="exact"/>
        <w:ind w:firstLine="640" w:firstLineChars="200"/>
        <w:rPr>
          <w:rFonts w:eastAsia="仿宋_GB2312"/>
          <w:color w:val="000000"/>
          <w:szCs w:val="32"/>
        </w:rPr>
      </w:pPr>
      <w:r>
        <w:rPr>
          <w:rFonts w:hint="eastAsia" w:eastAsia="仿宋_GB2312"/>
          <w:color w:val="000000" w:themeColor="text1"/>
          <w:szCs w:val="32"/>
          <w14:textFill>
            <w14:solidFill>
              <w14:schemeClr w14:val="tx1"/>
            </w14:solidFill>
          </w14:textFill>
        </w:rPr>
        <w:t>提供产品的使用稳定性、可靠性研究资料，证明在规定的使用期限内，在正常使用</w:t>
      </w:r>
      <w:r>
        <w:rPr>
          <w:rFonts w:hint="eastAsia" w:eastAsia="仿宋_GB2312"/>
          <w:color w:val="000000"/>
          <w:szCs w:val="32"/>
        </w:rPr>
        <w:t>、维护和校准（如适用）情况下，产品的性能功能可以满足临床使用要求。参考《有源医疗器械使用期限技术审查指导原则》的要求开展研究。</w:t>
      </w:r>
    </w:p>
    <w:p>
      <w:pPr>
        <w:spacing w:line="520" w:lineRule="exact"/>
        <w:ind w:firstLine="640" w:firstLineChars="200"/>
        <w:rPr>
          <w:rFonts w:hint="eastAsia" w:eastAsia="仿宋_GB2312"/>
          <w:color w:val="000000"/>
          <w:szCs w:val="32"/>
          <w:lang w:eastAsia="zh-CN"/>
        </w:rPr>
      </w:pPr>
      <w:r>
        <w:rPr>
          <w:rFonts w:hint="eastAsia" w:eastAsia="仿宋_GB2312"/>
          <w:color w:val="000000"/>
          <w:szCs w:val="32"/>
        </w:rPr>
        <w:t>提供产品的运输稳定性和包装研究资料，证明在规定的运输条件下，运输过程中的环境条件（例如：震动、振动、温度和湿度的波动）不会对产品的特性和性能，包括完整性和清洁度，造成不利影响。</w:t>
      </w:r>
      <w:r>
        <w:rPr>
          <w:rFonts w:hint="eastAsia" w:eastAsia="仿宋_GB2312"/>
          <w:color w:val="000000"/>
          <w:szCs w:val="32"/>
          <w:lang w:eastAsia="zh-CN"/>
        </w:rPr>
        <w:t>如含有可充电电池，应提供电池的使用期限研究资料。</w:t>
      </w:r>
    </w:p>
    <w:p>
      <w:pPr>
        <w:spacing w:line="520" w:lineRule="exact"/>
        <w:ind w:firstLine="640" w:firstLineChars="200"/>
        <w:rPr>
          <w:rFonts w:eastAsia="仿宋_GB2312"/>
          <w:color w:val="000000"/>
          <w:szCs w:val="32"/>
        </w:rPr>
      </w:pPr>
      <w:r>
        <w:rPr>
          <w:rFonts w:hint="eastAsia" w:eastAsia="仿宋_GB2312"/>
          <w:color w:val="000000"/>
          <w:szCs w:val="32"/>
        </w:rPr>
        <w:t>参照GB/ T 14710标准的要求及产品使用（温度、湿度、气压、电源）、运输、储存条件开展环境试验研究。</w:t>
      </w:r>
    </w:p>
    <w:p>
      <w:pPr>
        <w:spacing w:line="520" w:lineRule="exact"/>
        <w:ind w:firstLine="640" w:firstLineChars="200"/>
        <w:rPr>
          <w:rFonts w:eastAsia="楷体_GB2312" w:cs="Arial"/>
          <w:color w:val="000000"/>
          <w:kern w:val="0"/>
          <w:szCs w:val="32"/>
        </w:rPr>
      </w:pPr>
      <w:r>
        <w:rPr>
          <w:rFonts w:hint="eastAsia" w:ascii="楷体_GB2312" w:hAnsi="楷体_GB2312" w:eastAsia="楷体_GB2312" w:cs="楷体_GB2312"/>
          <w:color w:val="000000"/>
          <w:kern w:val="0"/>
          <w:szCs w:val="32"/>
        </w:rPr>
        <w:t>（四）</w:t>
      </w:r>
      <w:r>
        <w:rPr>
          <w:rFonts w:hint="eastAsia" w:eastAsia="楷体_GB2312" w:cs="Arial"/>
          <w:color w:val="000000"/>
          <w:kern w:val="0"/>
          <w:szCs w:val="32"/>
        </w:rPr>
        <w:t>临床评价资料</w:t>
      </w:r>
    </w:p>
    <w:p>
      <w:pPr>
        <w:spacing w:line="520" w:lineRule="exact"/>
        <w:ind w:firstLine="640"/>
        <w:rPr>
          <w:rFonts w:eastAsia="仿宋_GB2312"/>
          <w:snapToGrid w:val="0"/>
          <w:color w:val="000000" w:themeColor="text1"/>
          <w:kern w:val="0"/>
          <w:szCs w:val="32"/>
          <w14:textFill>
            <w14:solidFill>
              <w14:schemeClr w14:val="tx1"/>
            </w14:solidFill>
          </w14:textFill>
        </w:rPr>
      </w:pPr>
      <w:r>
        <w:rPr>
          <w:rFonts w:hint="eastAsia" w:eastAsia="仿宋_GB2312"/>
          <w:snapToGrid w:val="0"/>
          <w:kern w:val="0"/>
          <w:szCs w:val="32"/>
        </w:rPr>
        <w:t>耳鸣康复设备不属于《免于临床评价医疗器械目录》的产品，应按照《医疗器械注册与备案管理办法》《医疗器械临床评价技术</w:t>
      </w:r>
      <w:r>
        <w:rPr>
          <w:rFonts w:hint="eastAsia" w:eastAsia="仿宋_GB2312"/>
          <w:snapToGrid w:val="0"/>
          <w:color w:val="000000" w:themeColor="text1"/>
          <w:kern w:val="0"/>
          <w:szCs w:val="32"/>
          <w14:textFill>
            <w14:solidFill>
              <w14:schemeClr w14:val="tx1"/>
            </w14:solidFill>
          </w14:textFill>
        </w:rPr>
        <w:t>指导原则》《医疗器械临床试验质量管理规范》等要求提交临床评价资料。按《</w:t>
      </w:r>
      <w:r>
        <w:rPr>
          <w:rFonts w:hint="eastAsia" w:eastAsia="仿宋_GB2312"/>
          <w:snapToGrid w:val="0"/>
          <w:color w:val="000000" w:themeColor="text1"/>
          <w:szCs w:val="32"/>
          <w14:textFill>
            <w14:solidFill>
              <w14:schemeClr w14:val="tx1"/>
            </w14:solidFill>
          </w14:textFill>
        </w:rPr>
        <w:t>决策是否开展医疗器械临床试验</w:t>
      </w:r>
      <w:r>
        <w:rPr>
          <w:rFonts w:hint="eastAsia" w:eastAsia="仿宋_GB2312"/>
          <w:snapToGrid w:val="0"/>
          <w:color w:val="000000" w:themeColor="text1"/>
          <w:kern w:val="0"/>
          <w:szCs w:val="32"/>
          <w14:textFill>
            <w14:solidFill>
              <w14:schemeClr w14:val="tx1"/>
            </w14:solidFill>
          </w14:textFill>
        </w:rPr>
        <w:t>技术指导原则》选择临床评价路径。</w:t>
      </w:r>
    </w:p>
    <w:p>
      <w:pPr>
        <w:spacing w:line="520" w:lineRule="exact"/>
        <w:ind w:firstLine="640" w:firstLineChars="200"/>
        <w:rPr>
          <w:rFonts w:eastAsia="仿宋_GB2312"/>
          <w:snapToGrid w:val="0"/>
          <w:color w:val="000000" w:themeColor="text1"/>
          <w:kern w:val="0"/>
          <w:szCs w:val="32"/>
          <w14:textFill>
            <w14:solidFill>
              <w14:schemeClr w14:val="tx1"/>
            </w14:solidFill>
          </w14:textFill>
        </w:rPr>
      </w:pPr>
      <w:r>
        <w:rPr>
          <w:rFonts w:hint="eastAsia" w:eastAsia="仿宋_GB2312"/>
          <w:snapToGrid w:val="0"/>
          <w:color w:val="000000" w:themeColor="text1"/>
          <w:kern w:val="0"/>
          <w:szCs w:val="32"/>
          <w14:textFill>
            <w14:solidFill>
              <w14:schemeClr w14:val="tx1"/>
            </w14:solidFill>
          </w14:textFill>
        </w:rPr>
        <w:t>1.同品种临床评价路径</w:t>
      </w:r>
    </w:p>
    <w:p>
      <w:pPr>
        <w:spacing w:line="520" w:lineRule="exact"/>
        <w:ind w:firstLine="640"/>
        <w:rPr>
          <w:rFonts w:hint="default" w:eastAsia="仿宋_GB2312"/>
          <w:lang w:val="en-US" w:eastAsia="zh-CN"/>
        </w:rPr>
      </w:pPr>
      <w:r>
        <w:rPr>
          <w:rFonts w:hint="eastAsia" w:eastAsia="仿宋_GB2312"/>
          <w:snapToGrid w:val="0"/>
          <w:color w:val="000000" w:themeColor="text1"/>
          <w:kern w:val="0"/>
          <w:szCs w:val="32"/>
          <w14:textFill>
            <w14:solidFill>
              <w14:schemeClr w14:val="tx1"/>
            </w14:solidFill>
          </w14:textFill>
        </w:rPr>
        <w:t>在满足注册法规要求的前提下，可按照《医疗器械临床评价等同性论证技术指</w:t>
      </w:r>
      <w:r>
        <w:rPr>
          <w:rFonts w:hint="eastAsia" w:eastAsia="仿宋_GB2312"/>
          <w:snapToGrid w:val="0"/>
          <w:kern w:val="0"/>
          <w:szCs w:val="32"/>
        </w:rPr>
        <w:t>导原则》进行境内已上市同品种产品的对比、分析、评价，并按照《医疗器械注册申报临床评价报告技术指导原则》要求的项目和格式出具评价报告</w:t>
      </w:r>
      <w:r>
        <w:rPr>
          <w:rFonts w:hint="eastAsia" w:eastAsia="仿宋_GB2312"/>
          <w:snapToGrid w:val="0"/>
          <w:kern w:val="0"/>
          <w:szCs w:val="32"/>
          <w:lang w:eastAsia="zh-CN"/>
        </w:rPr>
        <w:t>，应重点关注频率范围是否等同</w:t>
      </w:r>
      <w:r>
        <w:rPr>
          <w:rFonts w:hint="eastAsia" w:eastAsia="仿宋_GB2312"/>
          <w:snapToGrid w:val="0"/>
          <w:kern w:val="0"/>
          <w:szCs w:val="32"/>
        </w:rPr>
        <w:t>。</w:t>
      </w:r>
    </w:p>
    <w:p>
      <w:pPr>
        <w:spacing w:line="520" w:lineRule="exact"/>
        <w:ind w:firstLine="640" w:firstLineChars="200"/>
        <w:rPr>
          <w:rFonts w:eastAsia="仿宋_GB2312"/>
          <w:snapToGrid w:val="0"/>
          <w:kern w:val="0"/>
          <w:szCs w:val="32"/>
        </w:rPr>
      </w:pPr>
      <w:r>
        <w:rPr>
          <w:rFonts w:hint="eastAsia" w:eastAsia="仿宋_GB2312"/>
          <w:snapToGrid w:val="0"/>
          <w:kern w:val="0"/>
          <w:szCs w:val="32"/>
        </w:rPr>
        <w:t>2.临床试验路径</w:t>
      </w:r>
    </w:p>
    <w:p>
      <w:pPr>
        <w:spacing w:line="520" w:lineRule="exact"/>
        <w:ind w:firstLine="640"/>
        <w:rPr>
          <w:rFonts w:eastAsia="仿宋_GB2312"/>
          <w:color w:val="000000"/>
          <w:szCs w:val="32"/>
        </w:rPr>
      </w:pPr>
      <w:r>
        <w:rPr>
          <w:rFonts w:hint="eastAsia" w:eastAsia="仿宋_GB2312"/>
          <w:snapToGrid w:val="0"/>
          <w:kern w:val="0"/>
          <w:szCs w:val="32"/>
        </w:rPr>
        <w:t>临床试验需按照《医疗器械临床试验质量管理规范》开展，提交完整的临床试验资料。临床试验的设计可参考《医疗器械临床试验设计指导原则》，根据注册申请人宣称的申报产品适用范围开展。</w:t>
      </w:r>
    </w:p>
    <w:p>
      <w:pPr>
        <w:spacing w:line="520" w:lineRule="exact"/>
        <w:ind w:firstLine="640" w:firstLineChars="200"/>
        <w:rPr>
          <w:rFonts w:eastAsia="楷体_GB2312" w:cs="Arial"/>
          <w:color w:val="000000"/>
          <w:kern w:val="0"/>
          <w:szCs w:val="32"/>
        </w:rPr>
      </w:pPr>
      <w:r>
        <w:rPr>
          <w:rFonts w:hint="eastAsia" w:ascii="楷体_GB2312" w:hAnsi="楷体_GB2312" w:eastAsia="楷体_GB2312" w:cs="楷体_GB2312"/>
          <w:color w:val="000000"/>
          <w:kern w:val="0"/>
          <w:szCs w:val="32"/>
        </w:rPr>
        <w:t>（五）</w:t>
      </w:r>
      <w:r>
        <w:rPr>
          <w:rFonts w:hint="eastAsia" w:eastAsia="楷体_GB2312" w:cs="Arial"/>
          <w:color w:val="000000"/>
          <w:kern w:val="0"/>
          <w:szCs w:val="32"/>
        </w:rPr>
        <w:t>产品说明书和标签样稿</w:t>
      </w:r>
    </w:p>
    <w:p>
      <w:pPr>
        <w:spacing w:line="560" w:lineRule="exact"/>
        <w:ind w:firstLine="640" w:firstLineChars="200"/>
        <w:rPr>
          <w:rFonts w:eastAsia="仿宋_GB2312"/>
          <w:szCs w:val="32"/>
        </w:rPr>
      </w:pPr>
      <w:r>
        <w:rPr>
          <w:rFonts w:hint="eastAsia" w:eastAsia="仿宋_GB2312"/>
          <w:color w:val="000000"/>
          <w:szCs w:val="32"/>
        </w:rPr>
        <w:t>关注耳鸣康复设</w:t>
      </w:r>
      <w:r>
        <w:rPr>
          <w:rFonts w:hint="eastAsia" w:eastAsia="仿宋_GB2312"/>
          <w:color w:val="000000" w:themeColor="text1"/>
          <w:szCs w:val="32"/>
          <w14:textFill>
            <w14:solidFill>
              <w14:schemeClr w14:val="tx1"/>
            </w14:solidFill>
          </w14:textFill>
        </w:rPr>
        <w:t>备产品的说明书和标签是否符合《医疗器械说明书和标签管理规定》（国家食品药品监督管理总局令第6号）、YY/T 0466.1、GB 9706.1</w:t>
      </w:r>
      <w:r>
        <w:rPr>
          <w:rFonts w:hint="eastAsia" w:eastAsia="仿宋_GB2312"/>
          <w:color w:val="000000" w:themeColor="text1"/>
          <w:szCs w:val="32"/>
          <w:lang w:eastAsia="zh-CN"/>
          <w14:textFill>
            <w14:solidFill>
              <w14:schemeClr w14:val="tx1"/>
            </w14:solidFill>
          </w14:textFill>
        </w:rPr>
        <w:t>、</w:t>
      </w:r>
      <w:r>
        <w:rPr>
          <w:rFonts w:hint="eastAsia" w:eastAsia="仿宋_GB2312"/>
          <w:color w:val="000000" w:themeColor="text1"/>
          <w:szCs w:val="32"/>
          <w:lang w:val="en-US" w:eastAsia="zh-CN"/>
          <w14:textFill>
            <w14:solidFill>
              <w14:schemeClr w14:val="tx1"/>
            </w14:solidFill>
          </w14:textFill>
        </w:rPr>
        <w:t>YY 9706.111（如适用）</w:t>
      </w:r>
      <w:r>
        <w:rPr>
          <w:rFonts w:hint="eastAsia" w:eastAsia="仿宋_GB2312"/>
          <w:color w:val="000000" w:themeColor="text1"/>
          <w:szCs w:val="32"/>
          <w14:textFill>
            <w14:solidFill>
              <w14:schemeClr w14:val="tx1"/>
            </w14:solidFill>
          </w14:textFill>
        </w:rPr>
        <w:t>和YY 9706.102中的相关要求。说明书、标签的内容应当真实、完整、科学，并与产品特性相一致，文字内容必须使用</w:t>
      </w:r>
      <w:r>
        <w:rPr>
          <w:rFonts w:hint="eastAsia" w:eastAsia="仿宋_GB2312"/>
          <w:color w:val="000000"/>
          <w:szCs w:val="32"/>
        </w:rPr>
        <w:t>中文。说明书、标签中的文字、符号、图形、表格、数据等应相互一致，并符合相关标准和规范要求。</w:t>
      </w:r>
      <w:r>
        <w:rPr>
          <w:rFonts w:eastAsia="仿宋_GB2312"/>
          <w:szCs w:val="32"/>
        </w:rPr>
        <w:t>还应结合产品特点明确以下内容：</w:t>
      </w:r>
    </w:p>
    <w:p>
      <w:pPr>
        <w:spacing w:line="560" w:lineRule="exact"/>
        <w:ind w:firstLine="640" w:firstLineChars="200"/>
        <w:rPr>
          <w:rFonts w:eastAsia="仿宋_GB2312"/>
          <w:szCs w:val="32"/>
        </w:rPr>
      </w:pPr>
      <w:r>
        <w:rPr>
          <w:rFonts w:eastAsia="仿宋_GB2312"/>
          <w:szCs w:val="32"/>
        </w:rPr>
        <w:t>1.应明确产品工作环境条件：温度、相对湿度、环境气压。</w:t>
      </w:r>
    </w:p>
    <w:p>
      <w:pPr>
        <w:spacing w:line="560" w:lineRule="exact"/>
        <w:ind w:firstLine="640" w:firstLineChars="200"/>
        <w:rPr>
          <w:rFonts w:eastAsia="仿宋_GB2312"/>
          <w:szCs w:val="32"/>
        </w:rPr>
      </w:pPr>
      <w:r>
        <w:rPr>
          <w:rFonts w:eastAsia="仿宋_GB2312"/>
          <w:szCs w:val="32"/>
        </w:rPr>
        <w:t>注册申请人应给出校准时环境参数的实际值。当使用地区的环境条件与校准地区不相近时，应在使用地区通常的环境气压下重新校准。</w:t>
      </w:r>
    </w:p>
    <w:p>
      <w:pPr>
        <w:spacing w:line="560" w:lineRule="exact"/>
        <w:ind w:firstLine="640" w:firstLineChars="200"/>
        <w:rPr>
          <w:rFonts w:eastAsia="仿宋_GB2312"/>
          <w:szCs w:val="32"/>
        </w:rPr>
      </w:pPr>
      <w:r>
        <w:rPr>
          <w:rFonts w:eastAsia="仿宋_GB2312"/>
          <w:szCs w:val="32"/>
        </w:rPr>
        <w:t>2.应说明产品对病人诊断只起辅助作用，请医生结合临床表现和症状作出诊断。</w:t>
      </w:r>
    </w:p>
    <w:p>
      <w:pPr>
        <w:spacing w:line="560" w:lineRule="exact"/>
        <w:ind w:firstLine="640" w:firstLineChars="200"/>
        <w:rPr>
          <w:rFonts w:eastAsia="仿宋_GB2312"/>
          <w:szCs w:val="32"/>
        </w:rPr>
      </w:pPr>
      <w:r>
        <w:rPr>
          <w:rFonts w:eastAsia="仿宋_GB2312"/>
          <w:szCs w:val="32"/>
        </w:rPr>
        <w:t>3.一般不应对自动分析软件作出准确率的描述，并应提示</w:t>
      </w:r>
      <w:r>
        <w:rPr>
          <w:rFonts w:hint="eastAsia" w:eastAsia="仿宋_GB2312"/>
          <w:szCs w:val="32"/>
        </w:rPr>
        <w:t>耳鸣康复设备</w:t>
      </w:r>
      <w:r>
        <w:rPr>
          <w:rFonts w:eastAsia="仿宋_GB2312"/>
          <w:szCs w:val="32"/>
        </w:rPr>
        <w:t>软件分析的结果需要医师人工判读和校对。</w:t>
      </w:r>
    </w:p>
    <w:p>
      <w:pPr>
        <w:spacing w:line="560" w:lineRule="exact"/>
        <w:ind w:firstLine="640" w:firstLineChars="200"/>
        <w:rPr>
          <w:rFonts w:eastAsia="仿宋_GB2312"/>
          <w:szCs w:val="32"/>
        </w:rPr>
      </w:pPr>
      <w:r>
        <w:rPr>
          <w:rFonts w:eastAsia="仿宋_GB2312"/>
          <w:szCs w:val="32"/>
        </w:rPr>
        <w:t>4.应告知与其他设备共同使用时可能产生的影响，如可以外接听力辅助设备，应明确接口</w:t>
      </w:r>
      <w:r>
        <w:rPr>
          <w:rFonts w:hint="eastAsia" w:eastAsia="仿宋_GB2312"/>
          <w:szCs w:val="32"/>
        </w:rPr>
        <w:t>/协议</w:t>
      </w:r>
      <w:r>
        <w:rPr>
          <w:rFonts w:eastAsia="仿宋_GB2312"/>
          <w:szCs w:val="32"/>
        </w:rPr>
        <w:t>及外接设备的参数要求。</w:t>
      </w:r>
    </w:p>
    <w:p>
      <w:pPr>
        <w:spacing w:line="560" w:lineRule="exact"/>
        <w:ind w:firstLine="640" w:firstLineChars="200"/>
        <w:rPr>
          <w:rFonts w:eastAsia="仿宋_GB2312"/>
          <w:szCs w:val="32"/>
        </w:rPr>
      </w:pPr>
      <w:r>
        <w:rPr>
          <w:rFonts w:hint="eastAsia" w:eastAsia="仿宋_GB2312"/>
          <w:szCs w:val="32"/>
        </w:rPr>
        <w:t>5</w:t>
      </w:r>
      <w:r>
        <w:rPr>
          <w:rFonts w:eastAsia="仿宋_GB2312"/>
          <w:szCs w:val="32"/>
        </w:rPr>
        <w:t>.应明确对产品操作人员的专业要求。</w:t>
      </w:r>
    </w:p>
    <w:p>
      <w:pPr>
        <w:spacing w:line="560" w:lineRule="exact"/>
        <w:ind w:firstLine="640" w:firstLineChars="200"/>
        <w:rPr>
          <w:rFonts w:eastAsia="仿宋_GB2312"/>
          <w:szCs w:val="32"/>
        </w:rPr>
      </w:pPr>
      <w:r>
        <w:rPr>
          <w:rFonts w:hint="eastAsia" w:eastAsia="仿宋_GB2312"/>
          <w:szCs w:val="32"/>
        </w:rPr>
        <w:t>6</w:t>
      </w:r>
      <w:r>
        <w:rPr>
          <w:rFonts w:eastAsia="仿宋_GB2312"/>
          <w:szCs w:val="32"/>
        </w:rPr>
        <w:t>.应明确产品是否可用于儿童及婴儿。</w:t>
      </w:r>
    </w:p>
    <w:p>
      <w:pPr>
        <w:spacing w:line="560" w:lineRule="exact"/>
        <w:ind w:firstLine="640" w:firstLineChars="200"/>
        <w:rPr>
          <w:rFonts w:eastAsia="仿宋_GB2312"/>
          <w:szCs w:val="32"/>
        </w:rPr>
      </w:pPr>
      <w:r>
        <w:rPr>
          <w:rFonts w:hint="eastAsia" w:eastAsia="仿宋_GB2312"/>
          <w:szCs w:val="32"/>
        </w:rPr>
        <w:t>7</w:t>
      </w:r>
      <w:r>
        <w:rPr>
          <w:rFonts w:eastAsia="仿宋_GB2312"/>
          <w:szCs w:val="32"/>
        </w:rPr>
        <w:t>.</w:t>
      </w:r>
      <w:r>
        <w:rPr>
          <w:rFonts w:hint="eastAsia" w:eastAsia="仿宋_GB2312"/>
          <w:szCs w:val="32"/>
        </w:rPr>
        <w:t>应说明</w:t>
      </w:r>
      <w:r>
        <w:rPr>
          <w:rFonts w:eastAsia="仿宋_GB2312"/>
          <w:szCs w:val="32"/>
        </w:rPr>
        <w:t>换能器的种类和连接方法。</w:t>
      </w:r>
    </w:p>
    <w:p>
      <w:pPr>
        <w:spacing w:line="560" w:lineRule="exact"/>
        <w:ind w:firstLine="640" w:firstLineChars="200"/>
        <w:rPr>
          <w:rFonts w:eastAsia="仿宋_GB2312"/>
          <w:szCs w:val="32"/>
        </w:rPr>
      </w:pPr>
      <w:r>
        <w:rPr>
          <w:rFonts w:hint="eastAsia" w:eastAsia="仿宋_GB2312"/>
          <w:szCs w:val="32"/>
        </w:rPr>
        <w:t>8.应</w:t>
      </w:r>
      <w:r>
        <w:rPr>
          <w:rFonts w:eastAsia="仿宋_GB2312"/>
          <w:szCs w:val="32"/>
        </w:rPr>
        <w:t>给出</w:t>
      </w:r>
      <w:r>
        <w:rPr>
          <w:rFonts w:hint="eastAsia" w:eastAsia="仿宋_GB2312"/>
          <w:szCs w:val="32"/>
        </w:rPr>
        <w:t>换能器的安装方法，更换方法。</w:t>
      </w:r>
      <w:r>
        <w:rPr>
          <w:rFonts w:eastAsia="仿宋_GB2312"/>
          <w:szCs w:val="32"/>
        </w:rPr>
        <w:t xml:space="preserve"> </w:t>
      </w:r>
    </w:p>
    <w:p>
      <w:pPr>
        <w:spacing w:line="560" w:lineRule="exact"/>
        <w:ind w:firstLine="640" w:firstLineChars="200"/>
        <w:rPr>
          <w:rFonts w:eastAsia="仿宋_GB2312"/>
          <w:color w:val="000000" w:themeColor="text1"/>
          <w:szCs w:val="32"/>
          <w14:textFill>
            <w14:solidFill>
              <w14:schemeClr w14:val="tx1"/>
            </w14:solidFill>
          </w14:textFill>
        </w:rPr>
      </w:pPr>
      <w:r>
        <w:rPr>
          <w:rFonts w:hint="eastAsia" w:eastAsia="仿宋_GB2312"/>
          <w:szCs w:val="32"/>
        </w:rPr>
        <w:t>9</w:t>
      </w:r>
      <w:r>
        <w:rPr>
          <w:rFonts w:eastAsia="仿宋_GB2312"/>
          <w:szCs w:val="32"/>
        </w:rPr>
        <w:t>.应给出重</w:t>
      </w:r>
      <w:r>
        <w:rPr>
          <w:rFonts w:eastAsia="仿宋_GB2312"/>
          <w:color w:val="000000" w:themeColor="text1"/>
          <w:szCs w:val="32"/>
          <w14:textFill>
            <w14:solidFill>
              <w14:schemeClr w14:val="tx1"/>
            </w14:solidFill>
          </w14:textFill>
        </w:rPr>
        <w:t>复使用的换能器的清洁、消毒和保存方法。</w:t>
      </w:r>
    </w:p>
    <w:p>
      <w:pPr>
        <w:spacing w:line="560" w:lineRule="exact"/>
        <w:ind w:firstLine="640" w:firstLineChars="200"/>
        <w:rPr>
          <w:rFonts w:eastAsia="仿宋_GB2312"/>
          <w:szCs w:val="32"/>
        </w:rPr>
      </w:pPr>
      <w:r>
        <w:rPr>
          <w:rFonts w:hint="eastAsia" w:eastAsia="仿宋_GB2312"/>
          <w:color w:val="000000" w:themeColor="text1"/>
          <w:szCs w:val="32"/>
          <w14:textFill>
            <w14:solidFill>
              <w14:schemeClr w14:val="tx1"/>
            </w14:solidFill>
          </w14:textFill>
        </w:rPr>
        <w:t>10</w:t>
      </w:r>
      <w:r>
        <w:rPr>
          <w:rFonts w:eastAsia="仿宋_GB2312"/>
          <w:color w:val="000000" w:themeColor="text1"/>
          <w:szCs w:val="32"/>
          <w14:textFill>
            <w14:solidFill>
              <w14:schemeClr w14:val="tx1"/>
            </w14:solidFill>
          </w14:textFill>
        </w:rPr>
        <w:t>.</w:t>
      </w:r>
      <w:r>
        <w:rPr>
          <w:rFonts w:hint="eastAsia" w:eastAsia="仿宋_GB2312"/>
          <w:szCs w:val="32"/>
        </w:rPr>
        <w:t>应给出产品校准周期及日常使用时声学校准的注意事项。</w:t>
      </w:r>
      <w:bookmarkStart w:id="0" w:name="_GoBack"/>
      <w:bookmarkEnd w:id="0"/>
    </w:p>
    <w:p>
      <w:pPr>
        <w:spacing w:line="520" w:lineRule="exact"/>
        <w:ind w:firstLine="640" w:firstLineChars="200"/>
        <w:rPr>
          <w:rFonts w:eastAsia="楷体_GB2312" w:cs="Arial"/>
          <w:color w:val="000000" w:themeColor="text1"/>
          <w:kern w:val="0"/>
          <w:szCs w:val="32"/>
          <w14:textFill>
            <w14:solidFill>
              <w14:schemeClr w14:val="tx1"/>
            </w14:solidFill>
          </w14:textFill>
        </w:rPr>
      </w:pPr>
      <w:r>
        <w:rPr>
          <w:rFonts w:hint="eastAsia" w:ascii="楷体_GB2312" w:hAnsi="楷体_GB2312" w:eastAsia="楷体_GB2312" w:cs="楷体_GB2312"/>
          <w:color w:val="000000" w:themeColor="text1"/>
          <w:kern w:val="0"/>
          <w:szCs w:val="32"/>
          <w14:textFill>
            <w14:solidFill>
              <w14:schemeClr w14:val="tx1"/>
            </w14:solidFill>
          </w14:textFill>
        </w:rPr>
        <w:t>（六）</w:t>
      </w:r>
      <w:r>
        <w:rPr>
          <w:rFonts w:hint="eastAsia" w:eastAsia="楷体_GB2312" w:cs="Arial"/>
          <w:color w:val="000000" w:themeColor="text1"/>
          <w:kern w:val="0"/>
          <w:szCs w:val="32"/>
          <w14:textFill>
            <w14:solidFill>
              <w14:schemeClr w14:val="tx1"/>
            </w14:solidFill>
          </w14:textFill>
        </w:rPr>
        <w:t>质量管理体系文件</w:t>
      </w:r>
    </w:p>
    <w:p>
      <w:pPr>
        <w:spacing w:line="520" w:lineRule="exact"/>
        <w:ind w:firstLine="640" w:firstLineChars="200"/>
        <w:rPr>
          <w:rFonts w:eastAsia="仿宋_GB2312"/>
          <w:color w:val="000000"/>
          <w:szCs w:val="32"/>
        </w:rPr>
      </w:pPr>
      <w:r>
        <w:rPr>
          <w:rFonts w:hint="eastAsia" w:eastAsia="仿宋_GB2312"/>
          <w:color w:val="000000" w:themeColor="text1"/>
          <w:szCs w:val="32"/>
          <w14:textFill>
            <w14:solidFill>
              <w14:schemeClr w14:val="tx1"/>
            </w14:solidFill>
          </w14:textFill>
        </w:rPr>
        <w:t>质量管理体系文件</w:t>
      </w:r>
      <w:r>
        <w:rPr>
          <w:rFonts w:hint="eastAsia" w:eastAsia="仿宋_GB2312"/>
          <w:color w:val="000000"/>
          <w:szCs w:val="32"/>
        </w:rPr>
        <w:t>应符合《医疗器械生产质量管理规范》的要求，并按照国家药品监督管理局《关于公布医疗器械注册申报资料要求和批准证明文件格式的公告》要求提交资料。</w:t>
      </w:r>
    </w:p>
    <w:p>
      <w:pPr>
        <w:spacing w:line="520" w:lineRule="exact"/>
        <w:ind w:firstLine="640" w:firstLineChars="200"/>
        <w:rPr>
          <w:rFonts w:eastAsia="黑体"/>
          <w:color w:val="000000"/>
          <w:szCs w:val="32"/>
        </w:rPr>
      </w:pPr>
      <w:r>
        <w:rPr>
          <w:rFonts w:hint="eastAsia" w:eastAsia="黑体"/>
          <w:color w:val="000000"/>
          <w:szCs w:val="32"/>
        </w:rPr>
        <w:t>三、参考文献</w:t>
      </w:r>
    </w:p>
    <w:p>
      <w:pPr>
        <w:spacing w:line="520" w:lineRule="exact"/>
        <w:ind w:firstLine="640" w:firstLineChars="200"/>
        <w:rPr>
          <w:rFonts w:eastAsia="仿宋_GB2312"/>
          <w:color w:val="000000"/>
          <w:szCs w:val="32"/>
        </w:rPr>
      </w:pPr>
      <w:r>
        <w:rPr>
          <w:rFonts w:hint="eastAsia" w:eastAsia="仿宋_GB2312"/>
          <w:color w:val="000000"/>
          <w:szCs w:val="32"/>
        </w:rPr>
        <w:t>[1]中华人民共和国国务院.医疗器械监督管理条例:中华人民共和国国务院令第739号[Z].</w:t>
      </w:r>
    </w:p>
    <w:p>
      <w:pPr>
        <w:spacing w:line="520" w:lineRule="exact"/>
        <w:ind w:firstLine="640" w:firstLineChars="200"/>
        <w:rPr>
          <w:rFonts w:eastAsia="仿宋_GB2312"/>
          <w:color w:val="000000"/>
          <w:szCs w:val="32"/>
        </w:rPr>
      </w:pPr>
      <w:r>
        <w:rPr>
          <w:rFonts w:hint="eastAsia" w:eastAsia="仿宋_GB2312"/>
          <w:color w:val="000000"/>
          <w:szCs w:val="32"/>
        </w:rPr>
        <w:t>[2]国家市场监督管理总局.医疗器械注册与备案管理办法:国家市场监督管理总局令第47号[Z].</w:t>
      </w:r>
    </w:p>
    <w:p>
      <w:pPr>
        <w:spacing w:line="520" w:lineRule="exact"/>
        <w:ind w:firstLine="640" w:firstLineChars="200"/>
        <w:rPr>
          <w:rFonts w:eastAsia="仿宋_GB2312"/>
          <w:color w:val="000000"/>
          <w:szCs w:val="32"/>
        </w:rPr>
      </w:pPr>
      <w:r>
        <w:rPr>
          <w:rFonts w:hint="eastAsia" w:eastAsia="仿宋_GB2312"/>
          <w:color w:val="000000"/>
          <w:szCs w:val="32"/>
        </w:rPr>
        <w:t>[3]国家药品监督管理局.医疗器械注册申报资料要求和批准证明文件格式:国家药监局公告2021年第121号[Z].</w:t>
      </w:r>
    </w:p>
    <w:p>
      <w:pPr>
        <w:spacing w:line="520" w:lineRule="exact"/>
        <w:ind w:firstLine="640" w:firstLineChars="200"/>
        <w:rPr>
          <w:rFonts w:eastAsia="仿宋_GB2312"/>
          <w:color w:val="000000"/>
          <w:szCs w:val="32"/>
        </w:rPr>
      </w:pPr>
      <w:r>
        <w:rPr>
          <w:rFonts w:hint="eastAsia" w:eastAsia="仿宋_GB2312"/>
          <w:color w:val="000000"/>
          <w:szCs w:val="32"/>
        </w:rPr>
        <w:t>[4]国家药品监督管理局.医疗器械注册自检管理规定：国家药监局公告2021年第126号[Z].</w:t>
      </w:r>
    </w:p>
    <w:p>
      <w:pPr>
        <w:spacing w:line="520" w:lineRule="exact"/>
        <w:ind w:firstLine="640" w:firstLineChars="200"/>
        <w:rPr>
          <w:rFonts w:eastAsia="仿宋_GB2312"/>
          <w:color w:val="000000"/>
          <w:szCs w:val="32"/>
        </w:rPr>
      </w:pPr>
      <w:r>
        <w:rPr>
          <w:rFonts w:hint="eastAsia" w:eastAsia="仿宋_GB2312"/>
          <w:color w:val="000000"/>
          <w:szCs w:val="32"/>
        </w:rPr>
        <w:t>[5]国家食品药品监督管理总局.医疗器械说明书和标签管理规定:国家食品药品监督管理总局令第6号[Z].</w:t>
      </w:r>
    </w:p>
    <w:p>
      <w:pPr>
        <w:spacing w:line="520" w:lineRule="exact"/>
        <w:ind w:firstLine="640" w:firstLineChars="200"/>
        <w:rPr>
          <w:rFonts w:eastAsia="仿宋_GB2312"/>
          <w:color w:val="000000"/>
          <w:szCs w:val="32"/>
        </w:rPr>
      </w:pPr>
      <w:r>
        <w:rPr>
          <w:rFonts w:hint="eastAsia" w:eastAsia="仿宋_GB2312"/>
          <w:color w:val="000000"/>
          <w:szCs w:val="32"/>
        </w:rPr>
        <w:t>[6]国家食品药品监督管理总局.医疗器械通用名称命名规则：国家食品药品监督管理总局令第19号[Z].</w:t>
      </w:r>
    </w:p>
    <w:p>
      <w:pPr>
        <w:spacing w:line="520" w:lineRule="exact"/>
        <w:ind w:firstLine="640" w:firstLineChars="200"/>
        <w:rPr>
          <w:rFonts w:eastAsia="仿宋_GB2312"/>
          <w:color w:val="000000"/>
          <w:szCs w:val="32"/>
        </w:rPr>
      </w:pPr>
      <w:r>
        <w:rPr>
          <w:rFonts w:hint="eastAsia" w:eastAsia="仿宋_GB2312"/>
          <w:color w:val="000000"/>
          <w:szCs w:val="32"/>
        </w:rPr>
        <w:t>[7]国家食品药品监督管理总局.医疗器械分类目录:国家食品药品监督管理总局公告2017年第104号[Z].</w:t>
      </w:r>
    </w:p>
    <w:p>
      <w:pPr>
        <w:spacing w:line="520" w:lineRule="exact"/>
        <w:ind w:firstLine="640" w:firstLineChars="200"/>
        <w:rPr>
          <w:rFonts w:eastAsia="仿宋_GB2312"/>
          <w:color w:val="000000"/>
          <w:szCs w:val="32"/>
        </w:rPr>
      </w:pPr>
      <w:r>
        <w:rPr>
          <w:rFonts w:hint="eastAsia" w:eastAsia="仿宋_GB2312"/>
          <w:color w:val="000000"/>
          <w:szCs w:val="32"/>
        </w:rPr>
        <w:t>[8]国家药品监督管理局.医疗器械安全和性能的基本原则：国家药监局通告2020年第18号[Z].</w:t>
      </w:r>
    </w:p>
    <w:p>
      <w:pPr>
        <w:spacing w:line="520" w:lineRule="exact"/>
        <w:ind w:firstLine="640" w:firstLineChars="200"/>
        <w:rPr>
          <w:rFonts w:eastAsia="仿宋_GB2312"/>
          <w:color w:val="000000"/>
          <w:szCs w:val="32"/>
        </w:rPr>
      </w:pPr>
      <w:r>
        <w:rPr>
          <w:rFonts w:hint="eastAsia" w:eastAsia="仿宋_GB2312"/>
          <w:color w:val="000000"/>
          <w:szCs w:val="32"/>
        </w:rPr>
        <w:t>[9]国家药品监督管理局.医疗器械产品技术要求编写指导原则:国家药监局通告2022年第8号[Z].</w:t>
      </w:r>
    </w:p>
    <w:p>
      <w:pPr>
        <w:spacing w:line="520" w:lineRule="exact"/>
        <w:ind w:firstLine="640" w:firstLineChars="200"/>
        <w:rPr>
          <w:rFonts w:eastAsia="仿宋_GB2312"/>
          <w:color w:val="000000"/>
          <w:szCs w:val="32"/>
        </w:rPr>
      </w:pPr>
      <w:r>
        <w:rPr>
          <w:rFonts w:hint="eastAsia" w:eastAsia="仿宋_GB2312"/>
          <w:color w:val="000000"/>
          <w:szCs w:val="32"/>
        </w:rPr>
        <w:t>[10]国家药品监督管理局.免于进行临床评价医疗器械目录：国家药监局通告2023年第33号[Z].</w:t>
      </w:r>
    </w:p>
    <w:p>
      <w:pPr>
        <w:spacing w:line="520" w:lineRule="exact"/>
        <w:ind w:firstLine="640" w:firstLineChars="200"/>
        <w:rPr>
          <w:rFonts w:eastAsia="仿宋_GB2312"/>
          <w:color w:val="000000"/>
          <w:szCs w:val="32"/>
        </w:rPr>
      </w:pPr>
      <w:r>
        <w:rPr>
          <w:rFonts w:hint="eastAsia" w:eastAsia="仿宋_GB2312"/>
          <w:color w:val="000000"/>
          <w:szCs w:val="32"/>
        </w:rPr>
        <w:t>[11]国家药品监督管理局.医疗器械临床评价技术指导原则等5项技术指导原则：国家药监局通告2021年第73号[Z].</w:t>
      </w:r>
    </w:p>
    <w:p>
      <w:pPr>
        <w:spacing w:line="520" w:lineRule="exact"/>
        <w:ind w:firstLine="640" w:firstLineChars="200"/>
        <w:rPr>
          <w:rFonts w:eastAsia="仿宋_GB2312"/>
          <w:color w:val="000000"/>
          <w:szCs w:val="32"/>
        </w:rPr>
      </w:pPr>
      <w:r>
        <w:rPr>
          <w:rFonts w:hint="eastAsia" w:eastAsia="仿宋_GB2312"/>
          <w:color w:val="000000"/>
          <w:szCs w:val="32"/>
        </w:rPr>
        <w:t>[12]国家药品监督管理局医疗器械审评中心.医疗器械软件注册审查指导原则（2022年修订版）:国家药监局器审中心通告2022年第9号[Z].</w:t>
      </w:r>
    </w:p>
    <w:p>
      <w:pPr>
        <w:spacing w:line="520" w:lineRule="exact"/>
        <w:ind w:firstLine="640" w:firstLineChars="200"/>
        <w:rPr>
          <w:rFonts w:eastAsia="仿宋_GB2312"/>
          <w:color w:val="000000"/>
          <w:szCs w:val="32"/>
        </w:rPr>
      </w:pPr>
      <w:r>
        <w:rPr>
          <w:rFonts w:hint="eastAsia" w:eastAsia="仿宋_GB2312"/>
          <w:color w:val="000000"/>
          <w:szCs w:val="32"/>
        </w:rPr>
        <w:t>[13]国家药品监督管理局医疗器械审评中心.医疗器械网络安全注册审查指导原则（2022年修订版）:国家药监局器审中心通告2022年第7号[Z].</w:t>
      </w:r>
    </w:p>
    <w:p>
      <w:pPr>
        <w:spacing w:line="520" w:lineRule="exact"/>
        <w:ind w:firstLine="640" w:firstLineChars="200"/>
        <w:rPr>
          <w:rFonts w:eastAsia="仿宋_GB2312"/>
          <w:color w:val="000000"/>
          <w:szCs w:val="32"/>
        </w:rPr>
      </w:pPr>
      <w:r>
        <w:rPr>
          <w:rFonts w:hint="eastAsia" w:eastAsia="仿宋_GB2312"/>
          <w:color w:val="000000"/>
          <w:szCs w:val="32"/>
        </w:rPr>
        <w:t>[14]GB 9706.1-2020,医用电气设备 第1部分：基本安全和基本性能的通用要求[S].</w:t>
      </w:r>
    </w:p>
    <w:p>
      <w:pPr>
        <w:spacing w:line="520" w:lineRule="exact"/>
        <w:ind w:firstLine="640" w:firstLineChars="200"/>
        <w:rPr>
          <w:rFonts w:eastAsia="仿宋_GB2312"/>
          <w:color w:val="000000"/>
          <w:szCs w:val="32"/>
        </w:rPr>
      </w:pPr>
      <w:r>
        <w:rPr>
          <w:rFonts w:hint="eastAsia" w:eastAsia="仿宋_GB2312"/>
          <w:color w:val="000000"/>
          <w:szCs w:val="32"/>
        </w:rPr>
        <w:t>[15]GB/T 42062-2022,医疗器械 风险管理对医疗器械的应用[S].</w:t>
      </w:r>
    </w:p>
    <w:p>
      <w:pPr>
        <w:spacing w:line="520" w:lineRule="exact"/>
        <w:ind w:firstLine="640" w:firstLineChars="200"/>
        <w:rPr>
          <w:rFonts w:eastAsia="仿宋_GB2312"/>
          <w:color w:val="000000"/>
          <w:szCs w:val="32"/>
        </w:rPr>
      </w:pPr>
      <w:r>
        <w:rPr>
          <w:rFonts w:hint="eastAsia" w:eastAsia="仿宋_GB2312"/>
          <w:color w:val="000000"/>
          <w:szCs w:val="32"/>
        </w:rPr>
        <w:t>[16]GB/T 16886.1-2022,医疗器械生物学评价 第1部分 风险管理过程中的评价与试验[S].</w:t>
      </w:r>
    </w:p>
    <w:p>
      <w:pPr>
        <w:spacing w:line="520" w:lineRule="exact"/>
        <w:ind w:firstLine="640" w:firstLineChars="200"/>
        <w:rPr>
          <w:rFonts w:eastAsia="仿宋_GB2312"/>
          <w:color w:val="000000"/>
          <w:szCs w:val="32"/>
        </w:rPr>
      </w:pPr>
      <w:r>
        <w:rPr>
          <w:rFonts w:hint="eastAsia" w:eastAsia="仿宋_GB2312"/>
          <w:color w:val="000000"/>
          <w:szCs w:val="32"/>
        </w:rPr>
        <w:t>[17]YY/T 0466.1-2016,医疗器械 用于医疗器械标签、标记和提供信息的符号 第1部分：通用要求[S].</w:t>
      </w:r>
    </w:p>
    <w:p>
      <w:pPr>
        <w:spacing w:line="520" w:lineRule="exact"/>
        <w:ind w:firstLine="640" w:firstLineChars="200"/>
        <w:rPr>
          <w:rFonts w:eastAsia="仿宋_GB2312"/>
          <w:color w:val="000000"/>
          <w:szCs w:val="32"/>
        </w:rPr>
      </w:pPr>
    </w:p>
    <w:p>
      <w:pPr>
        <w:spacing w:line="520" w:lineRule="exact"/>
        <w:rPr>
          <w:rFonts w:eastAsia="仿宋_GB2312"/>
          <w:color w:val="000000"/>
          <w:szCs w:val="32"/>
        </w:rPr>
      </w:pPr>
    </w:p>
    <w:p>
      <w:pPr>
        <w:spacing w:line="520" w:lineRule="exact"/>
        <w:rPr>
          <w:rFonts w:eastAsia="仿宋_GB2312"/>
          <w:color w:val="000000"/>
          <w:szCs w:val="32"/>
        </w:rPr>
      </w:pPr>
    </w:p>
    <w:p>
      <w:pPr>
        <w:spacing w:line="520" w:lineRule="exact"/>
        <w:rPr>
          <w:rFonts w:eastAsia="仿宋_GB2312"/>
          <w:color w:val="000000"/>
          <w:szCs w:val="32"/>
        </w:rPr>
      </w:pPr>
    </w:p>
    <w:p>
      <w:pPr>
        <w:spacing w:line="520" w:lineRule="exact"/>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rPr>
          <w:rFonts w:eastAsia="仿宋_GB2312"/>
          <w:color w:val="000000"/>
          <w:szCs w:val="32"/>
        </w:rPr>
      </w:pPr>
    </w:p>
    <w:p>
      <w:pPr>
        <w:spacing w:line="520" w:lineRule="exact"/>
        <w:jc w:val="left"/>
        <w:rPr>
          <w:rFonts w:eastAsia="黑体"/>
          <w:szCs w:val="32"/>
        </w:rPr>
      </w:pPr>
      <w:r>
        <w:rPr>
          <w:rFonts w:hint="eastAsia" w:eastAsia="黑体"/>
          <w:szCs w:val="32"/>
        </w:rPr>
        <w:t>附件1</w:t>
      </w:r>
    </w:p>
    <w:p>
      <w:pPr>
        <w:spacing w:line="520" w:lineRule="exact"/>
        <w:jc w:val="center"/>
        <w:rPr>
          <w:rFonts w:ascii="方正小标宋简体" w:eastAsia="方正小标宋简体"/>
          <w:sz w:val="44"/>
          <w:szCs w:val="44"/>
        </w:rPr>
      </w:pPr>
    </w:p>
    <w:p>
      <w:pPr>
        <w:spacing w:line="520" w:lineRule="exact"/>
        <w:jc w:val="center"/>
        <w:rPr>
          <w:rFonts w:ascii="方正小标宋简体" w:eastAsia="方正小标宋简体"/>
          <w:sz w:val="44"/>
          <w:szCs w:val="44"/>
        </w:rPr>
      </w:pPr>
      <w:r>
        <w:rPr>
          <w:rFonts w:hint="eastAsia" w:ascii="方正小标宋简体" w:eastAsia="方正小标宋简体"/>
          <w:sz w:val="44"/>
          <w:szCs w:val="44"/>
        </w:rPr>
        <w:t>危险（源）、可预见事件序列、危险情况</w:t>
      </w:r>
    </w:p>
    <w:p>
      <w:pPr>
        <w:spacing w:line="520" w:lineRule="exact"/>
        <w:jc w:val="center"/>
        <w:rPr>
          <w:rFonts w:ascii="方正小标宋简体" w:eastAsia="方正小标宋简体"/>
          <w:sz w:val="44"/>
          <w:szCs w:val="44"/>
        </w:rPr>
      </w:pPr>
      <w:r>
        <w:rPr>
          <w:rFonts w:hint="eastAsia" w:ascii="方正小标宋简体" w:eastAsia="方正小标宋简体"/>
          <w:sz w:val="44"/>
          <w:szCs w:val="44"/>
        </w:rPr>
        <w:t>及伤害示例</w:t>
      </w:r>
    </w:p>
    <w:p>
      <w:pPr>
        <w:spacing w:line="520" w:lineRule="exact"/>
        <w:jc w:val="center"/>
        <w:rPr>
          <w:rFonts w:ascii="方正小标宋简体" w:eastAsia="方正小标宋简体"/>
          <w:sz w:val="44"/>
          <w:szCs w:val="44"/>
        </w:rPr>
      </w:pPr>
    </w:p>
    <w:tbl>
      <w:tblPr>
        <w:tblStyle w:val="25"/>
        <w:tblW w:w="920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77"/>
        <w:gridCol w:w="2410"/>
        <w:gridCol w:w="212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00" w:hRule="atLeast"/>
          <w:tblHeader/>
        </w:trPr>
        <w:tc>
          <w:tcPr>
            <w:tcW w:w="1977" w:type="dxa"/>
            <w:vAlign w:val="center"/>
          </w:tcPr>
          <w:p>
            <w:pPr>
              <w:pStyle w:val="26"/>
              <w:spacing w:after="0" w:line="400" w:lineRule="exact"/>
              <w:contextualSpacing/>
              <w:jc w:val="center"/>
              <w:rPr>
                <w:rFonts w:ascii="Times New Roman" w:hAnsi="Times New Roman" w:eastAsia="仿宋_GB2312" w:cs="Times New Roman"/>
                <w:b/>
                <w:color w:val="auto"/>
                <w:kern w:val="2"/>
                <w:sz w:val="28"/>
                <w:szCs w:val="28"/>
              </w:rPr>
            </w:pPr>
            <w:r>
              <w:rPr>
                <w:rFonts w:hint="eastAsia" w:ascii="Times New Roman" w:hAnsi="Times New Roman" w:eastAsia="仿宋_GB2312" w:cs="Times New Roman"/>
                <w:b/>
                <w:color w:val="auto"/>
                <w:kern w:val="2"/>
                <w:sz w:val="28"/>
                <w:szCs w:val="28"/>
              </w:rPr>
              <w:t>危险（源）</w:t>
            </w:r>
          </w:p>
        </w:tc>
        <w:tc>
          <w:tcPr>
            <w:tcW w:w="2410" w:type="dxa"/>
            <w:vAlign w:val="center"/>
          </w:tcPr>
          <w:p>
            <w:pPr>
              <w:spacing w:line="400" w:lineRule="exact"/>
              <w:jc w:val="center"/>
              <w:rPr>
                <w:rFonts w:eastAsia="仿宋_GB2312"/>
                <w:b/>
                <w:sz w:val="28"/>
                <w:szCs w:val="28"/>
              </w:rPr>
            </w:pPr>
            <w:r>
              <w:rPr>
                <w:rFonts w:hint="eastAsia" w:eastAsia="仿宋_GB2312"/>
                <w:b/>
                <w:sz w:val="28"/>
                <w:szCs w:val="28"/>
              </w:rPr>
              <w:t>可预见事件序列</w:t>
            </w:r>
          </w:p>
        </w:tc>
        <w:tc>
          <w:tcPr>
            <w:tcW w:w="2126" w:type="dxa"/>
            <w:vAlign w:val="center"/>
          </w:tcPr>
          <w:p>
            <w:pPr>
              <w:pStyle w:val="26"/>
              <w:spacing w:after="0" w:line="400" w:lineRule="exact"/>
              <w:contextualSpacing/>
              <w:jc w:val="center"/>
              <w:rPr>
                <w:rFonts w:ascii="Times New Roman" w:hAnsi="Times New Roman" w:eastAsia="仿宋_GB2312" w:cs="Times New Roman"/>
                <w:b/>
                <w:color w:val="auto"/>
                <w:kern w:val="2"/>
                <w:sz w:val="28"/>
                <w:szCs w:val="28"/>
              </w:rPr>
            </w:pPr>
            <w:r>
              <w:rPr>
                <w:rFonts w:hint="eastAsia" w:ascii="Times New Roman" w:hAnsi="Times New Roman" w:eastAsia="仿宋_GB2312" w:cs="Times New Roman"/>
                <w:b/>
                <w:color w:val="auto"/>
                <w:kern w:val="2"/>
                <w:sz w:val="28"/>
                <w:szCs w:val="28"/>
              </w:rPr>
              <w:t>危险情况</w:t>
            </w:r>
          </w:p>
        </w:tc>
        <w:tc>
          <w:tcPr>
            <w:tcW w:w="2694" w:type="dxa"/>
            <w:vAlign w:val="center"/>
          </w:tcPr>
          <w:p>
            <w:pPr>
              <w:pStyle w:val="26"/>
              <w:spacing w:after="0" w:line="400" w:lineRule="exact"/>
              <w:contextualSpacing/>
              <w:jc w:val="center"/>
              <w:rPr>
                <w:rFonts w:ascii="Times New Roman" w:hAnsi="Times New Roman" w:eastAsia="仿宋_GB2312" w:cs="Times New Roman"/>
                <w:b/>
                <w:color w:val="auto"/>
                <w:kern w:val="2"/>
                <w:sz w:val="28"/>
                <w:szCs w:val="28"/>
              </w:rPr>
            </w:pPr>
            <w:r>
              <w:rPr>
                <w:rFonts w:hint="eastAsia" w:ascii="Times New Roman" w:hAnsi="Times New Roman" w:eastAsia="仿宋_GB2312" w:cs="Times New Roman"/>
                <w:b/>
                <w:color w:val="auto"/>
                <w:kern w:val="2"/>
                <w:sz w:val="28"/>
                <w:szCs w:val="28"/>
              </w:rPr>
              <w:t>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restart"/>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能量危险（源）</w:t>
            </w: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测试音能量过高</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患者承受过大的声压</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听力受损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continue"/>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如保护接地阻抗、漏电流、电介质强度不符合要求，应用部分与带电部分隔离不够，设备电源插头剩余电压过高，设备没有足够的外壳机械强度和刚度，耳机被电流击穿等。</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患者受到电击</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严重烧伤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continue"/>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电路或电池短路等。</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有可能造成使用者或受试者因热而烫伤或烧伤</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烫伤</w:t>
            </w:r>
          </w:p>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烧伤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continue"/>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 xml:space="preserve">物理：工作或存储环境超范围。 </w:t>
            </w:r>
          </w:p>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 xml:space="preserve">化学：电池漏液。 </w:t>
            </w:r>
          </w:p>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电磁场：电磁干扰。 产品报废时未按照医疗废弃物处理。</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造成环境污染、影响周围电器正常运转。</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延误治疗</w:t>
            </w:r>
          </w:p>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污染环境</w:t>
            </w:r>
          </w:p>
          <w:p>
            <w:pPr>
              <w:pStyle w:val="26"/>
              <w:spacing w:after="0" w:line="400" w:lineRule="exact"/>
              <w:contextualSpacing/>
              <w:jc w:val="center"/>
              <w:rPr>
                <w:rFonts w:ascii="Times New Roman" w:hAnsi="Times New Roman" w:eastAsia="仿宋_GB2312" w:cs="Times New Roman"/>
                <w:color w:val="auto"/>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continue"/>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跌落导致显示器、按键等部件损坏</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造成产品不能正常使用。</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延误治疗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restart"/>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生物学和化学危险（源）</w:t>
            </w: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如与人体可能接触的部件（如耳机）材料不符合生物相容性要求。</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有可能出现细胞毒性、致敏、刺激等伤害。</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过敏反应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continue"/>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如可重复使用的与人体接触部件（如耳机垫、骨振器、耳塞），在使用前后不按规范严格地清洁、消毒。如一次性使用的与人体接触部件（如一次性耳塞）被重复使用。</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有可能对受试者产生交叉感染的伤害。</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交叉污染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restart"/>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操作危险（源）</w:t>
            </w: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软件版本未及时更新，输出的音质频率不准、分贝不够，未按规定时间在第三方机构校准；产品受磨损导致功能退化、失效</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造成产品不能正常使用或测试结果不准确</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加重病情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1977" w:type="dxa"/>
            <w:vMerge w:val="continue"/>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该类产品使用比较复杂，操作人员未经过严格培训。</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有可能导致无法准确获取数据，对受试者造成间接伤害。</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损害听力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7" w:hRule="atLeast"/>
        </w:trPr>
        <w:tc>
          <w:tcPr>
            <w:tcW w:w="1977" w:type="dxa"/>
            <w:vAlign w:val="center"/>
          </w:tcPr>
          <w:p>
            <w:pPr>
              <w:pStyle w:val="26"/>
              <w:spacing w:after="0" w:line="400" w:lineRule="exact"/>
              <w:contextualSpacing/>
              <w:jc w:val="both"/>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信息危险（源）</w:t>
            </w:r>
          </w:p>
        </w:tc>
        <w:tc>
          <w:tcPr>
            <w:tcW w:w="2410"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如产品外部和内部标记不全面、标记不正确或不能够清楚易认，元器件标记不正确，标记不能够永久贴牢，缺少必要的警告说明、使用方法、技术参数等。</w:t>
            </w:r>
          </w:p>
        </w:tc>
        <w:tc>
          <w:tcPr>
            <w:tcW w:w="2126"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有可能导致操作者的错误操作</w:t>
            </w:r>
          </w:p>
        </w:tc>
        <w:tc>
          <w:tcPr>
            <w:tcW w:w="2694" w:type="dxa"/>
            <w:vAlign w:val="center"/>
          </w:tcPr>
          <w:p>
            <w:pPr>
              <w:pStyle w:val="26"/>
              <w:spacing w:after="0" w:line="400" w:lineRule="exact"/>
              <w:contextualSpacing/>
              <w:jc w:val="center"/>
              <w:rPr>
                <w:rFonts w:ascii="Times New Roman" w:hAnsi="Times New Roman" w:eastAsia="仿宋_GB2312" w:cs="Times New Roman"/>
                <w:color w:val="auto"/>
                <w:kern w:val="2"/>
                <w:sz w:val="28"/>
                <w:szCs w:val="28"/>
              </w:rPr>
            </w:pPr>
            <w:r>
              <w:rPr>
                <w:rFonts w:hint="eastAsia" w:ascii="Times New Roman" w:hAnsi="Times New Roman" w:eastAsia="仿宋_GB2312" w:cs="Times New Roman"/>
                <w:color w:val="auto"/>
                <w:kern w:val="2"/>
                <w:sz w:val="28"/>
                <w:szCs w:val="28"/>
              </w:rPr>
              <w:t>伤害患者</w:t>
            </w:r>
          </w:p>
        </w:tc>
      </w:tr>
    </w:tbl>
    <w:p>
      <w:pPr>
        <w:rPr>
          <w:rFonts w:eastAsia="仿宋_GB2312"/>
          <w:color w:val="000000"/>
          <w:szCs w:val="32"/>
        </w:rPr>
      </w:pPr>
    </w:p>
    <w:sectPr>
      <w:footerReference r:id="rId3" w:type="default"/>
      <w:footerReference r:id="rId4" w:type="even"/>
      <w:pgSz w:w="11906" w:h="16838"/>
      <w:pgMar w:top="1701" w:right="1588" w:bottom="1701" w:left="1588" w:header="851" w:footer="1207" w:gutter="0"/>
      <w:lnNumType w:countBy="1" w:restart="continuous"/>
      <w:pgNumType w:start="1"/>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dobe 仿宋 Std R">
    <w:altName w:val="方正仿宋_GBK"/>
    <w:panose1 w:val="00000000000000000000"/>
    <w:charset w:val="86"/>
    <w:family w:val="roman"/>
    <w:pitch w:val="default"/>
    <w:sig w:usb0="00000000" w:usb1="00000000" w:usb2="00000016" w:usb3="00000000" w:csb0="00060007" w:csb1="00000000"/>
  </w:font>
  <w:font w:name="DejaVu Sans">
    <w:panose1 w:val="020B0603030804020204"/>
    <w:charset w:val="00"/>
    <w:family w:val="roman"/>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Tahoma">
    <w:altName w:val="DejaVu Sans"/>
    <w:panose1 w:val="020B0604030504040204"/>
    <w:charset w:val="00"/>
    <w:family w:val="swiss"/>
    <w:pitch w:val="default"/>
    <w:sig w:usb0="00000000" w:usb1="00000000" w:usb2="00000029"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sz w:val="28"/>
        <w:szCs w:val="28"/>
      </w:rPr>
    </w:pPr>
    <w:r>
      <w:rPr>
        <w:sz w:val="28"/>
        <w:szCs w:val="28"/>
      </w:rPr>
      <w:t xml:space="preserve">— </w:t>
    </w:r>
    <w:sdt>
      <w:sdtPr>
        <w:rPr>
          <w:sz w:val="28"/>
          <w:szCs w:val="28"/>
        </w:rPr>
        <w:id w:val="90280837"/>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97</w:t>
        </w:r>
        <w:r>
          <w:rPr>
            <w:sz w:val="28"/>
            <w:szCs w:val="28"/>
          </w:rPr>
          <w:fldChar w:fldCharType="end"/>
        </w:r>
        <w:r>
          <w:rPr>
            <w:sz w:val="28"/>
            <w:szCs w:val="28"/>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80849"/>
    </w:sdtPr>
    <w:sdtContent>
      <w:p>
        <w:pPr>
          <w:pStyle w:val="7"/>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102</w:t>
        </w:r>
        <w:r>
          <w:rPr>
            <w:sz w:val="28"/>
            <w:szCs w:val="28"/>
          </w:rPr>
          <w:fldChar w:fldCharType="end"/>
        </w:r>
        <w:r>
          <w:rPr>
            <w:sz w:val="28"/>
            <w:szCs w:val="28"/>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420"/>
  <w:evenAndOddHeaders w:val="true"/>
  <w:drawingGridHorizontalSpacing w:val="106"/>
  <w:drawingGridVerticalSpacing w:val="435"/>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YmM4ZDdmNTA5NTgxMTRmODNjZjY5MDg3NDhiOGMifQ=="/>
  </w:docVars>
  <w:rsids>
    <w:rsidRoot w:val="00787F7E"/>
    <w:rsid w:val="00011BB4"/>
    <w:rsid w:val="00020162"/>
    <w:rsid w:val="00021955"/>
    <w:rsid w:val="000220F3"/>
    <w:rsid w:val="000309BB"/>
    <w:rsid w:val="000313EC"/>
    <w:rsid w:val="000355F7"/>
    <w:rsid w:val="00045399"/>
    <w:rsid w:val="000550C1"/>
    <w:rsid w:val="00056A28"/>
    <w:rsid w:val="00060C10"/>
    <w:rsid w:val="0006407A"/>
    <w:rsid w:val="00072F4C"/>
    <w:rsid w:val="0007686E"/>
    <w:rsid w:val="000912F0"/>
    <w:rsid w:val="0009278E"/>
    <w:rsid w:val="000A309D"/>
    <w:rsid w:val="000B000C"/>
    <w:rsid w:val="000B091A"/>
    <w:rsid w:val="000B4C9B"/>
    <w:rsid w:val="000C48A1"/>
    <w:rsid w:val="000C686B"/>
    <w:rsid w:val="000D6E25"/>
    <w:rsid w:val="000E5335"/>
    <w:rsid w:val="000E7D53"/>
    <w:rsid w:val="001013AD"/>
    <w:rsid w:val="00112FC5"/>
    <w:rsid w:val="00132E1B"/>
    <w:rsid w:val="00145167"/>
    <w:rsid w:val="00145339"/>
    <w:rsid w:val="0015266E"/>
    <w:rsid w:val="001543D9"/>
    <w:rsid w:val="0015622E"/>
    <w:rsid w:val="00164B94"/>
    <w:rsid w:val="001724C7"/>
    <w:rsid w:val="00195E70"/>
    <w:rsid w:val="001C1DCB"/>
    <w:rsid w:val="001C3A87"/>
    <w:rsid w:val="001D3992"/>
    <w:rsid w:val="001D7C99"/>
    <w:rsid w:val="001E0961"/>
    <w:rsid w:val="001F2C45"/>
    <w:rsid w:val="002058CE"/>
    <w:rsid w:val="002101DC"/>
    <w:rsid w:val="002138E8"/>
    <w:rsid w:val="0021659B"/>
    <w:rsid w:val="0023533A"/>
    <w:rsid w:val="00241E57"/>
    <w:rsid w:val="00242375"/>
    <w:rsid w:val="00244DF7"/>
    <w:rsid w:val="002459E2"/>
    <w:rsid w:val="00246390"/>
    <w:rsid w:val="00255334"/>
    <w:rsid w:val="00260BEC"/>
    <w:rsid w:val="0026293F"/>
    <w:rsid w:val="00265889"/>
    <w:rsid w:val="00270EC6"/>
    <w:rsid w:val="00271005"/>
    <w:rsid w:val="00272A98"/>
    <w:rsid w:val="00275A48"/>
    <w:rsid w:val="00276C3D"/>
    <w:rsid w:val="00277473"/>
    <w:rsid w:val="00281311"/>
    <w:rsid w:val="00281565"/>
    <w:rsid w:val="00290DDF"/>
    <w:rsid w:val="00291759"/>
    <w:rsid w:val="00294D2B"/>
    <w:rsid w:val="00295369"/>
    <w:rsid w:val="002A1DAB"/>
    <w:rsid w:val="002B03C7"/>
    <w:rsid w:val="002B2048"/>
    <w:rsid w:val="002B24A0"/>
    <w:rsid w:val="002D3B6C"/>
    <w:rsid w:val="002D4839"/>
    <w:rsid w:val="002E07B2"/>
    <w:rsid w:val="002E444D"/>
    <w:rsid w:val="002F2978"/>
    <w:rsid w:val="00300E59"/>
    <w:rsid w:val="00302F24"/>
    <w:rsid w:val="0030368E"/>
    <w:rsid w:val="00303E44"/>
    <w:rsid w:val="0030471C"/>
    <w:rsid w:val="00312A1B"/>
    <w:rsid w:val="003137C1"/>
    <w:rsid w:val="0031780A"/>
    <w:rsid w:val="00323FEF"/>
    <w:rsid w:val="00326EE6"/>
    <w:rsid w:val="00327E51"/>
    <w:rsid w:val="00331548"/>
    <w:rsid w:val="0033174D"/>
    <w:rsid w:val="00332D44"/>
    <w:rsid w:val="00332DE8"/>
    <w:rsid w:val="003377A6"/>
    <w:rsid w:val="00342770"/>
    <w:rsid w:val="003450A4"/>
    <w:rsid w:val="00350A16"/>
    <w:rsid w:val="003549E8"/>
    <w:rsid w:val="00355421"/>
    <w:rsid w:val="00364911"/>
    <w:rsid w:val="00365AB2"/>
    <w:rsid w:val="00366468"/>
    <w:rsid w:val="003735F8"/>
    <w:rsid w:val="0037408E"/>
    <w:rsid w:val="00375B0A"/>
    <w:rsid w:val="003A148B"/>
    <w:rsid w:val="003A30F7"/>
    <w:rsid w:val="003B536E"/>
    <w:rsid w:val="003B7470"/>
    <w:rsid w:val="003B769E"/>
    <w:rsid w:val="003C10A7"/>
    <w:rsid w:val="003D35D9"/>
    <w:rsid w:val="003E0FA8"/>
    <w:rsid w:val="00400901"/>
    <w:rsid w:val="00400CFB"/>
    <w:rsid w:val="00410598"/>
    <w:rsid w:val="004111C3"/>
    <w:rsid w:val="0041581E"/>
    <w:rsid w:val="00416B80"/>
    <w:rsid w:val="00417514"/>
    <w:rsid w:val="00422C5C"/>
    <w:rsid w:val="00422D3A"/>
    <w:rsid w:val="0042389D"/>
    <w:rsid w:val="00423A54"/>
    <w:rsid w:val="00424727"/>
    <w:rsid w:val="0042556D"/>
    <w:rsid w:val="004300DF"/>
    <w:rsid w:val="00435AC6"/>
    <w:rsid w:val="00440708"/>
    <w:rsid w:val="004408E4"/>
    <w:rsid w:val="00440AA4"/>
    <w:rsid w:val="004410B9"/>
    <w:rsid w:val="00442F7A"/>
    <w:rsid w:val="0045151A"/>
    <w:rsid w:val="00455D83"/>
    <w:rsid w:val="00483A83"/>
    <w:rsid w:val="00483AB4"/>
    <w:rsid w:val="00494EDB"/>
    <w:rsid w:val="004B100F"/>
    <w:rsid w:val="004B2F13"/>
    <w:rsid w:val="004C15C7"/>
    <w:rsid w:val="004C4DBC"/>
    <w:rsid w:val="004D1066"/>
    <w:rsid w:val="004E39ED"/>
    <w:rsid w:val="004E7643"/>
    <w:rsid w:val="004F0151"/>
    <w:rsid w:val="004F542F"/>
    <w:rsid w:val="004F6769"/>
    <w:rsid w:val="005041BA"/>
    <w:rsid w:val="00526623"/>
    <w:rsid w:val="005277E2"/>
    <w:rsid w:val="00530384"/>
    <w:rsid w:val="0053273B"/>
    <w:rsid w:val="00534F4C"/>
    <w:rsid w:val="0053675D"/>
    <w:rsid w:val="0055665B"/>
    <w:rsid w:val="00557F5D"/>
    <w:rsid w:val="005609D1"/>
    <w:rsid w:val="00572C4A"/>
    <w:rsid w:val="00577097"/>
    <w:rsid w:val="00581742"/>
    <w:rsid w:val="0058390F"/>
    <w:rsid w:val="00584FF6"/>
    <w:rsid w:val="0058708E"/>
    <w:rsid w:val="00593F97"/>
    <w:rsid w:val="00595FF7"/>
    <w:rsid w:val="005A1410"/>
    <w:rsid w:val="005A204F"/>
    <w:rsid w:val="005A5694"/>
    <w:rsid w:val="005A7143"/>
    <w:rsid w:val="005B0491"/>
    <w:rsid w:val="005B61BF"/>
    <w:rsid w:val="005C2DB4"/>
    <w:rsid w:val="005D03FF"/>
    <w:rsid w:val="005D1959"/>
    <w:rsid w:val="005D7FB4"/>
    <w:rsid w:val="005F34BC"/>
    <w:rsid w:val="005F5628"/>
    <w:rsid w:val="005F6821"/>
    <w:rsid w:val="005F6A23"/>
    <w:rsid w:val="006005DA"/>
    <w:rsid w:val="006014D4"/>
    <w:rsid w:val="00612D09"/>
    <w:rsid w:val="006153A9"/>
    <w:rsid w:val="00631B7D"/>
    <w:rsid w:val="0063243D"/>
    <w:rsid w:val="00635568"/>
    <w:rsid w:val="00641756"/>
    <w:rsid w:val="00650E29"/>
    <w:rsid w:val="006625B8"/>
    <w:rsid w:val="006671F9"/>
    <w:rsid w:val="0066764F"/>
    <w:rsid w:val="00670933"/>
    <w:rsid w:val="00673973"/>
    <w:rsid w:val="0067540C"/>
    <w:rsid w:val="0067662B"/>
    <w:rsid w:val="00677B48"/>
    <w:rsid w:val="006A1165"/>
    <w:rsid w:val="006C00CB"/>
    <w:rsid w:val="006C0CCB"/>
    <w:rsid w:val="006C379F"/>
    <w:rsid w:val="006E5E16"/>
    <w:rsid w:val="006E68A9"/>
    <w:rsid w:val="006E7148"/>
    <w:rsid w:val="006F10D6"/>
    <w:rsid w:val="006F6454"/>
    <w:rsid w:val="00701003"/>
    <w:rsid w:val="00710885"/>
    <w:rsid w:val="00716619"/>
    <w:rsid w:val="00722C88"/>
    <w:rsid w:val="00722EF1"/>
    <w:rsid w:val="00725E46"/>
    <w:rsid w:val="00725EC2"/>
    <w:rsid w:val="007274AA"/>
    <w:rsid w:val="00733097"/>
    <w:rsid w:val="00733E9D"/>
    <w:rsid w:val="00741C94"/>
    <w:rsid w:val="00742623"/>
    <w:rsid w:val="00745098"/>
    <w:rsid w:val="0074681B"/>
    <w:rsid w:val="00747CAA"/>
    <w:rsid w:val="0075188F"/>
    <w:rsid w:val="00753D6F"/>
    <w:rsid w:val="007646FC"/>
    <w:rsid w:val="007819D7"/>
    <w:rsid w:val="00787F7E"/>
    <w:rsid w:val="007904F6"/>
    <w:rsid w:val="007A080A"/>
    <w:rsid w:val="007A5FB4"/>
    <w:rsid w:val="007B265E"/>
    <w:rsid w:val="007B2801"/>
    <w:rsid w:val="007B5B4D"/>
    <w:rsid w:val="007B70DF"/>
    <w:rsid w:val="007C7A81"/>
    <w:rsid w:val="007D341A"/>
    <w:rsid w:val="007E01B2"/>
    <w:rsid w:val="007F0497"/>
    <w:rsid w:val="007F3925"/>
    <w:rsid w:val="00815364"/>
    <w:rsid w:val="00816F7C"/>
    <w:rsid w:val="00821079"/>
    <w:rsid w:val="00821CB2"/>
    <w:rsid w:val="00825246"/>
    <w:rsid w:val="008307CE"/>
    <w:rsid w:val="0083167C"/>
    <w:rsid w:val="0083192A"/>
    <w:rsid w:val="00845C30"/>
    <w:rsid w:val="008461E5"/>
    <w:rsid w:val="0086147D"/>
    <w:rsid w:val="008748F2"/>
    <w:rsid w:val="00874A21"/>
    <w:rsid w:val="008804BD"/>
    <w:rsid w:val="00883813"/>
    <w:rsid w:val="008867C4"/>
    <w:rsid w:val="008961B3"/>
    <w:rsid w:val="008A4979"/>
    <w:rsid w:val="008B4093"/>
    <w:rsid w:val="008B5473"/>
    <w:rsid w:val="008C01DA"/>
    <w:rsid w:val="008D50AE"/>
    <w:rsid w:val="008E7E41"/>
    <w:rsid w:val="008F052D"/>
    <w:rsid w:val="009010CE"/>
    <w:rsid w:val="009030F3"/>
    <w:rsid w:val="00906133"/>
    <w:rsid w:val="00907F95"/>
    <w:rsid w:val="00920442"/>
    <w:rsid w:val="00920A47"/>
    <w:rsid w:val="0093244C"/>
    <w:rsid w:val="009367EA"/>
    <w:rsid w:val="00937F0E"/>
    <w:rsid w:val="009454DD"/>
    <w:rsid w:val="00955385"/>
    <w:rsid w:val="00960741"/>
    <w:rsid w:val="009775E7"/>
    <w:rsid w:val="0098100B"/>
    <w:rsid w:val="00981F61"/>
    <w:rsid w:val="0098773B"/>
    <w:rsid w:val="0099753A"/>
    <w:rsid w:val="009B2747"/>
    <w:rsid w:val="009B2875"/>
    <w:rsid w:val="009C047E"/>
    <w:rsid w:val="009C22BC"/>
    <w:rsid w:val="009C41FF"/>
    <w:rsid w:val="009C5A22"/>
    <w:rsid w:val="009E2514"/>
    <w:rsid w:val="009E6B9B"/>
    <w:rsid w:val="009F209D"/>
    <w:rsid w:val="009F4F3B"/>
    <w:rsid w:val="00A0033B"/>
    <w:rsid w:val="00A050F7"/>
    <w:rsid w:val="00A23EC2"/>
    <w:rsid w:val="00A24E04"/>
    <w:rsid w:val="00A253BE"/>
    <w:rsid w:val="00A25C1A"/>
    <w:rsid w:val="00A37CA7"/>
    <w:rsid w:val="00A44FE1"/>
    <w:rsid w:val="00A73BFE"/>
    <w:rsid w:val="00AA1C85"/>
    <w:rsid w:val="00AA4FCB"/>
    <w:rsid w:val="00AB0847"/>
    <w:rsid w:val="00AB660B"/>
    <w:rsid w:val="00AB7E5C"/>
    <w:rsid w:val="00AD08D9"/>
    <w:rsid w:val="00AD495F"/>
    <w:rsid w:val="00AD6C06"/>
    <w:rsid w:val="00AD6F5B"/>
    <w:rsid w:val="00AF3558"/>
    <w:rsid w:val="00AF518D"/>
    <w:rsid w:val="00AF5D76"/>
    <w:rsid w:val="00AF6165"/>
    <w:rsid w:val="00AF6484"/>
    <w:rsid w:val="00B04621"/>
    <w:rsid w:val="00B12719"/>
    <w:rsid w:val="00B22F08"/>
    <w:rsid w:val="00B25163"/>
    <w:rsid w:val="00B2518E"/>
    <w:rsid w:val="00B2521D"/>
    <w:rsid w:val="00B30A72"/>
    <w:rsid w:val="00B32D3F"/>
    <w:rsid w:val="00B41578"/>
    <w:rsid w:val="00B42B3C"/>
    <w:rsid w:val="00B542C5"/>
    <w:rsid w:val="00B66355"/>
    <w:rsid w:val="00B9118A"/>
    <w:rsid w:val="00B9415E"/>
    <w:rsid w:val="00B9497A"/>
    <w:rsid w:val="00BA5344"/>
    <w:rsid w:val="00BB4A3C"/>
    <w:rsid w:val="00BB6175"/>
    <w:rsid w:val="00BC2983"/>
    <w:rsid w:val="00BC698B"/>
    <w:rsid w:val="00BC7C84"/>
    <w:rsid w:val="00BD300F"/>
    <w:rsid w:val="00BD3141"/>
    <w:rsid w:val="00BD42C6"/>
    <w:rsid w:val="00BE669C"/>
    <w:rsid w:val="00BE7E51"/>
    <w:rsid w:val="00BF7593"/>
    <w:rsid w:val="00C0562D"/>
    <w:rsid w:val="00C062F9"/>
    <w:rsid w:val="00C151FE"/>
    <w:rsid w:val="00C2262A"/>
    <w:rsid w:val="00C25F69"/>
    <w:rsid w:val="00C3007F"/>
    <w:rsid w:val="00C40950"/>
    <w:rsid w:val="00C41BF5"/>
    <w:rsid w:val="00C42B70"/>
    <w:rsid w:val="00C44CF8"/>
    <w:rsid w:val="00C55908"/>
    <w:rsid w:val="00C55C2E"/>
    <w:rsid w:val="00C56226"/>
    <w:rsid w:val="00C65C5B"/>
    <w:rsid w:val="00C71727"/>
    <w:rsid w:val="00C74FAB"/>
    <w:rsid w:val="00C920CF"/>
    <w:rsid w:val="00C94C07"/>
    <w:rsid w:val="00C955D1"/>
    <w:rsid w:val="00CA0BE6"/>
    <w:rsid w:val="00CA2289"/>
    <w:rsid w:val="00CB4B42"/>
    <w:rsid w:val="00CB4CCD"/>
    <w:rsid w:val="00CC3BF8"/>
    <w:rsid w:val="00CD1907"/>
    <w:rsid w:val="00CE1603"/>
    <w:rsid w:val="00CE2351"/>
    <w:rsid w:val="00CE24E2"/>
    <w:rsid w:val="00D076F0"/>
    <w:rsid w:val="00D162C0"/>
    <w:rsid w:val="00D1672E"/>
    <w:rsid w:val="00D256A9"/>
    <w:rsid w:val="00D277BD"/>
    <w:rsid w:val="00D30F16"/>
    <w:rsid w:val="00D32614"/>
    <w:rsid w:val="00D36F91"/>
    <w:rsid w:val="00D4450D"/>
    <w:rsid w:val="00D52786"/>
    <w:rsid w:val="00D6685B"/>
    <w:rsid w:val="00D73732"/>
    <w:rsid w:val="00D75E36"/>
    <w:rsid w:val="00D865D6"/>
    <w:rsid w:val="00DA2DC1"/>
    <w:rsid w:val="00DB1CED"/>
    <w:rsid w:val="00DB4ED8"/>
    <w:rsid w:val="00DC26FC"/>
    <w:rsid w:val="00DC3951"/>
    <w:rsid w:val="00DD05B8"/>
    <w:rsid w:val="00DD740E"/>
    <w:rsid w:val="00DE5429"/>
    <w:rsid w:val="00DE6920"/>
    <w:rsid w:val="00DE7B36"/>
    <w:rsid w:val="00DF14A5"/>
    <w:rsid w:val="00E027C4"/>
    <w:rsid w:val="00E07E6A"/>
    <w:rsid w:val="00E1071C"/>
    <w:rsid w:val="00E113E4"/>
    <w:rsid w:val="00E11D78"/>
    <w:rsid w:val="00E16CD0"/>
    <w:rsid w:val="00E236D2"/>
    <w:rsid w:val="00E32A82"/>
    <w:rsid w:val="00E343F9"/>
    <w:rsid w:val="00E451B8"/>
    <w:rsid w:val="00E51819"/>
    <w:rsid w:val="00E722BD"/>
    <w:rsid w:val="00E72EF4"/>
    <w:rsid w:val="00E7330F"/>
    <w:rsid w:val="00E771F1"/>
    <w:rsid w:val="00E77CC1"/>
    <w:rsid w:val="00E80C00"/>
    <w:rsid w:val="00E871D8"/>
    <w:rsid w:val="00EA409B"/>
    <w:rsid w:val="00EA4E11"/>
    <w:rsid w:val="00EA5C3B"/>
    <w:rsid w:val="00EB1A04"/>
    <w:rsid w:val="00EB3EEC"/>
    <w:rsid w:val="00EC06AE"/>
    <w:rsid w:val="00EC523A"/>
    <w:rsid w:val="00EC5356"/>
    <w:rsid w:val="00EC6DF4"/>
    <w:rsid w:val="00ED0226"/>
    <w:rsid w:val="00ED254D"/>
    <w:rsid w:val="00EE0C49"/>
    <w:rsid w:val="00EE1269"/>
    <w:rsid w:val="00EE261B"/>
    <w:rsid w:val="00EE3620"/>
    <w:rsid w:val="00EE4EBB"/>
    <w:rsid w:val="00F050E1"/>
    <w:rsid w:val="00F07829"/>
    <w:rsid w:val="00F31CB3"/>
    <w:rsid w:val="00F43917"/>
    <w:rsid w:val="00F45E55"/>
    <w:rsid w:val="00F465BD"/>
    <w:rsid w:val="00F50EA9"/>
    <w:rsid w:val="00F61715"/>
    <w:rsid w:val="00F65DEC"/>
    <w:rsid w:val="00F65E5E"/>
    <w:rsid w:val="00F73440"/>
    <w:rsid w:val="00F801A1"/>
    <w:rsid w:val="00F81D1A"/>
    <w:rsid w:val="00F90809"/>
    <w:rsid w:val="00FA017C"/>
    <w:rsid w:val="00FA36EA"/>
    <w:rsid w:val="00FB46B2"/>
    <w:rsid w:val="00FC6BE6"/>
    <w:rsid w:val="00FD6BEA"/>
    <w:rsid w:val="00FE467B"/>
    <w:rsid w:val="00FF0F38"/>
    <w:rsid w:val="00FF59C6"/>
    <w:rsid w:val="00FF5FA0"/>
    <w:rsid w:val="16977CA1"/>
    <w:rsid w:val="16C94348"/>
    <w:rsid w:val="18D25736"/>
    <w:rsid w:val="1B0D0CA7"/>
    <w:rsid w:val="1B2A59D7"/>
    <w:rsid w:val="1BA13662"/>
    <w:rsid w:val="1BFB604B"/>
    <w:rsid w:val="1DE8035D"/>
    <w:rsid w:val="212C5BFF"/>
    <w:rsid w:val="232B39FD"/>
    <w:rsid w:val="34873421"/>
    <w:rsid w:val="3FEE255C"/>
    <w:rsid w:val="40FF3D67"/>
    <w:rsid w:val="45190605"/>
    <w:rsid w:val="46CC49F1"/>
    <w:rsid w:val="4ACFE77B"/>
    <w:rsid w:val="4E447F77"/>
    <w:rsid w:val="4FF3D9DA"/>
    <w:rsid w:val="539D9469"/>
    <w:rsid w:val="55FD70D1"/>
    <w:rsid w:val="59FFABE9"/>
    <w:rsid w:val="5B1F2F83"/>
    <w:rsid w:val="5B3EDE9F"/>
    <w:rsid w:val="5E1E47E9"/>
    <w:rsid w:val="5F1D419E"/>
    <w:rsid w:val="5FF72283"/>
    <w:rsid w:val="60B669BE"/>
    <w:rsid w:val="66E708F1"/>
    <w:rsid w:val="67B5594E"/>
    <w:rsid w:val="67FF5078"/>
    <w:rsid w:val="6B737129"/>
    <w:rsid w:val="6DB69B7D"/>
    <w:rsid w:val="6EA011DA"/>
    <w:rsid w:val="6F7F35BF"/>
    <w:rsid w:val="6FBFF134"/>
    <w:rsid w:val="73117D7E"/>
    <w:rsid w:val="732B0E40"/>
    <w:rsid w:val="73BFC267"/>
    <w:rsid w:val="743747F3"/>
    <w:rsid w:val="77804950"/>
    <w:rsid w:val="7B7D0CA9"/>
    <w:rsid w:val="7D446E3B"/>
    <w:rsid w:val="7E5D47F5"/>
    <w:rsid w:val="7FDFEE65"/>
    <w:rsid w:val="7FEF4754"/>
    <w:rsid w:val="7FF59B92"/>
    <w:rsid w:val="7FFB7444"/>
    <w:rsid w:val="AEE6E374"/>
    <w:rsid w:val="B36D62A2"/>
    <w:rsid w:val="B7BB3199"/>
    <w:rsid w:val="BCDB9DA9"/>
    <w:rsid w:val="BFFFB5CC"/>
    <w:rsid w:val="C37F876A"/>
    <w:rsid w:val="DEF70035"/>
    <w:rsid w:val="DFFFE17D"/>
    <w:rsid w:val="ED776AC6"/>
    <w:rsid w:val="EDBE5B56"/>
    <w:rsid w:val="EF7ACDB5"/>
    <w:rsid w:val="EF9F915E"/>
    <w:rsid w:val="F0D33C3B"/>
    <w:rsid w:val="F66F0AED"/>
    <w:rsid w:val="F7DF27F4"/>
    <w:rsid w:val="FBB7C68F"/>
    <w:rsid w:val="FDF752B8"/>
    <w:rsid w:val="FF7F9E8F"/>
    <w:rsid w:val="FFFAAEAA"/>
    <w:rsid w:val="FFFBBE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dobe 仿宋 Std R" w:cs="Times New Roman"/>
      <w:kern w:val="2"/>
      <w:sz w:val="32"/>
      <w:szCs w:val="24"/>
      <w:lang w:val="en-US" w:eastAsia="zh-CN" w:bidi="ar-SA"/>
    </w:rPr>
  </w:style>
  <w:style w:type="paragraph" w:styleId="3">
    <w:name w:val="heading 1"/>
    <w:basedOn w:val="1"/>
    <w:next w:val="1"/>
    <w:link w:val="22"/>
    <w:qFormat/>
    <w:uiPriority w:val="9"/>
    <w:pPr>
      <w:spacing w:beforeLines="50" w:afterLines="50"/>
      <w:ind w:left="1429"/>
      <w:outlineLvl w:val="0"/>
    </w:pPr>
    <w:rPr>
      <w:rFonts w:ascii="Calibri" w:hAnsi="Calibri" w:eastAsia="黑体"/>
      <w:szCs w:val="22"/>
    </w:rPr>
  </w:style>
  <w:style w:type="paragraph" w:styleId="4">
    <w:name w:val="heading 2"/>
    <w:basedOn w:val="1"/>
    <w:next w:val="1"/>
    <w:semiHidden/>
    <w:unhideWhenUsed/>
    <w:qFormat/>
    <w:uiPriority w:val="9"/>
    <w:pPr>
      <w:spacing w:beforeAutospacing="1" w:afterAutospacing="1"/>
      <w:jc w:val="left"/>
      <w:outlineLvl w:val="1"/>
    </w:pPr>
    <w:rPr>
      <w:rFonts w:hint="eastAsia" w:ascii="宋体" w:hAnsi="宋体" w:eastAsia="宋体"/>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rFonts w:ascii="Times New Roman" w:hAnsi="Times New Roman" w:eastAsia="宋体" w:cs="Times New Roman"/>
      <w:szCs w:val="24"/>
    </w:rPr>
  </w:style>
  <w:style w:type="paragraph" w:styleId="5">
    <w:name w:val="annotation text"/>
    <w:basedOn w:val="1"/>
    <w:link w:val="19"/>
    <w:semiHidden/>
    <w:unhideWhenUsed/>
    <w:qFormat/>
    <w:uiPriority w:val="99"/>
    <w:pPr>
      <w:jc w:val="left"/>
    </w:pPr>
  </w:style>
  <w:style w:type="paragraph" w:styleId="6">
    <w:name w:val="Balloon Text"/>
    <w:basedOn w:val="1"/>
    <w:link w:val="17"/>
    <w:semiHidden/>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rPr>
  </w:style>
  <w:style w:type="paragraph" w:styleId="8">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9">
    <w:name w:val="annotation subject"/>
    <w:basedOn w:val="5"/>
    <w:next w:val="5"/>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line number"/>
    <w:basedOn w:val="12"/>
    <w:semiHidden/>
    <w:unhideWhenUsed/>
    <w:qFormat/>
    <w:uiPriority w:val="99"/>
  </w:style>
  <w:style w:type="character" w:styleId="14">
    <w:name w:val="annotation reference"/>
    <w:basedOn w:val="12"/>
    <w:semiHidden/>
    <w:unhideWhenUsed/>
    <w:qFormat/>
    <w:uiPriority w:val="99"/>
    <w:rPr>
      <w:sz w:val="21"/>
      <w:szCs w:val="21"/>
    </w:rPr>
  </w:style>
  <w:style w:type="paragraph" w:customStyle="1" w:styleId="15">
    <w:name w:val="列出段落1"/>
    <w:basedOn w:val="1"/>
    <w:link w:val="16"/>
    <w:qFormat/>
    <w:uiPriority w:val="34"/>
    <w:pPr>
      <w:ind w:firstLine="420" w:firstLineChars="200"/>
    </w:pPr>
    <w:rPr>
      <w:rFonts w:eastAsia="仿宋_GB2312"/>
      <w:szCs w:val="32"/>
    </w:rPr>
  </w:style>
  <w:style w:type="character" w:customStyle="1" w:styleId="16">
    <w:name w:val="列出段落 Char"/>
    <w:basedOn w:val="12"/>
    <w:link w:val="15"/>
    <w:qFormat/>
    <w:uiPriority w:val="34"/>
    <w:rPr>
      <w:rFonts w:ascii="Times New Roman" w:hAnsi="Times New Roman" w:eastAsia="仿宋_GB2312" w:cs="Times New Roman"/>
      <w:sz w:val="32"/>
      <w:szCs w:val="32"/>
    </w:rPr>
  </w:style>
  <w:style w:type="character" w:customStyle="1" w:styleId="17">
    <w:name w:val="批注框文本 字符"/>
    <w:basedOn w:val="12"/>
    <w:link w:val="6"/>
    <w:semiHidden/>
    <w:qFormat/>
    <w:uiPriority w:val="99"/>
    <w:rPr>
      <w:rFonts w:ascii="Times New Roman" w:hAnsi="Times New Roman" w:eastAsia="Adobe 仿宋 Std R" w:cs="Times New Roman"/>
      <w:kern w:val="2"/>
      <w:sz w:val="18"/>
      <w:szCs w:val="18"/>
    </w:rPr>
  </w:style>
  <w:style w:type="paragraph" w:styleId="18">
    <w:name w:val="List Paragraph"/>
    <w:basedOn w:val="1"/>
    <w:link w:val="23"/>
    <w:unhideWhenUsed/>
    <w:qFormat/>
    <w:uiPriority w:val="34"/>
    <w:pPr>
      <w:ind w:firstLine="420" w:firstLineChars="200"/>
    </w:pPr>
  </w:style>
  <w:style w:type="character" w:customStyle="1" w:styleId="19">
    <w:name w:val="批注文字 字符"/>
    <w:basedOn w:val="12"/>
    <w:link w:val="5"/>
    <w:semiHidden/>
    <w:qFormat/>
    <w:uiPriority w:val="99"/>
    <w:rPr>
      <w:rFonts w:ascii="Times New Roman" w:hAnsi="Times New Roman" w:eastAsia="Adobe 仿宋 Std R" w:cs="Times New Roman"/>
      <w:kern w:val="2"/>
      <w:sz w:val="32"/>
      <w:szCs w:val="24"/>
    </w:rPr>
  </w:style>
  <w:style w:type="character" w:customStyle="1" w:styleId="20">
    <w:name w:val="批注主题 字符"/>
    <w:basedOn w:val="19"/>
    <w:link w:val="9"/>
    <w:semiHidden/>
    <w:qFormat/>
    <w:uiPriority w:val="99"/>
    <w:rPr>
      <w:rFonts w:ascii="Times New Roman" w:hAnsi="Times New Roman" w:eastAsia="Adobe 仿宋 Std R" w:cs="Times New Roman"/>
      <w:b/>
      <w:bCs/>
      <w:kern w:val="2"/>
      <w:sz w:val="32"/>
      <w:szCs w:val="24"/>
    </w:rPr>
  </w:style>
  <w:style w:type="character" w:customStyle="1" w:styleId="21">
    <w:name w:val="页脚 字符"/>
    <w:basedOn w:val="12"/>
    <w:link w:val="7"/>
    <w:qFormat/>
    <w:uiPriority w:val="99"/>
    <w:rPr>
      <w:rFonts w:ascii="Times New Roman" w:hAnsi="Times New Roman" w:eastAsia="Adobe 仿宋 Std R" w:cs="Times New Roman"/>
      <w:kern w:val="2"/>
      <w:sz w:val="18"/>
      <w:szCs w:val="24"/>
    </w:rPr>
  </w:style>
  <w:style w:type="character" w:customStyle="1" w:styleId="22">
    <w:name w:val="标题 1 字符"/>
    <w:basedOn w:val="12"/>
    <w:link w:val="3"/>
    <w:qFormat/>
    <w:uiPriority w:val="9"/>
    <w:rPr>
      <w:rFonts w:ascii="Calibri" w:hAnsi="Calibri" w:eastAsia="黑体" w:cs="Times New Roman"/>
      <w:kern w:val="2"/>
      <w:sz w:val="32"/>
      <w:szCs w:val="22"/>
    </w:rPr>
  </w:style>
  <w:style w:type="character" w:customStyle="1" w:styleId="23">
    <w:name w:val="列出段落 字符"/>
    <w:link w:val="18"/>
    <w:qFormat/>
    <w:uiPriority w:val="34"/>
    <w:rPr>
      <w:rFonts w:ascii="Times New Roman" w:hAnsi="Times New Roman" w:eastAsia="Adobe 仿宋 Std R" w:cs="Times New Roman"/>
      <w:kern w:val="2"/>
      <w:sz w:val="32"/>
      <w:szCs w:val="24"/>
    </w:rPr>
  </w:style>
  <w:style w:type="paragraph" w:customStyle="1" w:styleId="24">
    <w:name w:val="_Style 19"/>
    <w:basedOn w:val="1"/>
    <w:next w:val="18"/>
    <w:qFormat/>
    <w:uiPriority w:val="34"/>
    <w:pPr>
      <w:ind w:firstLine="420" w:firstLineChars="200"/>
    </w:pPr>
    <w:rPr>
      <w:rFonts w:eastAsia="宋体"/>
      <w:sz w:val="21"/>
    </w:r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正文 A"/>
    <w:qFormat/>
    <w:uiPriority w:val="0"/>
    <w:pPr>
      <w:spacing w:after="160" w:line="259" w:lineRule="auto"/>
    </w:pPr>
    <w:rPr>
      <w:rFonts w:ascii="等线" w:hAnsi="等线" w:eastAsia="等线" w:cs="等线"/>
      <w:color w:val="000000"/>
      <w:sz w:val="22"/>
      <w:szCs w:val="22"/>
      <w:lang w:val="en-US" w:eastAsia="zh-CN" w:bidi="ar-SA"/>
    </w:rPr>
  </w:style>
  <w:style w:type="paragraph" w:styleId="27">
    <w:name w:val="No Spacing"/>
    <w:qFormat/>
    <w:uiPriority w:val="0"/>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6599</Words>
  <Characters>7014</Characters>
  <Lines>51</Lines>
  <Paragraphs>14</Paragraphs>
  <TotalTime>9</TotalTime>
  <ScaleCrop>false</ScaleCrop>
  <LinksUpToDate>false</LinksUpToDate>
  <CharactersWithSpaces>7051</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2022-04-02T21:16:00Z</dcterms:created>
  <dc:creator>董利华</dc:creator>
  <cp:lastModifiedBy>蒋浩君</cp:lastModifiedBy>
  <dcterms:modified xsi:type="dcterms:W3CDTF">2026-07-27T21:30:19Z</dcterms:modified>
  <cp:revision>344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6A56F864323147A88C39D593865FDD81_13</vt:lpwstr>
  </property>
  <property fmtid="{D5CDD505-2E9C-101B-9397-08002B2CF9AE}" pid="4" name="KSOTemplateDocerSaveRecord">
    <vt:lpwstr>eyJoZGlkIjoiMjQxZDZiNjVkNmJlNGFkMDAyNTQ2ZTA4NzAyOWYzMzUiLCJ1c2VySWQiOiI0NDk0MTcyNzUifQ==</vt:lpwstr>
  </property>
</Properties>
</file>