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B937E">
      <w:pPr>
        <w:spacing w:line="520" w:lineRule="exact"/>
        <w:ind w:firstLine="0" w:firstLineChars="0"/>
        <w:jc w:val="center"/>
        <w:outlineLvl w:val="0"/>
        <w:rPr>
          <w:rFonts w:eastAsia="方正小标宋简体"/>
          <w:kern w:val="0"/>
          <w:sz w:val="44"/>
          <w:szCs w:val="44"/>
        </w:rPr>
      </w:pPr>
      <w:bookmarkStart w:id="0" w:name="_Toc2525"/>
      <w:bookmarkStart w:id="1" w:name="_Toc306265284"/>
      <w:bookmarkStart w:id="49" w:name="_GoBack"/>
      <w:r>
        <w:rPr>
          <w:rFonts w:hint="eastAsia" w:eastAsia="方正小标宋简体"/>
          <w:kern w:val="0"/>
          <w:sz w:val="44"/>
          <w:szCs w:val="44"/>
          <w:lang w:eastAsia="zh-CN"/>
        </w:rPr>
        <w:t>内窥镜冲洗吸引器</w:t>
      </w:r>
      <w:r>
        <w:rPr>
          <w:rFonts w:eastAsia="方正小标宋简体"/>
          <w:kern w:val="0"/>
          <w:sz w:val="44"/>
          <w:szCs w:val="44"/>
        </w:rPr>
        <w:t>注册审查指导原则</w:t>
      </w:r>
      <w:bookmarkEnd w:id="0"/>
      <w:bookmarkEnd w:id="49"/>
    </w:p>
    <w:p w14:paraId="23FB6DB0">
      <w:pPr>
        <w:spacing w:line="520" w:lineRule="exact"/>
        <w:ind w:firstLine="0" w:firstLineChars="0"/>
        <w:jc w:val="center"/>
        <w:outlineLvl w:val="0"/>
        <w:rPr>
          <w:rFonts w:eastAsia="方正小标宋简体"/>
          <w:kern w:val="0"/>
          <w:sz w:val="44"/>
          <w:szCs w:val="44"/>
        </w:rPr>
      </w:pPr>
      <w:r>
        <w:rPr>
          <w:rFonts w:eastAsia="方正小标宋简体"/>
          <w:kern w:val="0"/>
          <w:sz w:val="44"/>
          <w:szCs w:val="44"/>
        </w:rPr>
        <w:t>（</w:t>
      </w:r>
      <w:r>
        <w:rPr>
          <w:rFonts w:hint="eastAsia" w:eastAsia="方正小标宋简体"/>
          <w:kern w:val="0"/>
          <w:sz w:val="44"/>
          <w:szCs w:val="44"/>
          <w:lang w:val="en-US" w:eastAsia="zh-CN"/>
        </w:rPr>
        <w:t>征求意见</w:t>
      </w:r>
      <w:r>
        <w:rPr>
          <w:rFonts w:hint="eastAsia" w:eastAsia="方正小标宋简体"/>
          <w:kern w:val="0"/>
          <w:sz w:val="44"/>
          <w:szCs w:val="44"/>
          <w:lang w:eastAsia="zh-CN"/>
        </w:rPr>
        <w:t>稿</w:t>
      </w:r>
      <w:r>
        <w:rPr>
          <w:rFonts w:eastAsia="方正小标宋简体"/>
          <w:kern w:val="0"/>
          <w:sz w:val="44"/>
          <w:szCs w:val="44"/>
        </w:rPr>
        <w:t>）</w:t>
      </w:r>
    </w:p>
    <w:p w14:paraId="6A405BFD">
      <w:pPr>
        <w:pStyle w:val="65"/>
        <w:adjustRightInd/>
        <w:spacing w:line="520" w:lineRule="exact"/>
        <w:ind w:firstLine="640" w:firstLineChars="200"/>
        <w:jc w:val="both"/>
        <w:rPr>
          <w:rFonts w:ascii="Times New Roman" w:eastAsia="仿宋_GB2312" w:cs="Times New Roman"/>
          <w:color w:val="auto"/>
          <w:kern w:val="2"/>
          <w:sz w:val="32"/>
          <w:szCs w:val="32"/>
        </w:rPr>
      </w:pPr>
    </w:p>
    <w:p w14:paraId="46E41D32">
      <w:pPr>
        <w:spacing w:line="520" w:lineRule="exact"/>
        <w:ind w:firstLine="640"/>
        <w:jc w:val="left"/>
        <w:rPr>
          <w:kern w:val="0"/>
          <w:szCs w:val="32"/>
        </w:rPr>
      </w:pPr>
      <w:bookmarkStart w:id="2" w:name="_Toc833"/>
      <w:bookmarkStart w:id="3" w:name="_Toc13788"/>
      <w:bookmarkStart w:id="4" w:name="_Toc4147"/>
      <w:bookmarkStart w:id="5" w:name="_Toc434231389"/>
      <w:r>
        <w:rPr>
          <w:kern w:val="0"/>
          <w:szCs w:val="32"/>
        </w:rPr>
        <w:t>本指导原则旨在为技术审评部门审评</w:t>
      </w:r>
      <w:r>
        <w:rPr>
          <w:rFonts w:hint="eastAsia"/>
          <w:kern w:val="0"/>
          <w:szCs w:val="32"/>
          <w:lang w:eastAsia="zh-CN"/>
        </w:rPr>
        <w:t>内窥镜冲洗吸引器</w:t>
      </w:r>
      <w:r>
        <w:rPr>
          <w:kern w:val="0"/>
          <w:szCs w:val="32"/>
        </w:rPr>
        <w:t>注册申报资料提供参考，同时也用于指导注册申请人对申报资料的准备及撰写。</w:t>
      </w:r>
    </w:p>
    <w:p w14:paraId="018332CF">
      <w:pPr>
        <w:spacing w:line="520" w:lineRule="exact"/>
        <w:ind w:firstLine="640"/>
        <w:jc w:val="left"/>
        <w:rPr>
          <w:kern w:val="0"/>
          <w:szCs w:val="32"/>
        </w:rPr>
      </w:pPr>
      <w:r>
        <w:rPr>
          <w:kern w:val="0"/>
          <w:szCs w:val="32"/>
        </w:rPr>
        <w:t>本指导原则是对</w:t>
      </w:r>
      <w:r>
        <w:rPr>
          <w:rFonts w:hint="eastAsia"/>
          <w:kern w:val="0"/>
          <w:szCs w:val="32"/>
          <w:lang w:eastAsia="zh-CN"/>
        </w:rPr>
        <w:t>内窥镜冲洗吸引器</w:t>
      </w:r>
      <w:r>
        <w:rPr>
          <w:kern w:val="0"/>
          <w:szCs w:val="32"/>
        </w:rPr>
        <w:t>的一般要求，注册申请人应依据产品的具体特性确定其中内容是否适用，若不适用，需具体阐述理由及相应的科学依据，并依据产品的具体特性对注册申报资料的内容进行充实和细化。</w:t>
      </w:r>
    </w:p>
    <w:p w14:paraId="495C8916">
      <w:pPr>
        <w:spacing w:line="520" w:lineRule="exact"/>
        <w:ind w:firstLine="640"/>
        <w:jc w:val="left"/>
        <w:rPr>
          <w:kern w:val="0"/>
          <w:szCs w:val="32"/>
        </w:rPr>
      </w:pPr>
      <w:r>
        <w:rPr>
          <w:kern w:val="0"/>
          <w:szCs w:val="32"/>
        </w:rPr>
        <w:t>本指导原则是供注册申请人和审评人员使用的指导文件，不涉及注册审批等行政事项，亦不作为法规强制执行，如有能够满足法规要求的其他方法，也可以采用，但应提供详细的研究资料和验证资料。应在遵循相关法规的前提下使用本指导原则。</w:t>
      </w:r>
    </w:p>
    <w:p w14:paraId="1CE8ADC8">
      <w:pPr>
        <w:spacing w:line="520" w:lineRule="exact"/>
        <w:ind w:firstLine="640"/>
        <w:jc w:val="left"/>
        <w:rPr>
          <w:szCs w:val="32"/>
        </w:rPr>
      </w:pPr>
      <w:r>
        <w:rPr>
          <w:kern w:val="0"/>
          <w:szCs w:val="32"/>
        </w:rPr>
        <w:t>本指导原则是在现行法规、标准体系及当前认知水平下制定的，随着法规、标准体系的不断完善和科学技术的不断发展，本指导原则相关内容也将适时进行调整。</w:t>
      </w:r>
    </w:p>
    <w:p w14:paraId="1F5FAA01">
      <w:pPr>
        <w:spacing w:line="520" w:lineRule="exact"/>
        <w:ind w:firstLine="640"/>
        <w:jc w:val="left"/>
        <w:outlineLvl w:val="0"/>
        <w:rPr>
          <w:rFonts w:eastAsia="黑体"/>
          <w:szCs w:val="32"/>
        </w:rPr>
      </w:pPr>
      <w:r>
        <w:rPr>
          <w:rFonts w:eastAsia="黑体"/>
          <w:szCs w:val="32"/>
        </w:rPr>
        <w:t>一、适用范围</w:t>
      </w:r>
      <w:bookmarkEnd w:id="1"/>
      <w:bookmarkEnd w:id="2"/>
      <w:bookmarkEnd w:id="3"/>
      <w:bookmarkEnd w:id="4"/>
      <w:bookmarkEnd w:id="5"/>
    </w:p>
    <w:p w14:paraId="1B362E28">
      <w:pPr>
        <w:spacing w:line="520" w:lineRule="exact"/>
        <w:ind w:firstLine="640"/>
        <w:jc w:val="left"/>
        <w:rPr>
          <w:szCs w:val="32"/>
        </w:rPr>
      </w:pPr>
      <w:r>
        <w:rPr>
          <w:szCs w:val="32"/>
        </w:rPr>
        <w:t>本指导原则适用于</w:t>
      </w:r>
      <w:r>
        <w:rPr>
          <w:rFonts w:hint="eastAsia"/>
          <w:highlight w:val="none"/>
          <w:lang w:eastAsia="zh-CN"/>
        </w:rPr>
        <w:t>在内窥镜诊断和/或治疗/手术中保持内窥镜的观察视场区域不受到血液或异物阻挡</w:t>
      </w:r>
      <w:r>
        <w:rPr>
          <w:szCs w:val="32"/>
        </w:rPr>
        <w:t>的</w:t>
      </w:r>
      <w:r>
        <w:rPr>
          <w:rFonts w:hint="eastAsia"/>
          <w:szCs w:val="32"/>
          <w:lang w:eastAsia="zh-CN"/>
        </w:rPr>
        <w:t>内窥镜冲洗吸引器</w:t>
      </w:r>
      <w:r>
        <w:rPr>
          <w:szCs w:val="32"/>
        </w:rPr>
        <w:t>产品。</w:t>
      </w:r>
    </w:p>
    <w:p w14:paraId="1A2F1909">
      <w:pPr>
        <w:spacing w:line="520" w:lineRule="exact"/>
        <w:ind w:firstLine="640"/>
        <w:jc w:val="left"/>
        <w:rPr>
          <w:szCs w:val="32"/>
        </w:rPr>
      </w:pPr>
      <w:r>
        <w:rPr>
          <w:szCs w:val="32"/>
        </w:rPr>
        <w:t>本指导原则范围不包含用于非</w:t>
      </w:r>
      <w:r>
        <w:rPr>
          <w:rFonts w:hint="eastAsia"/>
          <w:szCs w:val="32"/>
        </w:rPr>
        <w:t>内窥镜诊断和/或治疗/手术中</w:t>
      </w:r>
      <w:r>
        <w:rPr>
          <w:szCs w:val="32"/>
        </w:rPr>
        <w:t>的非</w:t>
      </w:r>
      <w:r>
        <w:rPr>
          <w:rFonts w:hint="eastAsia"/>
          <w:szCs w:val="32"/>
          <w:lang w:eastAsia="zh-CN"/>
        </w:rPr>
        <w:t>内窥镜冲洗吸引器</w:t>
      </w:r>
      <w:r>
        <w:rPr>
          <w:szCs w:val="32"/>
        </w:rPr>
        <w:t>产品，但在审查这些设备时也可参考本指导原则</w:t>
      </w:r>
      <w:r>
        <w:rPr>
          <w:rFonts w:hint="eastAsia"/>
          <w:szCs w:val="32"/>
          <w:lang w:eastAsia="zh-CN"/>
        </w:rPr>
        <w:t>适用部分</w:t>
      </w:r>
      <w:r>
        <w:rPr>
          <w:szCs w:val="32"/>
        </w:rPr>
        <w:t>。</w:t>
      </w:r>
    </w:p>
    <w:p w14:paraId="64C6B78E">
      <w:pPr>
        <w:spacing w:line="520" w:lineRule="exact"/>
        <w:ind w:firstLine="640"/>
        <w:jc w:val="left"/>
        <w:outlineLvl w:val="0"/>
        <w:rPr>
          <w:rFonts w:eastAsia="黑体"/>
          <w:szCs w:val="32"/>
        </w:rPr>
      </w:pPr>
      <w:bookmarkStart w:id="6" w:name="_Toc4183"/>
      <w:bookmarkStart w:id="7" w:name="_Toc30548"/>
      <w:bookmarkStart w:id="8" w:name="_Toc5777"/>
      <w:r>
        <w:rPr>
          <w:rFonts w:eastAsia="黑体"/>
          <w:szCs w:val="32"/>
        </w:rPr>
        <w:t>二、注册审查要点</w:t>
      </w:r>
    </w:p>
    <w:p w14:paraId="1CB5FBA7">
      <w:pPr>
        <w:spacing w:line="520" w:lineRule="exact"/>
        <w:ind w:firstLine="640"/>
        <w:jc w:val="left"/>
        <w:outlineLvl w:val="1"/>
        <w:rPr>
          <w:rFonts w:eastAsia="楷体_GB2312"/>
          <w:szCs w:val="32"/>
        </w:rPr>
      </w:pPr>
      <w:r>
        <w:rPr>
          <w:rFonts w:eastAsia="楷体_GB2312"/>
          <w:szCs w:val="32"/>
        </w:rPr>
        <w:t>（一）监管信息</w:t>
      </w:r>
      <w:bookmarkEnd w:id="6"/>
      <w:bookmarkEnd w:id="7"/>
      <w:bookmarkEnd w:id="8"/>
    </w:p>
    <w:p w14:paraId="6BE0CBA4">
      <w:pPr>
        <w:spacing w:line="520" w:lineRule="exact"/>
        <w:ind w:firstLine="640"/>
        <w:jc w:val="left"/>
        <w:outlineLvl w:val="2"/>
        <w:rPr>
          <w:szCs w:val="32"/>
        </w:rPr>
      </w:pPr>
      <w:bookmarkStart w:id="9" w:name="_Toc4938"/>
      <w:bookmarkStart w:id="10" w:name="_Toc14554"/>
      <w:bookmarkStart w:id="11" w:name="_Toc31679"/>
      <w:r>
        <w:rPr>
          <w:szCs w:val="32"/>
        </w:rPr>
        <w:t>1.产品名称</w:t>
      </w:r>
      <w:bookmarkEnd w:id="9"/>
      <w:bookmarkEnd w:id="10"/>
      <w:bookmarkEnd w:id="11"/>
    </w:p>
    <w:p w14:paraId="6AFCD519">
      <w:pPr>
        <w:spacing w:line="520" w:lineRule="exact"/>
        <w:ind w:firstLine="640"/>
        <w:jc w:val="left"/>
        <w:rPr>
          <w:rFonts w:hint="eastAsia"/>
          <w:szCs w:val="32"/>
          <w:lang w:eastAsia="zh-CN"/>
        </w:rPr>
      </w:pPr>
      <w:bookmarkStart w:id="12" w:name="_Toc25111"/>
      <w:bookmarkStart w:id="13" w:name="_Toc21934"/>
      <w:bookmarkStart w:id="14" w:name="_Toc2168"/>
      <w:r>
        <w:rPr>
          <w:rFonts w:hint="eastAsia"/>
          <w:szCs w:val="32"/>
          <w:lang w:eastAsia="zh-CN"/>
        </w:rPr>
        <w:t>产品名称应符合《医疗器械通用名称命名规则》、《医用成像器械通用名称命名指导原则》的要求，建议使用医疗器械分类目录和国家标准、行业标准上的通用名称。</w:t>
      </w:r>
    </w:p>
    <w:p w14:paraId="28351B12">
      <w:pPr>
        <w:spacing w:line="520" w:lineRule="exact"/>
        <w:ind w:firstLine="640"/>
        <w:jc w:val="left"/>
        <w:rPr>
          <w:szCs w:val="32"/>
        </w:rPr>
      </w:pPr>
      <w:r>
        <w:rPr>
          <w:rFonts w:hint="eastAsia"/>
          <w:szCs w:val="32"/>
          <w:lang w:eastAsia="zh-CN"/>
        </w:rPr>
        <w:t>产品名称示例：内窥镜冲洗吸引器、内窥镜冲洗器、内窥镜吸引器</w:t>
      </w:r>
      <w:r>
        <w:rPr>
          <w:szCs w:val="32"/>
        </w:rPr>
        <w:t>。</w:t>
      </w:r>
    </w:p>
    <w:p w14:paraId="53CA0751">
      <w:pPr>
        <w:spacing w:line="520" w:lineRule="exact"/>
        <w:ind w:firstLine="640"/>
        <w:jc w:val="left"/>
        <w:outlineLvl w:val="2"/>
        <w:rPr>
          <w:szCs w:val="32"/>
        </w:rPr>
      </w:pPr>
      <w:r>
        <w:rPr>
          <w:szCs w:val="32"/>
        </w:rPr>
        <w:t>2.分类编码和管理类别</w:t>
      </w:r>
      <w:bookmarkEnd w:id="12"/>
      <w:bookmarkEnd w:id="13"/>
      <w:bookmarkEnd w:id="14"/>
    </w:p>
    <w:p w14:paraId="1CCB49EB">
      <w:pPr>
        <w:spacing w:line="520" w:lineRule="exact"/>
        <w:ind w:firstLine="640"/>
        <w:rPr>
          <w:szCs w:val="32"/>
        </w:rPr>
      </w:pPr>
      <w:r>
        <w:rPr>
          <w:rFonts w:hint="eastAsia"/>
          <w:szCs w:val="32"/>
          <w:lang w:eastAsia="zh-CN"/>
        </w:rPr>
        <w:t>内窥镜冲洗吸引器</w:t>
      </w:r>
      <w:r>
        <w:rPr>
          <w:szCs w:val="32"/>
        </w:rPr>
        <w:t>产品按第二类医疗器械管理，分类编码为06-15-0</w:t>
      </w:r>
      <w:r>
        <w:rPr>
          <w:rFonts w:hint="eastAsia"/>
          <w:szCs w:val="32"/>
          <w:lang w:val="en-US" w:eastAsia="zh-CN"/>
        </w:rPr>
        <w:t>5</w:t>
      </w:r>
      <w:r>
        <w:rPr>
          <w:szCs w:val="32"/>
        </w:rPr>
        <w:t>。</w:t>
      </w:r>
    </w:p>
    <w:p w14:paraId="40288832">
      <w:pPr>
        <w:spacing w:line="520" w:lineRule="exact"/>
        <w:ind w:firstLine="640"/>
        <w:jc w:val="left"/>
        <w:outlineLvl w:val="2"/>
        <w:rPr>
          <w:szCs w:val="32"/>
        </w:rPr>
      </w:pPr>
      <w:bookmarkStart w:id="15" w:name="_Toc30481"/>
      <w:bookmarkStart w:id="16" w:name="_Toc2420"/>
      <w:bookmarkStart w:id="17" w:name="_Toc27398"/>
      <w:bookmarkStart w:id="18" w:name="_Toc434231392"/>
      <w:r>
        <w:rPr>
          <w:szCs w:val="32"/>
        </w:rPr>
        <w:t>3.注册单元划分</w:t>
      </w:r>
      <w:bookmarkEnd w:id="15"/>
      <w:bookmarkEnd w:id="16"/>
      <w:bookmarkEnd w:id="17"/>
    </w:p>
    <w:p w14:paraId="70A41438">
      <w:pPr>
        <w:spacing w:line="520" w:lineRule="exact"/>
        <w:ind w:firstLine="640"/>
        <w:rPr>
          <w:rFonts w:hint="eastAsia"/>
          <w:szCs w:val="32"/>
          <w:lang w:eastAsia="zh-CN"/>
        </w:rPr>
      </w:pPr>
      <w:bookmarkStart w:id="19" w:name="_Toc28669"/>
      <w:r>
        <w:rPr>
          <w:rFonts w:hint="eastAsia"/>
          <w:szCs w:val="32"/>
          <w:lang w:eastAsia="zh-CN"/>
        </w:rPr>
        <w:t>注册单元划分应符合《医疗器械注册单元划分指导原则》的要求，原则上以产品的技术原理、结构组成、性能指标和预期用途为划分依据。原则上，同一注册单元产品的关键部件应相同。</w:t>
      </w:r>
    </w:p>
    <w:p w14:paraId="2C401F07">
      <w:pPr>
        <w:spacing w:line="520" w:lineRule="exact"/>
        <w:ind w:firstLine="640"/>
        <w:rPr>
          <w:rFonts w:hint="eastAsia" w:eastAsia="仿宋_GB2312"/>
          <w:szCs w:val="32"/>
          <w:lang w:eastAsia="zh-CN"/>
        </w:rPr>
      </w:pPr>
      <w:r>
        <w:rPr>
          <w:szCs w:val="32"/>
        </w:rPr>
        <w:t>3.1技术</w:t>
      </w:r>
      <w:r>
        <w:rPr>
          <w:rFonts w:hint="eastAsia"/>
          <w:szCs w:val="32"/>
          <w:lang w:eastAsia="zh-CN"/>
        </w:rPr>
        <w:t>原理</w:t>
      </w:r>
    </w:p>
    <w:p w14:paraId="2F7E591C">
      <w:pPr>
        <w:spacing w:line="520" w:lineRule="exact"/>
        <w:ind w:firstLine="640"/>
        <w:rPr>
          <w:rFonts w:hint="eastAsia"/>
          <w:szCs w:val="32"/>
          <w:lang w:val="en-US" w:eastAsia="zh-CN"/>
        </w:rPr>
      </w:pPr>
      <w:r>
        <w:rPr>
          <w:rFonts w:hint="eastAsia"/>
          <w:szCs w:val="32"/>
          <w:lang w:eastAsia="zh-CN"/>
        </w:rPr>
        <w:t>产品的技术原理不同，应划分为不同的注册单元。例如滚压式正压冲洗与重力式正压冲洗技术原理不同，应划分为不同注册单元。单泵结构与双泵结构技术原理不同，应划分为不同注册单元。</w:t>
      </w:r>
    </w:p>
    <w:p w14:paraId="008C38B6">
      <w:pPr>
        <w:spacing w:line="520" w:lineRule="exact"/>
        <w:ind w:firstLine="640"/>
        <w:rPr>
          <w:rFonts w:hint="eastAsia"/>
          <w:szCs w:val="32"/>
          <w:lang w:eastAsia="zh-CN"/>
        </w:rPr>
      </w:pPr>
      <w:r>
        <w:rPr>
          <w:szCs w:val="32"/>
        </w:rPr>
        <w:t>3.2</w:t>
      </w:r>
      <w:r>
        <w:rPr>
          <w:rFonts w:hint="eastAsia"/>
          <w:szCs w:val="32"/>
          <w:lang w:eastAsia="zh-CN"/>
        </w:rPr>
        <w:t>预期用途</w:t>
      </w:r>
    </w:p>
    <w:p w14:paraId="1481901F">
      <w:pPr>
        <w:spacing w:line="52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产品的预期用途不同，</w:t>
      </w:r>
      <w:r>
        <w:rPr>
          <w:rFonts w:hint="eastAsia" w:ascii="Times New Roman" w:hAnsi="Times New Roman" w:eastAsia="仿宋_GB2312" w:cs="Times New Roman"/>
          <w:kern w:val="2"/>
          <w:sz w:val="32"/>
          <w:szCs w:val="32"/>
          <w:highlight w:val="none"/>
          <w:lang w:val="en-US" w:eastAsia="zh-CN" w:bidi="ar-SA"/>
        </w:rPr>
        <w:t>应划分为不同的注册单元。</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例如</w:t>
      </w:r>
      <w:r>
        <w:rPr>
          <w:rFonts w:hint="eastAsia"/>
          <w:color w:val="000000" w:themeColor="text1"/>
          <w:highlight w:val="none"/>
          <w:lang w:val="en-US" w:eastAsia="zh-CN"/>
          <w14:textFill>
            <w14:solidFill>
              <w14:schemeClr w14:val="tx1"/>
            </w14:solidFill>
          </w14:textFill>
        </w:rPr>
        <w:t>用于胸腔心血管手术或脑外科手术中冲洗、吸引、抽吸的冲洗器/吸引器</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w:t>
      </w:r>
      <w:r>
        <w:rPr>
          <w:rFonts w:hint="eastAsia" w:cs="Times New Roman"/>
          <w:color w:val="000000" w:themeColor="text1"/>
          <w:kern w:val="2"/>
          <w:sz w:val="32"/>
          <w:szCs w:val="32"/>
          <w:highlight w:val="none"/>
          <w:lang w:val="en-US" w:eastAsia="zh-CN" w:bidi="ar-SA"/>
          <w14:textFill>
            <w14:solidFill>
              <w14:schemeClr w14:val="tx1"/>
            </w14:solidFill>
          </w14:textFill>
        </w:rPr>
        <w:t>与</w:t>
      </w:r>
      <w:r>
        <w:rPr>
          <w:rFonts w:hint="default"/>
          <w:szCs w:val="32"/>
          <w:highlight w:val="none"/>
        </w:rPr>
        <w:t>用于内窥镜手术中的冲洗</w:t>
      </w:r>
      <w:r>
        <w:rPr>
          <w:rFonts w:hint="eastAsia"/>
          <w:color w:val="000000" w:themeColor="text1"/>
          <w:highlight w:val="none"/>
          <w:lang w:val="en-US" w:eastAsia="zh-CN"/>
          <w14:textFill>
            <w14:solidFill>
              <w14:schemeClr w14:val="tx1"/>
            </w14:solidFill>
          </w14:textFill>
        </w:rPr>
        <w:t>器</w:t>
      </w:r>
      <w:r>
        <w:rPr>
          <w:rFonts w:hint="default"/>
          <w:szCs w:val="32"/>
          <w:highlight w:val="none"/>
        </w:rPr>
        <w:t>/吸引</w:t>
      </w:r>
      <w:r>
        <w:rPr>
          <w:rFonts w:hint="eastAsia"/>
          <w:color w:val="000000" w:themeColor="text1"/>
          <w:highlight w:val="none"/>
          <w:lang w:val="en-US" w:eastAsia="zh-CN"/>
          <w14:textFill>
            <w14:solidFill>
              <w14:schemeClr w14:val="tx1"/>
            </w14:solidFill>
          </w14:textFill>
        </w:rPr>
        <w:t>器不同</w:t>
      </w:r>
      <w:r>
        <w:rPr>
          <w:rFonts w:hint="eastAsia" w:ascii="Times New Roman" w:hAnsi="Times New Roman" w:eastAsia="仿宋_GB2312" w:cs="Times New Roman"/>
          <w:kern w:val="2"/>
          <w:sz w:val="32"/>
          <w:szCs w:val="32"/>
          <w:lang w:val="en-US" w:eastAsia="zh-CN" w:bidi="ar-SA"/>
        </w:rPr>
        <w:t>，应划分为不同注册单元。</w:t>
      </w:r>
    </w:p>
    <w:p w14:paraId="76BE9336">
      <w:pPr>
        <w:spacing w:line="520" w:lineRule="exact"/>
        <w:ind w:firstLine="640"/>
        <w:outlineLvl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4.上市证明文件</w:t>
      </w:r>
      <w:bookmarkEnd w:id="19"/>
      <w:r>
        <w:rPr>
          <w:rFonts w:hint="eastAsia" w:ascii="Times New Roman" w:hAnsi="Times New Roman" w:eastAsia="仿宋_GB2312" w:cs="Times New Roman"/>
          <w:kern w:val="2"/>
          <w:sz w:val="32"/>
          <w:szCs w:val="32"/>
          <w:lang w:val="en-US" w:eastAsia="zh-CN" w:bidi="ar-SA"/>
        </w:rPr>
        <w:t>（进口产品）</w:t>
      </w:r>
    </w:p>
    <w:p w14:paraId="435CB110">
      <w:pPr>
        <w:pStyle w:val="2"/>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进口产品应证明产品已在境外上市。例如在EC符合性声明、CFG等批件中体现产品的具体信息。</w:t>
      </w:r>
    </w:p>
    <w:bookmarkEnd w:id="18"/>
    <w:p w14:paraId="3F606971">
      <w:pPr>
        <w:spacing w:line="520" w:lineRule="exact"/>
        <w:ind w:firstLine="640"/>
        <w:jc w:val="left"/>
        <w:outlineLvl w:val="1"/>
        <w:rPr>
          <w:rFonts w:eastAsia="楷体_GB2312"/>
          <w:szCs w:val="32"/>
        </w:rPr>
      </w:pPr>
      <w:bookmarkStart w:id="20" w:name="_Toc6838"/>
      <w:bookmarkStart w:id="21" w:name="_Toc7858"/>
      <w:bookmarkStart w:id="22" w:name="_Toc1256"/>
      <w:bookmarkStart w:id="23" w:name="_Toc306265288"/>
      <w:bookmarkStart w:id="24" w:name="_Toc434231393"/>
      <w:r>
        <w:rPr>
          <w:rFonts w:eastAsia="楷体_GB2312"/>
          <w:szCs w:val="32"/>
        </w:rPr>
        <w:t>（二）综述资料</w:t>
      </w:r>
    </w:p>
    <w:bookmarkEnd w:id="20"/>
    <w:bookmarkEnd w:id="21"/>
    <w:bookmarkEnd w:id="22"/>
    <w:p w14:paraId="3097266F">
      <w:pPr>
        <w:spacing w:line="520" w:lineRule="exact"/>
        <w:ind w:firstLine="640"/>
        <w:jc w:val="left"/>
        <w:outlineLvl w:val="2"/>
        <w:rPr>
          <w:bCs/>
          <w:szCs w:val="32"/>
        </w:rPr>
      </w:pPr>
      <w:bookmarkStart w:id="25" w:name="_Toc18098"/>
      <w:bookmarkStart w:id="26" w:name="_Toc20753"/>
      <w:bookmarkStart w:id="27" w:name="_Toc17174"/>
      <w:r>
        <w:rPr>
          <w:bCs/>
          <w:szCs w:val="32"/>
        </w:rPr>
        <w:t>1.概述</w:t>
      </w:r>
    </w:p>
    <w:p w14:paraId="7429C626">
      <w:pPr>
        <w:spacing w:line="520" w:lineRule="exact"/>
        <w:ind w:firstLine="640"/>
        <w:rPr>
          <w:szCs w:val="32"/>
        </w:rPr>
      </w:pPr>
      <w:r>
        <w:rPr>
          <w:szCs w:val="32"/>
        </w:rPr>
        <w:t>描述申报产品的通用名称及其确定依据，描述产品的管理类别、分类编码。</w:t>
      </w:r>
    </w:p>
    <w:p w14:paraId="086A4F6E">
      <w:pPr>
        <w:spacing w:line="520" w:lineRule="exact"/>
        <w:ind w:firstLine="640"/>
        <w:rPr>
          <w:szCs w:val="32"/>
        </w:rPr>
      </w:pPr>
      <w:r>
        <w:rPr>
          <w:szCs w:val="32"/>
        </w:rPr>
        <w:t>如适用，描述有关申报产品的背景信息概述或特别细节，如：申报产品的历史概述、历次提交的信息，与其他经批准上市产品的关系等。</w:t>
      </w:r>
    </w:p>
    <w:p w14:paraId="15EBA0DF">
      <w:pPr>
        <w:spacing w:line="520" w:lineRule="exact"/>
        <w:ind w:firstLine="640"/>
        <w:jc w:val="left"/>
        <w:outlineLvl w:val="2"/>
        <w:rPr>
          <w:bCs/>
          <w:szCs w:val="32"/>
        </w:rPr>
      </w:pPr>
      <w:r>
        <w:rPr>
          <w:rFonts w:hint="eastAsia"/>
          <w:bCs/>
          <w:szCs w:val="32"/>
          <w:lang w:val="en-US" w:eastAsia="zh-CN"/>
        </w:rPr>
        <w:t>2.</w:t>
      </w:r>
      <w:r>
        <w:rPr>
          <w:bCs/>
          <w:szCs w:val="32"/>
        </w:rPr>
        <w:t>产品描述</w:t>
      </w:r>
      <w:bookmarkEnd w:id="23"/>
      <w:bookmarkEnd w:id="24"/>
      <w:bookmarkEnd w:id="25"/>
      <w:bookmarkEnd w:id="26"/>
      <w:bookmarkEnd w:id="27"/>
    </w:p>
    <w:p w14:paraId="499C8497">
      <w:pPr>
        <w:spacing w:line="520" w:lineRule="exact"/>
        <w:ind w:firstLine="640"/>
        <w:rPr>
          <w:szCs w:val="32"/>
        </w:rPr>
      </w:pPr>
      <w:r>
        <w:rPr>
          <w:szCs w:val="32"/>
        </w:rPr>
        <w:t>2.1器械及操作原理描述</w:t>
      </w:r>
    </w:p>
    <w:p w14:paraId="09E280D0">
      <w:pPr>
        <w:spacing w:line="520" w:lineRule="exact"/>
        <w:ind w:firstLine="640"/>
        <w:rPr>
          <w:highlight w:val="none"/>
        </w:rPr>
      </w:pPr>
      <w:r>
        <w:rPr>
          <w:highlight w:val="none"/>
        </w:rPr>
        <w:t>2.1.1工作原理</w:t>
      </w:r>
    </w:p>
    <w:p w14:paraId="5277116C">
      <w:pPr>
        <w:spacing w:line="520" w:lineRule="exact"/>
        <w:ind w:firstLine="640"/>
        <w:rPr>
          <w:rFonts w:hint="eastAsia"/>
        </w:rPr>
      </w:pPr>
      <w:r>
        <w:rPr>
          <w:rFonts w:hint="eastAsia"/>
        </w:rPr>
        <w:t>内窥镜冲洗吸引器</w:t>
      </w:r>
      <w:r>
        <w:rPr>
          <w:rFonts w:hint="eastAsia"/>
          <w:lang w:val="en-US" w:eastAsia="zh-CN"/>
        </w:rPr>
        <w:t>主要</w:t>
      </w:r>
      <w:r>
        <w:rPr>
          <w:rFonts w:hint="eastAsia"/>
          <w:lang w:eastAsia="zh-CN"/>
        </w:rPr>
        <w:t>利用</w:t>
      </w:r>
      <w:r>
        <w:rPr>
          <w:rFonts w:hint="eastAsia"/>
          <w:highlight w:val="none"/>
          <w:lang w:eastAsia="zh-CN"/>
        </w:rPr>
        <w:t>滚压式正压原理</w:t>
      </w:r>
      <w:r>
        <w:rPr>
          <w:rFonts w:hint="eastAsia"/>
          <w:lang w:eastAsia="zh-CN"/>
        </w:rPr>
        <w:t>提供液体冲洗功能，利用负压原理提供液体和/或固体吸引功能。</w:t>
      </w:r>
      <w:r>
        <w:rPr>
          <w:rFonts w:hint="eastAsia"/>
          <w:lang w:val="en-US" w:eastAsia="zh-CN"/>
        </w:rPr>
        <w:t>产品通常包含</w:t>
      </w:r>
      <w:r>
        <w:rPr>
          <w:rFonts w:hint="eastAsia"/>
        </w:rPr>
        <w:t>单泵与双泵</w:t>
      </w:r>
      <w:r>
        <w:rPr>
          <w:rFonts w:hint="eastAsia"/>
          <w:lang w:val="en-US" w:eastAsia="zh-CN"/>
        </w:rPr>
        <w:t>两种</w:t>
      </w:r>
      <w:r>
        <w:rPr>
          <w:rFonts w:hint="eastAsia"/>
        </w:rPr>
        <w:t>结构</w:t>
      </w:r>
      <w:r>
        <w:rPr>
          <w:rFonts w:hint="eastAsia"/>
          <w:lang w:eastAsia="zh-CN"/>
        </w:rPr>
        <w:t>，</w:t>
      </w:r>
      <w:r>
        <w:rPr>
          <w:rFonts w:hint="eastAsia"/>
          <w:lang w:val="en-US" w:eastAsia="zh-CN"/>
        </w:rPr>
        <w:t>其中</w:t>
      </w:r>
      <w:r>
        <w:rPr>
          <w:rFonts w:hint="eastAsia"/>
        </w:rPr>
        <w:t>单泵结</w:t>
      </w:r>
      <w:r>
        <w:rPr>
          <w:rFonts w:hint="eastAsia"/>
          <w:lang w:eastAsia="zh-CN"/>
        </w:rPr>
        <w:t>构采用单一泵体分时输出正负压，通常通过换向阀或切换电路，使同一个微型泵在正压（冲洗）和负压（吸引）模式间交替切换；双泵结构采用独立泵体同步输出正负压，</w:t>
      </w:r>
      <w:r>
        <w:rPr>
          <w:rFonts w:hint="eastAsia"/>
          <w:lang w:val="en-US" w:eastAsia="zh-CN"/>
        </w:rPr>
        <w:t>通常</w:t>
      </w:r>
      <w:r>
        <w:rPr>
          <w:rFonts w:hint="eastAsia"/>
          <w:lang w:eastAsia="zh-CN"/>
        </w:rPr>
        <w:t>内置两个独立的泵体，一个泵体负责提供正压进行冲洗，另一个负责维持负压进行吸引，两个泵体可以独立控制，实现正负压的同步输出与压力解耦。</w:t>
      </w:r>
      <w:r>
        <w:rPr>
          <w:rFonts w:hint="eastAsia"/>
        </w:rPr>
        <w:t>该设备通过压力传感器、电子控制单元或机械调节机构，对冲洗正压及吸引负压进行实时监测与调控，确保压力参数稳定处于临床安全范围内，既能保障手术视野清晰、废弃物清除彻底，又可避免因压力过高引发的组织损伤。</w:t>
      </w:r>
    </w:p>
    <w:p w14:paraId="4AED471E">
      <w:pPr>
        <w:spacing w:line="520" w:lineRule="exact"/>
        <w:ind w:firstLine="640"/>
        <w:rPr>
          <w:rFonts w:hint="eastAsia"/>
        </w:rPr>
      </w:pPr>
      <w:r>
        <w:rPr>
          <w:rFonts w:hint="eastAsia"/>
          <w:lang w:val="en-US" w:eastAsia="zh-CN"/>
        </w:rPr>
        <w:t>2.1.1.1</w:t>
      </w:r>
      <w:r>
        <w:rPr>
          <w:rFonts w:hint="eastAsia"/>
        </w:rPr>
        <w:t>滚压式内窥镜冲洗吸引器</w:t>
      </w:r>
    </w:p>
    <w:p w14:paraId="3896D51B">
      <w:pPr>
        <w:spacing w:line="520" w:lineRule="exact"/>
        <w:ind w:firstLine="640"/>
        <w:rPr>
          <w:rFonts w:hint="eastAsia"/>
        </w:rPr>
      </w:pPr>
      <w:r>
        <w:rPr>
          <w:rFonts w:hint="eastAsia"/>
        </w:rPr>
        <w:t>滚压式内窥镜冲洗吸引器的冲洗端以电机为动力源，驱动滚压轴组对弹性冲洗管路实施连续、定向的滚压挤压操作</w:t>
      </w:r>
      <w:r>
        <w:rPr>
          <w:rFonts w:hint="eastAsia"/>
          <w:lang w:eastAsia="zh-CN"/>
        </w:rPr>
        <w:t>，</w:t>
      </w:r>
      <w:r>
        <w:rPr>
          <w:rFonts w:hint="eastAsia"/>
        </w:rPr>
        <w:t>通过管路容积的周期性收缩与复原，形成持续且可调节的主动式正压，驱动无菌冲洗液沿管路输送至</w:t>
      </w:r>
      <w:r>
        <w:rPr>
          <w:rFonts w:hint="eastAsia"/>
          <w:color w:val="000000" w:themeColor="text1"/>
          <w:lang w:val="en-US" w:eastAsia="zh-CN"/>
          <w14:textFill>
            <w14:solidFill>
              <w14:schemeClr w14:val="tx1"/>
            </w14:solidFill>
          </w14:textFill>
        </w:rPr>
        <w:t>配套使用的内窥镜手术器械的</w:t>
      </w:r>
      <w:r>
        <w:rPr>
          <w:rFonts w:hint="eastAsia"/>
        </w:rPr>
        <w:t>内部，从而冲散遮挡手术视野的血液、组织碎屑等杂质。该类型设备可通过调节电机转速，实现对冲洗压力与冲洗流量的精准控制。</w:t>
      </w:r>
    </w:p>
    <w:p w14:paraId="20817EB3">
      <w:pPr>
        <w:spacing w:line="520" w:lineRule="exact"/>
        <w:ind w:firstLine="640"/>
        <w:rPr>
          <w:rFonts w:hint="eastAsia"/>
        </w:rPr>
      </w:pPr>
      <w:r>
        <w:rPr>
          <w:rFonts w:hint="eastAsia"/>
        </w:rPr>
        <w:t>其吸引端通过真空泵在密闭管路系统内构建负压环境，利用</w:t>
      </w:r>
      <w:r>
        <w:rPr>
          <w:rFonts w:hint="eastAsia"/>
          <w:color w:val="000000" w:themeColor="text1"/>
          <w:lang w:val="en-US" w:eastAsia="zh-CN"/>
          <w14:textFill>
            <w14:solidFill>
              <w14:schemeClr w14:val="tx1"/>
            </w14:solidFill>
          </w14:textFill>
        </w:rPr>
        <w:t>配套使用的内窥镜手术器械的吸水口</w:t>
      </w:r>
      <w:r>
        <w:rPr>
          <w:rFonts w:hint="eastAsia"/>
        </w:rPr>
        <w:t>与管路内部的压力差值，将腔道内的冲洗废液及各类废弃物抽吸至专用废液收集装置。吸引负压值可根据手术需求灵活调节，且吸引系统可与正压冲洗系统同步运作或交替运作，形成手术视野清理的闭环流程。</w:t>
      </w:r>
    </w:p>
    <w:p w14:paraId="3535FB64">
      <w:pPr>
        <w:spacing w:line="520" w:lineRule="exact"/>
        <w:ind w:firstLine="640"/>
      </w:pPr>
      <w:r>
        <w:t>2.1.2结构及组成</w:t>
      </w:r>
    </w:p>
    <w:p w14:paraId="29D096AB">
      <w:pPr>
        <w:spacing w:line="520" w:lineRule="exact"/>
        <w:ind w:firstLine="640"/>
        <w:rPr>
          <w:szCs w:val="32"/>
        </w:rPr>
      </w:pPr>
      <w:r>
        <w:rPr>
          <w:rFonts w:hint="eastAsia"/>
          <w:szCs w:val="32"/>
          <w:lang w:eastAsia="zh-CN"/>
        </w:rPr>
        <w:t>内窥镜冲洗吸引器通常由主机、电源连接线、脚踏开关、冲洗管路和吸引管路</w:t>
      </w:r>
      <w:r>
        <w:rPr>
          <w:rFonts w:hint="eastAsia"/>
          <w:lang w:val="en-US" w:eastAsia="zh-CN"/>
        </w:rPr>
        <w:t>等</w:t>
      </w:r>
      <w:r>
        <w:rPr>
          <w:rFonts w:hint="eastAsia"/>
          <w:szCs w:val="32"/>
          <w:lang w:eastAsia="zh-CN"/>
        </w:rPr>
        <w:t>组成。内窥镜冲洗吸引器可选配件为收集瓶等。</w:t>
      </w:r>
    </w:p>
    <w:p w14:paraId="6B38B061">
      <w:pPr>
        <w:spacing w:line="520" w:lineRule="exact"/>
        <w:ind w:left="0" w:leftChars="0" w:firstLine="640" w:firstLineChars="200"/>
        <w:rPr>
          <w:rFonts w:hint="eastAsia" w:eastAsia="仿宋_GB2312"/>
          <w:szCs w:val="32"/>
          <w:lang w:eastAsia="zh-CN"/>
        </w:rPr>
      </w:pPr>
      <w:r>
        <w:rPr>
          <w:rFonts w:hint="eastAsia"/>
          <w:szCs w:val="32"/>
          <w:lang w:val="en-US" w:eastAsia="zh-CN"/>
        </w:rPr>
        <w:t>申请人应</w:t>
      </w:r>
      <w:r>
        <w:rPr>
          <w:szCs w:val="32"/>
        </w:rPr>
        <w:t>描述产品的结构组成。提供产品</w:t>
      </w:r>
      <w:r>
        <w:rPr>
          <w:rFonts w:hint="eastAsia"/>
          <w:szCs w:val="32"/>
          <w:lang w:eastAsia="zh-CN"/>
        </w:rPr>
        <w:t>各组件</w:t>
      </w:r>
      <w:r>
        <w:rPr>
          <w:szCs w:val="32"/>
        </w:rPr>
        <w:t>的实物图、图示和连接示意图，结合实物图、图示和连接示意图，对产品的结构组成进行详尽描述。描述的内容包括主机的结构、尺寸、外壳材料、接口等。</w:t>
      </w:r>
      <w:r>
        <w:rPr>
          <w:rFonts w:hint="eastAsia"/>
          <w:szCs w:val="32"/>
          <w:lang w:eastAsia="zh-CN"/>
        </w:rPr>
        <w:t>同时，应描述脚踏开关、管路、收集瓶等配件、附件信息。</w:t>
      </w:r>
      <w:r>
        <w:rPr>
          <w:rFonts w:hint="eastAsia"/>
          <w:highlight w:val="none"/>
        </w:rPr>
        <w:t>常见产品示意图如图1所示。</w:t>
      </w:r>
    </w:p>
    <w:p w14:paraId="672B39E4">
      <w:pPr>
        <w:spacing w:line="520" w:lineRule="exact"/>
        <w:ind w:firstLine="640"/>
        <w:rPr>
          <w:rFonts w:eastAsia="仿宋_GB2312"/>
          <w:sz w:val="32"/>
          <w:szCs w:val="32"/>
        </w:rPr>
      </w:pPr>
      <w:r>
        <w:rPr>
          <w:rFonts w:hint="eastAsia"/>
          <w:szCs w:val="32"/>
          <w:lang w:val="en-US" w:eastAsia="zh-CN"/>
        </w:rPr>
        <w:t>申请人应</w:t>
      </w:r>
      <w:r>
        <w:rPr>
          <w:rFonts w:hint="eastAsia"/>
          <w:color w:val="000000" w:themeColor="text1"/>
          <w14:textFill>
            <w14:solidFill>
              <w14:schemeClr w14:val="tx1"/>
            </w14:solidFill>
          </w14:textFill>
        </w:rPr>
        <w:t>提供产品</w:t>
      </w:r>
      <w:r>
        <w:rPr>
          <w:rFonts w:hint="eastAsia"/>
          <w:color w:val="000000" w:themeColor="text1"/>
          <w:lang w:eastAsia="zh-CN"/>
          <w14:textFill>
            <w14:solidFill>
              <w14:schemeClr w14:val="tx1"/>
            </w14:solidFill>
          </w14:textFill>
        </w:rPr>
        <w:t>的原理图</w:t>
      </w:r>
      <w:r>
        <w:rPr>
          <w:rFonts w:hint="eastAsia"/>
          <w:color w:val="000000" w:themeColor="text1"/>
          <w14:textFill>
            <w14:solidFill>
              <w14:schemeClr w14:val="tx1"/>
            </w14:solidFill>
          </w14:textFill>
        </w:rPr>
        <w:t>，结合原理图对主要功能的工作原理和技术实现进行描述。</w:t>
      </w:r>
      <w:r>
        <w:rPr>
          <w:color w:val="000000" w:themeColor="text1"/>
          <w:szCs w:val="32"/>
          <w14:textFill>
            <w14:solidFill>
              <w14:schemeClr w14:val="tx1"/>
            </w14:solidFill>
          </w14:textFill>
        </w:rPr>
        <w:t>应能体现各个关键部件，</w:t>
      </w:r>
      <w:r>
        <w:rPr>
          <w:rFonts w:hint="eastAsia"/>
          <w:color w:val="000000" w:themeColor="text1"/>
          <w:szCs w:val="32"/>
          <w:lang w:eastAsia="zh-CN"/>
          <w14:textFill>
            <w14:solidFill>
              <w14:schemeClr w14:val="tx1"/>
            </w14:solidFill>
          </w14:textFill>
        </w:rPr>
        <w:t>如</w:t>
      </w:r>
      <w:r>
        <w:rPr>
          <w:rFonts w:hint="eastAsia"/>
          <w:color w:val="000000" w:themeColor="text1"/>
          <w:szCs w:val="32"/>
          <w:lang w:val="en-US" w:eastAsia="zh-CN"/>
          <w14:textFill>
            <w14:solidFill>
              <w14:schemeClr w14:val="tx1"/>
            </w14:solidFill>
          </w14:textFill>
        </w:rPr>
        <w:t>电源模块、泵、压强传感器、反馈控制单元、过滤装置、阀</w:t>
      </w:r>
      <w:r>
        <w:rPr>
          <w:color w:val="000000" w:themeColor="text1"/>
          <w:szCs w:val="32"/>
          <w14:textFill>
            <w14:solidFill>
              <w14:schemeClr w14:val="tx1"/>
            </w14:solidFill>
          </w14:textFill>
        </w:rPr>
        <w:t>等。</w:t>
      </w:r>
    </w:p>
    <w:p w14:paraId="3AA448C8">
      <w:pPr>
        <w:spacing w:line="520" w:lineRule="exact"/>
        <w:ind w:firstLine="640" w:firstLineChars="200"/>
        <w:rPr>
          <w:rFonts w:eastAsia="仿宋_GB2312"/>
          <w:sz w:val="32"/>
          <w:szCs w:val="32"/>
        </w:rPr>
      </w:pPr>
      <w:r>
        <w:rPr>
          <w:rFonts w:hint="eastAsia"/>
          <w:sz w:val="32"/>
          <w:szCs w:val="32"/>
          <w:lang w:eastAsia="zh-CN"/>
        </w:rPr>
        <w:t>结构组成</w:t>
      </w:r>
      <w:r>
        <w:rPr>
          <w:rFonts w:hint="eastAsia" w:eastAsia="仿宋_GB2312"/>
          <w:sz w:val="32"/>
          <w:szCs w:val="32"/>
        </w:rPr>
        <w:t>中若包含已获医疗器械注册证的产品，</w:t>
      </w:r>
      <w:r>
        <w:rPr>
          <w:rFonts w:hint="eastAsia"/>
          <w:sz w:val="32"/>
          <w:szCs w:val="32"/>
          <w:lang w:eastAsia="zh-CN"/>
        </w:rPr>
        <w:t>应</w:t>
      </w:r>
      <w:r>
        <w:rPr>
          <w:rFonts w:hint="eastAsia" w:eastAsia="仿宋_GB2312"/>
          <w:sz w:val="32"/>
          <w:szCs w:val="32"/>
        </w:rPr>
        <w:t>提供其注册证信息，产品型号规格应和产品实际组成描述一致。</w:t>
      </w:r>
    </w:p>
    <w:p w14:paraId="01FB6103">
      <w:pPr>
        <w:spacing w:line="520" w:lineRule="exact"/>
        <w:ind w:firstLine="640"/>
      </w:pPr>
      <w:r>
        <w:drawing>
          <wp:anchor distT="0" distB="0" distL="114300" distR="114300" simplePos="0" relativeHeight="251659264" behindDoc="1" locked="0" layoutInCell="1" allowOverlap="1">
            <wp:simplePos x="0" y="0"/>
            <wp:positionH relativeFrom="column">
              <wp:posOffset>-57785</wp:posOffset>
            </wp:positionH>
            <wp:positionV relativeFrom="paragraph">
              <wp:posOffset>93345</wp:posOffset>
            </wp:positionV>
            <wp:extent cx="3159760" cy="4001135"/>
            <wp:effectExtent l="0" t="0" r="2540" b="18415"/>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cstate="print"/>
                    <a:stretch>
                      <a:fillRect/>
                    </a:stretch>
                  </pic:blipFill>
                  <pic:spPr>
                    <a:xfrm>
                      <a:off x="0" y="0"/>
                      <a:ext cx="3159760" cy="4001135"/>
                    </a:xfrm>
                    <a:prstGeom prst="rect">
                      <a:avLst/>
                    </a:prstGeom>
                    <a:noFill/>
                    <a:ln>
                      <a:noFill/>
                    </a:ln>
                  </pic:spPr>
                </pic:pic>
              </a:graphicData>
            </a:graphic>
          </wp:anchor>
        </w:drawing>
      </w:r>
    </w:p>
    <w:p w14:paraId="0774627B">
      <w:pPr>
        <w:spacing w:line="520" w:lineRule="exact"/>
        <w:ind w:firstLine="640"/>
      </w:pPr>
    </w:p>
    <w:p w14:paraId="53028A9D">
      <w:pPr>
        <w:spacing w:line="520" w:lineRule="exact"/>
        <w:ind w:firstLine="640"/>
      </w:pPr>
    </w:p>
    <w:p w14:paraId="6EA54C8B">
      <w:pPr>
        <w:spacing w:line="520" w:lineRule="exact"/>
        <w:ind w:firstLine="640"/>
      </w:pPr>
      <w:r>
        <mc:AlternateContent>
          <mc:Choice Requires="wps">
            <w:drawing>
              <wp:anchor distT="0" distB="0" distL="114300" distR="114300" simplePos="0" relativeHeight="251660288" behindDoc="0" locked="0" layoutInCell="1" allowOverlap="1">
                <wp:simplePos x="0" y="0"/>
                <wp:positionH relativeFrom="column">
                  <wp:posOffset>3056890</wp:posOffset>
                </wp:positionH>
                <wp:positionV relativeFrom="paragraph">
                  <wp:posOffset>16510</wp:posOffset>
                </wp:positionV>
                <wp:extent cx="2946400" cy="2525395"/>
                <wp:effectExtent l="0" t="0" r="0" b="0"/>
                <wp:wrapNone/>
                <wp:docPr id="4" name="文本框 3"/>
                <wp:cNvGraphicFramePr/>
                <a:graphic xmlns:a="http://schemas.openxmlformats.org/drawingml/2006/main">
                  <a:graphicData uri="http://schemas.microsoft.com/office/word/2010/wordprocessingShape">
                    <wps:wsp>
                      <wps:cNvSpPr txBox="1"/>
                      <wps:spPr>
                        <a:xfrm>
                          <a:off x="0" y="0"/>
                          <a:ext cx="2946400" cy="2525395"/>
                        </a:xfrm>
                        <a:prstGeom prst="rect">
                          <a:avLst/>
                        </a:prstGeom>
                        <a:noFill/>
                      </wps:spPr>
                      <wps:txbx>
                        <w:txbxContent>
                          <w:p w14:paraId="74F9AFE3">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①盐水袋</w:t>
                            </w:r>
                            <w:r>
                              <w:rPr>
                                <w:rFonts w:hint="eastAsia" w:ascii="Times New Roman" w:hAnsi="Times New Roman" w:eastAsia="仿宋_GB2312" w:cs="Times New Roman"/>
                                <w:kern w:val="2"/>
                                <w:sz w:val="24"/>
                                <w:szCs w:val="24"/>
                                <w:lang w:val="en-US" w:eastAsia="zh-CN" w:bidi="ar-SA"/>
                              </w:rPr>
                              <w:t>（非本设备组成部件）</w:t>
                            </w:r>
                          </w:p>
                          <w:p w14:paraId="3B0B1D9C">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②冲洗导管</w:t>
                            </w:r>
                          </w:p>
                          <w:p w14:paraId="38F09FE9">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③主机</w:t>
                            </w:r>
                          </w:p>
                          <w:p w14:paraId="79433F50">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④抽吸导管</w:t>
                            </w:r>
                          </w:p>
                          <w:p w14:paraId="11E49356">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⑤真空泵吸引导管</w:t>
                            </w:r>
                          </w:p>
                          <w:p w14:paraId="0A854D8E">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⑥废液瓶</w:t>
                            </w:r>
                          </w:p>
                          <w:p w14:paraId="64B17711">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8"/>
                                <w:szCs w:val="28"/>
                                <w:lang w:val="en-US" w:eastAsia="zh-CN" w:bidi="ar-SA"/>
                              </w:rPr>
                              <w:t>⑦冲洗吸引管</w:t>
                            </w:r>
                          </w:p>
                        </w:txbxContent>
                      </wps:txbx>
                      <wps:bodyPr wrap="square" rtlCol="0">
                        <a:noAutofit/>
                      </wps:bodyPr>
                    </wps:wsp>
                  </a:graphicData>
                </a:graphic>
              </wp:anchor>
            </w:drawing>
          </mc:Choice>
          <mc:Fallback>
            <w:pict>
              <v:shape id="文本框 3" o:spid="_x0000_s1026" o:spt="202" type="#_x0000_t202" style="position:absolute;left:0pt;margin-left:240.7pt;margin-top:1.3pt;height:198.85pt;width:232pt;z-index:251660288;mso-width-relative:page;mso-height-relative:page;" filled="f" stroked="f" coordsize="21600,21600" o:gfxdata="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Eoz0X3VAAAACQEAAA8AAAAAAAAAAQAgAAAAIgAAAGRycy9kb3ducmV2LnhtbFBLAQIUABQA&#10;AAAIAIdO4kC3pYvougEAAF4DAAAOAAAAAAAAAAEAIAAAACQBAABkcnMvZTJvRG9jLnhtbFBLBQYA&#10;AAAABgAGAFkBAABQBQAAAAA=&#10;">
                <v:fill on="f" focussize="0,0"/>
                <v:stroke on="f"/>
                <v:imagedata o:title=""/>
                <o:lock v:ext="edit" aspectratio="f"/>
                <v:textbox>
                  <w:txbxContent>
                    <w:p w14:paraId="74F9AFE3">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①盐水袋</w:t>
                      </w:r>
                      <w:r>
                        <w:rPr>
                          <w:rFonts w:hint="eastAsia" w:ascii="Times New Roman" w:hAnsi="Times New Roman" w:eastAsia="仿宋_GB2312" w:cs="Times New Roman"/>
                          <w:kern w:val="2"/>
                          <w:sz w:val="24"/>
                          <w:szCs w:val="24"/>
                          <w:lang w:val="en-US" w:eastAsia="zh-CN" w:bidi="ar-SA"/>
                        </w:rPr>
                        <w:t>（非本设备组成部件）</w:t>
                      </w:r>
                    </w:p>
                    <w:p w14:paraId="3B0B1D9C">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②冲洗导管</w:t>
                      </w:r>
                    </w:p>
                    <w:p w14:paraId="38F09FE9">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③主机</w:t>
                      </w:r>
                    </w:p>
                    <w:p w14:paraId="79433F50">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④抽吸导管</w:t>
                      </w:r>
                    </w:p>
                    <w:p w14:paraId="11E49356">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⑤真空泵吸引导管</w:t>
                      </w:r>
                    </w:p>
                    <w:p w14:paraId="0A854D8E">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⑥废液瓶</w:t>
                      </w:r>
                    </w:p>
                    <w:p w14:paraId="64B17711">
                      <w:pPr>
                        <w:pStyle w:val="16"/>
                        <w:keepNext w:val="0"/>
                        <w:keepLines w:val="0"/>
                        <w:pageBreakBefore w:val="0"/>
                        <w:widowControl/>
                        <w:kinsoku/>
                        <w:wordWrap/>
                        <w:overflowPunct/>
                        <w:topLinePunct w:val="0"/>
                        <w:bidi w:val="0"/>
                        <w:adjustRightInd/>
                        <w:snapToGrid/>
                        <w:spacing w:line="260" w:lineRule="exact"/>
                        <w:ind w:left="0" w:firstLine="0"/>
                        <w:jc w:val="left"/>
                        <w:textAlignment w:val="top"/>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8"/>
                          <w:szCs w:val="28"/>
                          <w:lang w:val="en-US" w:eastAsia="zh-CN" w:bidi="ar-SA"/>
                        </w:rPr>
                        <w:t>⑦冲洗吸引管</w:t>
                      </w:r>
                    </w:p>
                  </w:txbxContent>
                </v:textbox>
              </v:shape>
            </w:pict>
          </mc:Fallback>
        </mc:AlternateContent>
      </w:r>
    </w:p>
    <w:p w14:paraId="34E55A10">
      <w:pPr>
        <w:spacing w:line="520" w:lineRule="exact"/>
        <w:ind w:firstLine="640"/>
      </w:pPr>
    </w:p>
    <w:p w14:paraId="28BA081C">
      <w:pPr>
        <w:spacing w:line="520" w:lineRule="exact"/>
        <w:ind w:firstLine="640"/>
      </w:pPr>
    </w:p>
    <w:p w14:paraId="20C22CDA">
      <w:pPr>
        <w:spacing w:line="520" w:lineRule="exact"/>
        <w:ind w:firstLine="640"/>
      </w:pPr>
    </w:p>
    <w:p w14:paraId="7B7615CA">
      <w:pPr>
        <w:spacing w:line="520" w:lineRule="exact"/>
        <w:ind w:firstLine="640"/>
      </w:pPr>
    </w:p>
    <w:p w14:paraId="2FBE4286">
      <w:pPr>
        <w:spacing w:line="520" w:lineRule="exact"/>
        <w:ind w:left="0" w:leftChars="0" w:firstLine="0" w:firstLineChars="0"/>
      </w:pPr>
    </w:p>
    <w:p w14:paraId="6F499923">
      <w:pPr>
        <w:pStyle w:val="2"/>
      </w:pPr>
    </w:p>
    <w:p w14:paraId="42EC2E5B">
      <w:pPr>
        <w:pStyle w:val="2"/>
      </w:pPr>
    </w:p>
    <w:p w14:paraId="17D91D97">
      <w:pPr>
        <w:pStyle w:val="2"/>
      </w:pPr>
    </w:p>
    <w:p w14:paraId="7FA76AC8">
      <w:pPr>
        <w:spacing w:line="520" w:lineRule="exact"/>
        <w:ind w:firstLine="640"/>
        <w:jc w:val="center"/>
        <w:rPr>
          <w:rFonts w:hint="default"/>
          <w:lang w:val="en-US"/>
        </w:rPr>
      </w:pPr>
      <w:r>
        <w:rPr>
          <w:rFonts w:hint="eastAsia"/>
          <w:color w:val="000000" w:themeColor="text1"/>
          <w:lang w:eastAsia="zh-CN"/>
          <w14:textFill>
            <w14:solidFill>
              <w14:schemeClr w14:val="tx1"/>
            </w14:solidFill>
          </w14:textFill>
        </w:rPr>
        <w:t>图</w:t>
      </w:r>
      <w:r>
        <w:rPr>
          <w:rFonts w:hint="eastAsia"/>
          <w:color w:val="000000" w:themeColor="text1"/>
          <w:lang w:val="en-US" w:eastAsia="zh-CN"/>
          <w14:textFill>
            <w14:solidFill>
              <w14:schemeClr w14:val="tx1"/>
            </w14:solidFill>
          </w14:textFill>
        </w:rPr>
        <w:t>1内窥镜冲洗吸引器典型图示</w:t>
      </w:r>
    </w:p>
    <w:p w14:paraId="22A9B91C">
      <w:pPr>
        <w:spacing w:line="520" w:lineRule="exact"/>
        <w:ind w:firstLine="640"/>
      </w:pPr>
      <w:r>
        <w:t>2.1.3产品功能</w:t>
      </w:r>
    </w:p>
    <w:p w14:paraId="7CF6FA8F">
      <w:pPr>
        <w:spacing w:line="520" w:lineRule="exact"/>
        <w:ind w:firstLine="640"/>
        <w:rPr>
          <w:rFonts w:hint="eastAsia"/>
        </w:rPr>
      </w:pPr>
      <w:r>
        <w:t>应描述全部模式和功能，说明每种模式的工作方式</w:t>
      </w:r>
      <w:r>
        <w:rPr>
          <w:rFonts w:hint="eastAsia"/>
        </w:rPr>
        <w:t>。</w:t>
      </w:r>
      <w:r>
        <w:t>提供产品关键部件的信息，其应包括</w:t>
      </w:r>
      <w:r>
        <w:rPr>
          <w:rFonts w:hint="eastAsia"/>
          <w:lang w:eastAsia="zh-CN"/>
        </w:rPr>
        <w:t>部件名称、</w:t>
      </w:r>
      <w:r>
        <w:t>型号规格</w:t>
      </w:r>
      <w:r>
        <w:rPr>
          <w:rFonts w:hint="eastAsia"/>
          <w:lang w:eastAsia="zh-CN"/>
        </w:rPr>
        <w:t>、主要参数、配置数量</w:t>
      </w:r>
      <w:r>
        <w:t>。</w:t>
      </w:r>
      <w:r>
        <w:rPr>
          <w:rFonts w:hint="eastAsia"/>
        </w:rPr>
        <w:t>若产品含有软件，应</w:t>
      </w:r>
      <w:r>
        <w:t>说明产品的软件功能</w:t>
      </w:r>
      <w:r>
        <w:rPr>
          <w:rFonts w:hint="eastAsia"/>
        </w:rPr>
        <w:t>及</w:t>
      </w:r>
      <w:r>
        <w:t>临床应用场景</w:t>
      </w:r>
      <w:r>
        <w:rPr>
          <w:rFonts w:hint="eastAsia"/>
        </w:rPr>
        <w:t>。</w:t>
      </w:r>
    </w:p>
    <w:p w14:paraId="71322837">
      <w:pPr>
        <w:spacing w:line="520" w:lineRule="exact"/>
        <w:ind w:firstLine="640"/>
      </w:pPr>
      <w:r>
        <w:t>2.2型号规格</w:t>
      </w:r>
    </w:p>
    <w:p w14:paraId="115C9FF4">
      <w:pPr>
        <w:spacing w:line="520" w:lineRule="exact"/>
        <w:ind w:firstLine="640"/>
        <w:rPr>
          <w:rFonts w:hint="eastAsia"/>
          <w:highlight w:val="yellow"/>
        </w:rPr>
      </w:pPr>
      <w:r>
        <w:t>说明产品的型号规格及划分依据，明确各型号规格的区别，</w:t>
      </w:r>
      <w:r>
        <w:rPr>
          <w:rFonts w:hint="eastAsia"/>
        </w:rPr>
        <w:t>可采用对比表或带有说明性文字的图片、图表，描述各型号规格的结构组成（或配置）、功能、产品特征、性能指标、技术参数内容。</w:t>
      </w:r>
    </w:p>
    <w:p w14:paraId="7C5CBBA2">
      <w:pPr>
        <w:spacing w:line="520" w:lineRule="exact"/>
        <w:ind w:firstLine="640"/>
        <w:rPr>
          <w:szCs w:val="32"/>
        </w:rPr>
      </w:pPr>
      <w:r>
        <w:rPr>
          <w:szCs w:val="32"/>
        </w:rPr>
        <w:t>2.3包装说明</w:t>
      </w:r>
    </w:p>
    <w:p w14:paraId="17C7DD92">
      <w:pPr>
        <w:spacing w:line="520" w:lineRule="exact"/>
        <w:ind w:firstLine="640"/>
      </w:pPr>
      <w:r>
        <w:t>应提供</w:t>
      </w:r>
      <w:r>
        <w:rPr>
          <w:rFonts w:hint="eastAsia"/>
          <w:lang w:eastAsia="zh-CN"/>
        </w:rPr>
        <w:t>内窥镜冲洗吸引器</w:t>
      </w:r>
      <w:r>
        <w:t>的包装信息，如包装材料、用途等，如有多层包装应分别提供，并提供各层包装的图示。说明如何确保最终使用者可清晰地辨识包装的完整性。</w:t>
      </w:r>
    </w:p>
    <w:p w14:paraId="252664BB">
      <w:pPr>
        <w:spacing w:line="520" w:lineRule="exact"/>
        <w:ind w:firstLine="640"/>
      </w:pPr>
      <w:r>
        <w:t>2.4与同类和/或前代产品的参考和比较</w:t>
      </w:r>
    </w:p>
    <w:p w14:paraId="15812D6F">
      <w:pPr>
        <w:spacing w:line="520" w:lineRule="exact"/>
        <w:ind w:firstLine="640"/>
      </w:pPr>
      <w:r>
        <w:t>如申报产品有同类产品和/或前代产品，申请人应说明相关的背景情况，提供</w:t>
      </w:r>
      <w:r>
        <w:rPr>
          <w:rFonts w:hint="eastAsia"/>
        </w:rPr>
        <w:t>相关</w:t>
      </w:r>
      <w:r>
        <w:t>上市情况说明。列表比较申报产品与同类产品和/或前代产品的工作原理、结构组成、</w:t>
      </w:r>
      <w:r>
        <w:rPr>
          <w:rFonts w:hint="eastAsia"/>
        </w:rPr>
        <w:t>主要</w:t>
      </w:r>
      <w:r>
        <w:t>功能及性能指标、适用范围等方面的异同。与已有功能和/或参数存在差异的，应说明差异的原因、设计依据及针对差异进行的验证确认工作。</w:t>
      </w:r>
    </w:p>
    <w:p w14:paraId="094AAC93">
      <w:pPr>
        <w:spacing w:line="520" w:lineRule="exact"/>
        <w:ind w:firstLine="640"/>
        <w:jc w:val="left"/>
        <w:outlineLvl w:val="2"/>
        <w:rPr>
          <w:bCs/>
          <w:szCs w:val="32"/>
        </w:rPr>
      </w:pPr>
      <w:bookmarkStart w:id="28" w:name="_Toc29725"/>
      <w:bookmarkStart w:id="29" w:name="_Toc14684"/>
      <w:bookmarkStart w:id="30" w:name="_Toc20552"/>
      <w:r>
        <w:rPr>
          <w:bCs/>
          <w:szCs w:val="32"/>
        </w:rPr>
        <w:t>3.适用范围</w:t>
      </w:r>
      <w:bookmarkEnd w:id="28"/>
      <w:bookmarkEnd w:id="29"/>
      <w:bookmarkEnd w:id="30"/>
    </w:p>
    <w:p w14:paraId="3AB9A10F">
      <w:pPr>
        <w:spacing w:line="520" w:lineRule="exact"/>
        <w:ind w:firstLine="640"/>
        <w:rPr>
          <w:rFonts w:hint="eastAsia" w:eastAsia="仿宋_GB2312"/>
          <w:szCs w:val="32"/>
          <w:lang w:val="en-US" w:eastAsia="zh-CN"/>
        </w:rPr>
      </w:pPr>
      <w:r>
        <w:rPr>
          <w:szCs w:val="32"/>
        </w:rPr>
        <w:t>产品具体适用范围应与申报产品功能、临床应用范围相一致。</w:t>
      </w:r>
      <w:r>
        <w:rPr>
          <w:rFonts w:hint="eastAsia"/>
          <w:szCs w:val="32"/>
          <w:lang w:eastAsia="zh-CN"/>
        </w:rPr>
        <w:t>内窥镜冲洗吸引器</w:t>
      </w:r>
      <w:r>
        <w:rPr>
          <w:szCs w:val="32"/>
        </w:rPr>
        <w:t>的预期用途一般可限定为：</w:t>
      </w:r>
      <w:r>
        <w:rPr>
          <w:rFonts w:hint="eastAsia"/>
          <w:szCs w:val="32"/>
        </w:rPr>
        <w:t>用于在内窥镜诊断和/或治疗/手术中保持内窥镜的观察视场区域不受到血液或异物的阻挡</w:t>
      </w:r>
      <w:r>
        <w:rPr>
          <w:rFonts w:hint="eastAsia"/>
          <w:szCs w:val="32"/>
          <w:lang w:eastAsia="zh-CN"/>
        </w:rPr>
        <w:t>；</w:t>
      </w:r>
      <w:r>
        <w:rPr>
          <w:rFonts w:hint="default"/>
          <w:szCs w:val="32"/>
        </w:rPr>
        <w:t>用于内窥镜手术中的冲洗和/或吸引</w:t>
      </w:r>
      <w:r>
        <w:rPr>
          <w:szCs w:val="32"/>
        </w:rPr>
        <w:t>。</w:t>
      </w:r>
      <w:r>
        <w:rPr>
          <w:rFonts w:hint="eastAsia"/>
          <w:highlight w:val="none"/>
        </w:rPr>
        <w:t>不适用于流产手术及清宫吸引用</w:t>
      </w:r>
      <w:r>
        <w:rPr>
          <w:rFonts w:hint="eastAsia"/>
          <w:highlight w:val="none"/>
          <w:lang w:eastAsia="zh-CN"/>
        </w:rPr>
        <w:t>。</w:t>
      </w:r>
    </w:p>
    <w:p w14:paraId="33292124">
      <w:pPr>
        <w:spacing w:line="520" w:lineRule="exact"/>
        <w:ind w:firstLine="640"/>
        <w:outlineLvl w:val="2"/>
      </w:pPr>
      <w:r>
        <w:t>4.申报产品上市历史</w:t>
      </w:r>
    </w:p>
    <w:p w14:paraId="1B4C1025">
      <w:pPr>
        <w:spacing w:line="520" w:lineRule="exact"/>
        <w:ind w:firstLine="640"/>
      </w:pPr>
      <w:r>
        <w:t>如适用，应提供申报产品在各国家或地区的上市批准时间、销售情况。</w:t>
      </w:r>
    </w:p>
    <w:p w14:paraId="3BA3C76B">
      <w:pPr>
        <w:spacing w:line="520" w:lineRule="exact"/>
        <w:ind w:firstLine="640"/>
      </w:pPr>
      <w:r>
        <w:t>如适用，应提供申报产品上市后不良事件及召回情况，如不良事件及召回情况描述、原因分析、处理和解决方案、对安全有效性影响的分析评价等。</w:t>
      </w:r>
    </w:p>
    <w:p w14:paraId="181A0DD3">
      <w:pPr>
        <w:spacing w:line="520" w:lineRule="exact"/>
        <w:ind w:firstLine="640"/>
        <w:outlineLvl w:val="2"/>
        <w:rPr>
          <w:bCs/>
          <w:szCs w:val="32"/>
        </w:rPr>
      </w:pPr>
      <w:bookmarkStart w:id="31" w:name="OLE_LINK4"/>
      <w:r>
        <w:rPr>
          <w:rFonts w:hint="eastAsia"/>
          <w:bCs/>
          <w:szCs w:val="32"/>
          <w:lang w:val="en-US" w:eastAsia="zh-CN"/>
        </w:rPr>
        <w:t>5</w:t>
      </w:r>
      <w:r>
        <w:rPr>
          <w:bCs/>
          <w:szCs w:val="32"/>
        </w:rPr>
        <w:t>.其他</w:t>
      </w:r>
    </w:p>
    <w:bookmarkEnd w:id="31"/>
    <w:p w14:paraId="192B1B48">
      <w:pPr>
        <w:spacing w:line="520" w:lineRule="exact"/>
        <w:ind w:firstLine="640"/>
        <w:rPr>
          <w:szCs w:val="32"/>
        </w:rPr>
      </w:pPr>
      <w:bookmarkStart w:id="32" w:name="_Toc9428"/>
      <w:bookmarkStart w:id="33" w:name="_Toc17507"/>
      <w:bookmarkStart w:id="34" w:name="_Toc12750"/>
      <w:r>
        <w:rPr>
          <w:szCs w:val="32"/>
        </w:rPr>
        <w:t>应明确与其配合使用的</w:t>
      </w:r>
      <w:r>
        <w:rPr>
          <w:rFonts w:hint="eastAsia"/>
          <w:szCs w:val="32"/>
          <w:lang w:eastAsia="zh-CN"/>
        </w:rPr>
        <w:t>内窥镜器械、冲洗液</w:t>
      </w:r>
      <w:r>
        <w:rPr>
          <w:szCs w:val="32"/>
        </w:rPr>
        <w:t>等的注册证信息或接口要求。</w:t>
      </w:r>
    </w:p>
    <w:p w14:paraId="73052804">
      <w:pPr>
        <w:spacing w:line="520" w:lineRule="exact"/>
        <w:ind w:firstLine="640"/>
        <w:jc w:val="left"/>
        <w:outlineLvl w:val="1"/>
        <w:rPr>
          <w:rFonts w:hint="eastAsia" w:eastAsia="楷体_GB2312"/>
          <w:szCs w:val="32"/>
          <w:lang w:eastAsia="zh-CN"/>
        </w:rPr>
      </w:pPr>
      <w:r>
        <w:rPr>
          <w:rFonts w:hint="eastAsia" w:eastAsia="楷体_GB2312"/>
          <w:szCs w:val="32"/>
          <w:lang w:eastAsia="zh-CN"/>
        </w:rPr>
        <w:t>（三）非临床资料</w:t>
      </w:r>
    </w:p>
    <w:p w14:paraId="065498C2">
      <w:pPr>
        <w:spacing w:line="520" w:lineRule="exact"/>
        <w:ind w:firstLine="640"/>
        <w:outlineLvl w:val="2"/>
        <w:rPr>
          <w:bCs/>
          <w:szCs w:val="32"/>
        </w:rPr>
      </w:pPr>
      <w:r>
        <w:rPr>
          <w:rFonts w:hint="eastAsia"/>
          <w:bCs/>
          <w:szCs w:val="32"/>
          <w:lang w:val="en-US" w:eastAsia="zh-CN"/>
        </w:rPr>
        <w:t>1.</w:t>
      </w:r>
      <w:r>
        <w:rPr>
          <w:bCs/>
          <w:szCs w:val="32"/>
        </w:rPr>
        <w:t>产品风险管理资料</w:t>
      </w:r>
    </w:p>
    <w:bookmarkEnd w:id="32"/>
    <w:bookmarkEnd w:id="33"/>
    <w:bookmarkEnd w:id="34"/>
    <w:p w14:paraId="6F2A601B">
      <w:pPr>
        <w:spacing w:line="520" w:lineRule="exact"/>
        <w:ind w:firstLine="640"/>
      </w:pPr>
      <w:bookmarkStart w:id="35" w:name="_Toc15646"/>
      <w:bookmarkStart w:id="36" w:name="_Toc13405"/>
      <w:bookmarkStart w:id="37" w:name="_Toc25867"/>
      <w:r>
        <w:t>申请人可参考GB/T 42062及YY/T 1437标准对产品进行全生命周期风险管理，提交风险管理资料。</w:t>
      </w:r>
    </w:p>
    <w:p w14:paraId="6221F450">
      <w:pPr>
        <w:spacing w:line="520" w:lineRule="exact"/>
        <w:ind w:firstLine="640"/>
        <w:rPr>
          <w:szCs w:val="32"/>
        </w:rPr>
      </w:pPr>
      <w:r>
        <w:t>建议参考GB/T 42062标准、适用的安全标准（如GB 9706.1）及规范性文件，结合产品自身设计特点、临床用途及使用场景，充分识别与安全有关的特征，进行风险分析、评价及控制。风险控制的方案与实施、综合剩余风险的评价可参考GB/T 42062标准第7、第8章的相关要求。应确保各风险的可追溯性，提供各风险及综合剩余风险的可接受准则，确认各风险及综合剩余风险可接受。</w:t>
      </w:r>
      <w:r>
        <w:rPr>
          <w:rFonts w:hint="eastAsia"/>
          <w:szCs w:val="32"/>
          <w:lang w:eastAsia="zh-CN"/>
        </w:rPr>
        <w:t>内窥镜冲洗吸引器</w:t>
      </w:r>
      <w:r>
        <w:rPr>
          <w:szCs w:val="32"/>
        </w:rPr>
        <w:t>产品的危险示例见附件</w:t>
      </w:r>
      <w:r>
        <w:rPr>
          <w:rFonts w:hint="eastAsia"/>
          <w:szCs w:val="32"/>
        </w:rPr>
        <w:t>1</w:t>
      </w:r>
    </w:p>
    <w:bookmarkEnd w:id="35"/>
    <w:bookmarkEnd w:id="36"/>
    <w:p w14:paraId="46E6EC9F">
      <w:pPr>
        <w:spacing w:line="520" w:lineRule="exact"/>
        <w:ind w:firstLine="640"/>
        <w:outlineLvl w:val="2"/>
        <w:rPr>
          <w:rFonts w:hint="eastAsia"/>
          <w:bCs/>
          <w:szCs w:val="32"/>
          <w:lang w:eastAsia="zh-CN"/>
        </w:rPr>
      </w:pPr>
      <w:r>
        <w:rPr>
          <w:rFonts w:hint="eastAsia"/>
          <w:bCs/>
          <w:szCs w:val="32"/>
          <w:lang w:val="en-US" w:eastAsia="zh-CN"/>
        </w:rPr>
        <w:t>2.</w:t>
      </w:r>
      <w:r>
        <w:rPr>
          <w:bCs/>
          <w:szCs w:val="32"/>
        </w:rPr>
        <w:t>安全和性能的基本原则</w:t>
      </w:r>
      <w:r>
        <w:rPr>
          <w:rFonts w:hint="eastAsia"/>
          <w:bCs/>
          <w:szCs w:val="32"/>
          <w:lang w:eastAsia="zh-CN"/>
        </w:rPr>
        <w:t>清单</w:t>
      </w:r>
    </w:p>
    <w:p w14:paraId="10048BA1">
      <w:pPr>
        <w:spacing w:line="520" w:lineRule="exact"/>
        <w:ind w:firstLine="640"/>
        <w:rPr>
          <w:szCs w:val="32"/>
          <w:highlight w:val="none"/>
        </w:rPr>
      </w:pPr>
      <w:r>
        <w:rPr>
          <w:szCs w:val="32"/>
        </w:rPr>
        <w:t>参考《医疗器械安全和性能基本原则符合性技术指南》的要求，根据《医疗器械安全和性能的基本原则》中的各项要求明确适用性。对于不适用的要求，应当逐项说明不适用的理由。对于适用要求，应逐项说明为符合要求所采用的方法，以及证明其符合性的文件。关于证明各项要求符合性的文件，如果包含在产品注册申报资料中，应当说明其在申报资料中的具体位置。对于未包含在产品注册申报资料中的文件，应当注明该证明文件名称及其在质量管理体系文件中的编号。</w:t>
      </w:r>
      <w:r>
        <w:rPr>
          <w:rFonts w:hint="eastAsia"/>
          <w:szCs w:val="32"/>
          <w:lang w:eastAsia="zh-CN"/>
        </w:rPr>
        <w:t>内窥镜冲洗吸</w:t>
      </w:r>
      <w:r>
        <w:rPr>
          <w:rFonts w:hint="eastAsia"/>
          <w:szCs w:val="32"/>
          <w:highlight w:val="none"/>
          <w:lang w:eastAsia="zh-CN"/>
        </w:rPr>
        <w:t>引器</w:t>
      </w:r>
      <w:r>
        <w:rPr>
          <w:szCs w:val="32"/>
          <w:highlight w:val="none"/>
        </w:rPr>
        <w:t>产品</w:t>
      </w:r>
      <w:r>
        <w:rPr>
          <w:rFonts w:hint="eastAsia"/>
          <w:szCs w:val="32"/>
          <w:highlight w:val="none"/>
          <w:lang w:eastAsia="zh-CN"/>
        </w:rPr>
        <w:t>的</w:t>
      </w:r>
      <w:r>
        <w:rPr>
          <w:szCs w:val="32"/>
          <w:highlight w:val="none"/>
        </w:rPr>
        <w:t>《医疗器械安全和性能的基本原则清单》示例见附件</w:t>
      </w:r>
      <w:r>
        <w:rPr>
          <w:rFonts w:hint="eastAsia"/>
          <w:szCs w:val="32"/>
          <w:highlight w:val="none"/>
          <w:lang w:val="en-US" w:eastAsia="zh-CN"/>
        </w:rPr>
        <w:t>2</w:t>
      </w:r>
      <w:r>
        <w:rPr>
          <w:szCs w:val="32"/>
          <w:highlight w:val="none"/>
        </w:rPr>
        <w:t>。</w:t>
      </w:r>
    </w:p>
    <w:bookmarkEnd w:id="37"/>
    <w:p w14:paraId="1305BD5B">
      <w:pPr>
        <w:spacing w:line="520" w:lineRule="exact"/>
        <w:ind w:firstLine="640"/>
        <w:outlineLvl w:val="2"/>
        <w:rPr>
          <w:rFonts w:hint="eastAsia"/>
          <w:bCs/>
          <w:szCs w:val="32"/>
          <w:highlight w:val="none"/>
          <w:lang w:val="en-US" w:eastAsia="zh-CN"/>
        </w:rPr>
      </w:pPr>
      <w:r>
        <w:rPr>
          <w:rFonts w:hint="eastAsia"/>
          <w:bCs/>
          <w:szCs w:val="32"/>
          <w:highlight w:val="none"/>
          <w:lang w:val="en-US" w:eastAsia="zh-CN"/>
        </w:rPr>
        <w:t>3.产品技术要求及检验报告</w:t>
      </w:r>
    </w:p>
    <w:p w14:paraId="11AF5BED">
      <w:pPr>
        <w:spacing w:line="520" w:lineRule="exact"/>
        <w:ind w:firstLine="640"/>
        <w:outlineLvl w:val="2"/>
        <w:rPr>
          <w:rFonts w:hint="eastAsia"/>
          <w:szCs w:val="32"/>
          <w:highlight w:val="none"/>
          <w:lang w:val="en-US" w:eastAsia="zh-CN"/>
        </w:rPr>
      </w:pPr>
      <w:r>
        <w:rPr>
          <w:rFonts w:hint="eastAsia"/>
          <w:szCs w:val="32"/>
          <w:highlight w:val="none"/>
          <w:lang w:val="en-US" w:eastAsia="zh-CN"/>
        </w:rPr>
        <w:t>3.1申报产品适用标准情况</w:t>
      </w:r>
    </w:p>
    <w:p w14:paraId="4AF08425">
      <w:pPr>
        <w:spacing w:line="520" w:lineRule="exact"/>
        <w:ind w:firstLine="640"/>
        <w:rPr>
          <w:rFonts w:hint="eastAsia"/>
          <w:szCs w:val="32"/>
          <w:lang w:eastAsia="zh-CN"/>
        </w:rPr>
      </w:pPr>
      <w:r>
        <w:rPr>
          <w:szCs w:val="32"/>
        </w:rPr>
        <w:t>注册申请人应按照《医疗器械产品技术要求编写指导原则》编写产品技术要求，结合申报产品的特点设置条款。不同企业可根据自身产品的技术特点制定性能指标，但不得低于相关强制性国家标准、行业标准的要求。</w:t>
      </w:r>
    </w:p>
    <w:p w14:paraId="0AE6D7E5">
      <w:pPr>
        <w:spacing w:line="520" w:lineRule="exact"/>
        <w:ind w:firstLine="640"/>
        <w:rPr>
          <w:rFonts w:hint="eastAsia" w:eastAsia="仿宋_GB2312"/>
          <w:szCs w:val="32"/>
          <w:lang w:val="en-US" w:eastAsia="zh-CN"/>
        </w:rPr>
      </w:pPr>
      <w:r>
        <w:rPr>
          <w:rFonts w:hint="eastAsia"/>
          <w:szCs w:val="32"/>
          <w:lang w:eastAsia="zh-CN"/>
        </w:rPr>
        <w:t>内窥镜冲洗吸引器</w:t>
      </w:r>
      <w:r>
        <w:rPr>
          <w:szCs w:val="32"/>
        </w:rPr>
        <w:t>应符合标准</w:t>
      </w:r>
      <w:r>
        <w:rPr>
          <w:rFonts w:hint="eastAsia"/>
          <w:szCs w:val="32"/>
        </w:rPr>
        <w:t>GB 9706.1、YY 9706.102、GB 9706.218</w:t>
      </w:r>
      <w:r>
        <w:rPr>
          <w:rFonts w:hint="eastAsia"/>
          <w:szCs w:val="32"/>
          <w:lang w:eastAsia="zh-CN"/>
        </w:rPr>
        <w:t>、YY/T 0863</w:t>
      </w:r>
      <w:r>
        <w:rPr>
          <w:szCs w:val="32"/>
        </w:rPr>
        <w:t>的要求</w:t>
      </w:r>
      <w:r>
        <w:rPr>
          <w:rFonts w:hint="eastAsia"/>
          <w:szCs w:val="32"/>
          <w:lang w:eastAsia="zh-CN"/>
        </w:rPr>
        <w:t>；</w:t>
      </w:r>
      <w:r>
        <w:rPr>
          <w:rFonts w:hint="eastAsia"/>
          <w:szCs w:val="32"/>
          <w:highlight w:val="none"/>
          <w:lang w:val="en-US" w:eastAsia="zh-CN"/>
        </w:rPr>
        <w:t>但不适用于</w:t>
      </w:r>
      <w:r>
        <w:rPr>
          <w:rFonts w:hint="eastAsia"/>
          <w:highlight w:val="none"/>
        </w:rPr>
        <w:t>YY/T 1846</w:t>
      </w:r>
      <w:r>
        <w:rPr>
          <w:rFonts w:hint="eastAsia"/>
          <w:highlight w:val="none"/>
          <w:lang w:eastAsia="zh-CN"/>
        </w:rPr>
        <w:t>、</w:t>
      </w:r>
      <w:r>
        <w:rPr>
          <w:rFonts w:hint="eastAsia"/>
          <w:highlight w:val="none"/>
        </w:rPr>
        <w:t>YY/T 0636</w:t>
      </w:r>
      <w:r>
        <w:rPr>
          <w:rFonts w:hint="eastAsia"/>
          <w:highlight w:val="none"/>
          <w:lang w:val="en-US" w:eastAsia="zh-CN"/>
        </w:rPr>
        <w:t>系列标准，注册申请人注意区分。</w:t>
      </w:r>
    </w:p>
    <w:p w14:paraId="5BF5A9E0">
      <w:pPr>
        <w:spacing w:line="520" w:lineRule="exact"/>
        <w:ind w:firstLine="640"/>
      </w:pPr>
      <w:r>
        <w:rPr>
          <w:rFonts w:hint="eastAsia"/>
          <w:szCs w:val="32"/>
          <w:lang w:val="en-US" w:eastAsia="zh-CN"/>
        </w:rPr>
        <w:t>应明确冲洗管路等直接接触冲洗液的组件材料信息，明确材料通用和商品名称、CAS号和牌号，符合的国家、行业和国际标准。对于采用硅橡胶材质的管路，应符合YY/T 0031标准要求；对于采用医用PVC（软聚氯乙烯）材质的管路，应符合GB/T 10010标准要求；不锈钢材料应符合GB/T 18457标准要求。</w:t>
      </w:r>
    </w:p>
    <w:p w14:paraId="18714BFB">
      <w:pPr>
        <w:spacing w:line="520" w:lineRule="exact"/>
        <w:ind w:firstLine="640"/>
        <w:outlineLvl w:val="2"/>
        <w:rPr>
          <w:rFonts w:hint="default"/>
          <w:szCs w:val="32"/>
          <w:highlight w:val="none"/>
          <w:lang w:val="en-US" w:eastAsia="zh-CN"/>
        </w:rPr>
      </w:pPr>
      <w:r>
        <w:rPr>
          <w:rFonts w:hint="eastAsia"/>
          <w:szCs w:val="32"/>
          <w:highlight w:val="none"/>
          <w:lang w:val="en-US" w:eastAsia="zh-CN"/>
        </w:rPr>
        <w:t>3.2产品规格/型号及划分</w:t>
      </w:r>
    </w:p>
    <w:p w14:paraId="60D6A43C">
      <w:pPr>
        <w:spacing w:line="520" w:lineRule="exact"/>
        <w:ind w:firstLine="640"/>
        <w:rPr>
          <w:szCs w:val="32"/>
        </w:rPr>
      </w:pPr>
      <w:r>
        <w:rPr>
          <w:szCs w:val="32"/>
        </w:rPr>
        <w:t>应明确产品规格/型号及划分说明。若产品有多个型号，应体现型号间差异。</w:t>
      </w:r>
    </w:p>
    <w:p w14:paraId="790E1C98">
      <w:pPr>
        <w:spacing w:line="520" w:lineRule="exact"/>
        <w:ind w:firstLine="640"/>
        <w:rPr>
          <w:szCs w:val="32"/>
        </w:rPr>
      </w:pPr>
      <w:r>
        <w:rPr>
          <w:szCs w:val="32"/>
        </w:rPr>
        <w:t>若含有软件，应按照《</w:t>
      </w:r>
      <w:bookmarkStart w:id="38" w:name="OLE_LINK1"/>
      <w:r>
        <w:rPr>
          <w:szCs w:val="32"/>
        </w:rPr>
        <w:t>医疗器械软件注册审查指导原则</w:t>
      </w:r>
      <w:bookmarkEnd w:id="38"/>
      <w:r>
        <w:rPr>
          <w:szCs w:val="32"/>
        </w:rPr>
        <w:t>(2022年修订版)》的要求明确软件的名称、型号规格（若适用）、发布版本、版本命名规则。若软件模块（含医用中间件）有单独的版本、版本命名规则，均需说明。</w:t>
      </w:r>
    </w:p>
    <w:p w14:paraId="0A3C20EF">
      <w:pPr>
        <w:spacing w:line="520" w:lineRule="exact"/>
        <w:ind w:firstLine="640"/>
        <w:outlineLvl w:val="2"/>
        <w:rPr>
          <w:rFonts w:hint="eastAsia"/>
          <w:szCs w:val="32"/>
          <w:highlight w:val="none"/>
          <w:lang w:val="en-US" w:eastAsia="zh-CN"/>
        </w:rPr>
      </w:pPr>
      <w:r>
        <w:rPr>
          <w:rFonts w:hint="eastAsia"/>
          <w:szCs w:val="32"/>
          <w:highlight w:val="none"/>
          <w:lang w:val="en-US" w:eastAsia="zh-CN"/>
        </w:rPr>
        <w:t>3.3主要技术指标</w:t>
      </w:r>
    </w:p>
    <w:p w14:paraId="1AC7D694">
      <w:pPr>
        <w:spacing w:line="520" w:lineRule="exact"/>
        <w:ind w:firstLine="640"/>
        <w:rPr>
          <w:rFonts w:hint="eastAsia"/>
          <w:szCs w:val="32"/>
          <w:lang w:val="en-US" w:eastAsia="zh-CN"/>
        </w:rPr>
      </w:pPr>
      <w:r>
        <w:rPr>
          <w:rFonts w:hint="eastAsia"/>
          <w:szCs w:val="32"/>
          <w:lang w:val="en-US" w:eastAsia="zh-CN"/>
        </w:rPr>
        <w:t>3.3.1外观</w:t>
      </w:r>
    </w:p>
    <w:p w14:paraId="0A5E579D">
      <w:pPr>
        <w:spacing w:line="520" w:lineRule="exact"/>
        <w:ind w:firstLine="640"/>
        <w:rPr>
          <w:rFonts w:hint="eastAsia"/>
          <w:szCs w:val="32"/>
          <w:lang w:val="en-US" w:eastAsia="zh-CN"/>
        </w:rPr>
      </w:pPr>
      <w:bookmarkStart w:id="39" w:name="OLE_LINK5"/>
      <w:r>
        <w:rPr>
          <w:rFonts w:hint="eastAsia"/>
          <w:szCs w:val="32"/>
          <w:lang w:val="en-US" w:eastAsia="zh-CN"/>
        </w:rPr>
        <w:t>3.3.2性能指标</w:t>
      </w:r>
    </w:p>
    <w:p w14:paraId="50A818E0">
      <w:pPr>
        <w:spacing w:line="520" w:lineRule="exact"/>
        <w:ind w:firstLine="640"/>
        <w:rPr>
          <w:rFonts w:hint="eastAsia"/>
          <w:szCs w:val="32"/>
          <w:lang w:eastAsia="zh-CN"/>
        </w:rPr>
      </w:pPr>
      <w:r>
        <w:rPr>
          <w:rFonts w:hint="eastAsia"/>
          <w:szCs w:val="32"/>
          <w:lang w:val="en-US" w:eastAsia="zh-CN"/>
        </w:rPr>
        <w:t>3.3.2.1</w:t>
      </w:r>
      <w:r>
        <w:rPr>
          <w:rFonts w:hint="eastAsia"/>
          <w:szCs w:val="32"/>
          <w:lang w:eastAsia="zh-CN"/>
        </w:rPr>
        <w:t>预置压强限的调节范围</w:t>
      </w:r>
    </w:p>
    <w:p w14:paraId="1175D7DE">
      <w:pPr>
        <w:spacing w:line="520" w:lineRule="exact"/>
        <w:ind w:firstLine="640"/>
        <w:rPr>
          <w:rFonts w:hint="eastAsia"/>
          <w:szCs w:val="32"/>
          <w:lang w:eastAsia="zh-CN"/>
        </w:rPr>
      </w:pPr>
      <w:r>
        <w:rPr>
          <w:rFonts w:hint="eastAsia"/>
          <w:szCs w:val="32"/>
          <w:lang w:val="en-US" w:eastAsia="zh-CN"/>
        </w:rPr>
        <w:t>3.3.2.2</w:t>
      </w:r>
      <w:r>
        <w:rPr>
          <w:rFonts w:hint="eastAsia"/>
          <w:szCs w:val="32"/>
          <w:lang w:eastAsia="zh-CN"/>
        </w:rPr>
        <w:t>压强限预置的准确性</w:t>
      </w:r>
    </w:p>
    <w:p w14:paraId="261D6576">
      <w:pPr>
        <w:spacing w:line="520" w:lineRule="exact"/>
        <w:ind w:firstLine="640"/>
        <w:rPr>
          <w:rFonts w:hint="eastAsia"/>
          <w:szCs w:val="32"/>
          <w:lang w:eastAsia="zh-CN"/>
        </w:rPr>
      </w:pPr>
      <w:r>
        <w:rPr>
          <w:rFonts w:hint="eastAsia"/>
          <w:szCs w:val="32"/>
          <w:lang w:val="en-US" w:eastAsia="zh-CN"/>
        </w:rPr>
        <w:t>3.3.2.3</w:t>
      </w:r>
      <w:r>
        <w:rPr>
          <w:rFonts w:hint="eastAsia"/>
          <w:szCs w:val="32"/>
          <w:lang w:eastAsia="zh-CN"/>
        </w:rPr>
        <w:t>预置流量的调节范围</w:t>
      </w:r>
    </w:p>
    <w:p w14:paraId="6E986C92">
      <w:pPr>
        <w:spacing w:line="520" w:lineRule="exact"/>
        <w:ind w:firstLine="640"/>
        <w:rPr>
          <w:rFonts w:hint="eastAsia"/>
          <w:szCs w:val="32"/>
          <w:lang w:eastAsia="zh-CN"/>
        </w:rPr>
      </w:pPr>
      <w:r>
        <w:rPr>
          <w:rFonts w:hint="eastAsia"/>
          <w:szCs w:val="32"/>
          <w:lang w:val="en-US" w:eastAsia="zh-CN"/>
        </w:rPr>
        <w:t>3.3.2.4</w:t>
      </w:r>
      <w:r>
        <w:rPr>
          <w:rFonts w:hint="eastAsia"/>
          <w:szCs w:val="32"/>
          <w:lang w:eastAsia="zh-CN"/>
        </w:rPr>
        <w:t>流量预置的准确性</w:t>
      </w:r>
    </w:p>
    <w:p w14:paraId="05C0F06E">
      <w:pPr>
        <w:spacing w:line="520" w:lineRule="exact"/>
        <w:ind w:firstLine="640"/>
        <w:rPr>
          <w:rFonts w:hint="eastAsia"/>
          <w:szCs w:val="32"/>
          <w:lang w:eastAsia="zh-CN"/>
        </w:rPr>
      </w:pPr>
      <w:r>
        <w:rPr>
          <w:rFonts w:hint="eastAsia"/>
          <w:szCs w:val="32"/>
          <w:lang w:val="en-US" w:eastAsia="zh-CN"/>
        </w:rPr>
        <w:t>3.3.2.5</w:t>
      </w:r>
      <w:r>
        <w:rPr>
          <w:rFonts w:hint="eastAsia"/>
          <w:szCs w:val="32"/>
          <w:lang w:eastAsia="zh-CN"/>
        </w:rPr>
        <w:t>控制开关</w:t>
      </w:r>
    </w:p>
    <w:p w14:paraId="085E31FC">
      <w:pPr>
        <w:spacing w:line="520" w:lineRule="exact"/>
        <w:ind w:firstLine="640"/>
        <w:rPr>
          <w:rFonts w:hint="eastAsia"/>
          <w:szCs w:val="32"/>
          <w:lang w:eastAsia="zh-CN"/>
        </w:rPr>
      </w:pPr>
      <w:r>
        <w:rPr>
          <w:rFonts w:hint="eastAsia"/>
          <w:szCs w:val="32"/>
          <w:lang w:val="en-US" w:eastAsia="zh-CN"/>
        </w:rPr>
        <w:t>3.3.2.6</w:t>
      </w:r>
      <w:r>
        <w:rPr>
          <w:rFonts w:hint="eastAsia"/>
          <w:szCs w:val="32"/>
          <w:lang w:eastAsia="zh-CN"/>
        </w:rPr>
        <w:t>各连接部位的连接牢固性</w:t>
      </w:r>
    </w:p>
    <w:p w14:paraId="51899AB1">
      <w:pPr>
        <w:spacing w:line="520" w:lineRule="exact"/>
        <w:ind w:firstLine="640"/>
        <w:rPr>
          <w:rFonts w:hint="eastAsia"/>
          <w:szCs w:val="32"/>
          <w:highlight w:val="none"/>
          <w:lang w:val="en-US" w:eastAsia="zh-CN"/>
        </w:rPr>
      </w:pPr>
      <w:r>
        <w:rPr>
          <w:rFonts w:hint="eastAsia"/>
          <w:szCs w:val="32"/>
          <w:highlight w:val="none"/>
          <w:lang w:val="en-US" w:eastAsia="zh-CN"/>
        </w:rPr>
        <w:t>3.3.2.7冲洗</w:t>
      </w:r>
      <w:r>
        <w:rPr>
          <w:rFonts w:hint="eastAsia"/>
          <w:szCs w:val="32"/>
          <w:highlight w:val="none"/>
          <w:lang w:eastAsia="zh-CN"/>
        </w:rPr>
        <w:t>管路</w:t>
      </w:r>
      <w:r>
        <w:rPr>
          <w:rFonts w:hint="eastAsia"/>
          <w:szCs w:val="32"/>
          <w:highlight w:val="none"/>
          <w:lang w:val="en-US" w:eastAsia="zh-CN"/>
        </w:rPr>
        <w:t>尺寸指标</w:t>
      </w:r>
    </w:p>
    <w:p w14:paraId="62C52570">
      <w:pPr>
        <w:spacing w:line="520" w:lineRule="exact"/>
        <w:ind w:firstLine="640"/>
        <w:rPr>
          <w:rFonts w:hint="eastAsia"/>
          <w:szCs w:val="32"/>
          <w:highlight w:val="none"/>
          <w:lang w:eastAsia="zh-CN"/>
        </w:rPr>
      </w:pPr>
      <w:r>
        <w:rPr>
          <w:rFonts w:hint="eastAsia"/>
          <w:szCs w:val="32"/>
          <w:highlight w:val="none"/>
          <w:lang w:val="en-US" w:eastAsia="zh-CN"/>
        </w:rPr>
        <w:t>3.3.2.7.1长度</w:t>
      </w:r>
    </w:p>
    <w:p w14:paraId="24D5DB54">
      <w:pPr>
        <w:spacing w:line="520" w:lineRule="exact"/>
        <w:ind w:firstLine="640"/>
        <w:rPr>
          <w:rFonts w:hint="eastAsia"/>
          <w:highlight w:val="none"/>
          <w:lang w:eastAsia="zh-CN"/>
        </w:rPr>
      </w:pPr>
      <w:r>
        <w:rPr>
          <w:rFonts w:hint="eastAsia"/>
          <w:szCs w:val="32"/>
          <w:highlight w:val="none"/>
          <w:lang w:val="en-US" w:eastAsia="zh-CN"/>
        </w:rPr>
        <w:t>3.3.2.7.2</w:t>
      </w:r>
      <w:r>
        <w:rPr>
          <w:rFonts w:hint="eastAsia"/>
          <w:szCs w:val="32"/>
          <w:highlight w:val="none"/>
          <w:lang w:eastAsia="zh-CN"/>
        </w:rPr>
        <w:t>内</w:t>
      </w:r>
      <w:r>
        <w:rPr>
          <w:rFonts w:hint="eastAsia"/>
          <w:szCs w:val="32"/>
          <w:highlight w:val="none"/>
          <w:lang w:val="en-US" w:eastAsia="zh-CN"/>
        </w:rPr>
        <w:t>外</w:t>
      </w:r>
      <w:r>
        <w:rPr>
          <w:rFonts w:hint="eastAsia"/>
          <w:szCs w:val="32"/>
          <w:highlight w:val="none"/>
          <w:lang w:eastAsia="zh-CN"/>
        </w:rPr>
        <w:t>径允差</w:t>
      </w:r>
    </w:p>
    <w:p w14:paraId="36B91991">
      <w:pPr>
        <w:spacing w:line="520" w:lineRule="exact"/>
        <w:ind w:firstLine="640"/>
        <w:rPr>
          <w:rFonts w:hint="eastAsia"/>
          <w:szCs w:val="32"/>
          <w:highlight w:val="none"/>
          <w:lang w:eastAsia="zh-CN"/>
        </w:rPr>
      </w:pPr>
      <w:r>
        <w:rPr>
          <w:rFonts w:hint="eastAsia"/>
          <w:szCs w:val="32"/>
          <w:highlight w:val="none"/>
          <w:lang w:val="en-US" w:eastAsia="zh-CN"/>
        </w:rPr>
        <w:t>3.3.2.8</w:t>
      </w:r>
      <w:r>
        <w:rPr>
          <w:rFonts w:hint="eastAsia"/>
          <w:szCs w:val="32"/>
          <w:highlight w:val="none"/>
          <w:lang w:eastAsia="zh-CN"/>
        </w:rPr>
        <w:t>管路受滚轮挤压部分的耐久性（如适用）</w:t>
      </w:r>
    </w:p>
    <w:p w14:paraId="448DC4C1">
      <w:pPr>
        <w:spacing w:line="520" w:lineRule="exact"/>
        <w:ind w:firstLine="640"/>
        <w:rPr>
          <w:rFonts w:hint="eastAsia"/>
          <w:szCs w:val="32"/>
          <w:lang w:eastAsia="zh-CN"/>
        </w:rPr>
      </w:pPr>
      <w:r>
        <w:rPr>
          <w:rFonts w:hint="eastAsia"/>
          <w:szCs w:val="32"/>
          <w:lang w:val="en-US" w:eastAsia="zh-CN"/>
        </w:rPr>
        <w:t>3.3.2.9</w:t>
      </w:r>
      <w:r>
        <w:rPr>
          <w:rFonts w:hint="eastAsia"/>
          <w:szCs w:val="32"/>
          <w:lang w:eastAsia="zh-CN"/>
        </w:rPr>
        <w:t>消毒耐受性（如适用）</w:t>
      </w:r>
    </w:p>
    <w:p w14:paraId="6FF5C994">
      <w:pPr>
        <w:spacing w:line="520" w:lineRule="exact"/>
        <w:ind w:firstLine="640"/>
        <w:rPr>
          <w:rFonts w:hint="default"/>
          <w:szCs w:val="32"/>
          <w:lang w:val="en-US" w:eastAsia="zh-CN"/>
        </w:rPr>
      </w:pPr>
      <w:r>
        <w:rPr>
          <w:rFonts w:hint="eastAsia"/>
          <w:szCs w:val="32"/>
          <w:lang w:val="en-US" w:eastAsia="zh-CN"/>
        </w:rPr>
        <w:t>3.3.2.10与内窥镜连接的配合性能：如采用鲁尔接头连接，应满足GB/T 1962系列标准要求。</w:t>
      </w:r>
    </w:p>
    <w:p w14:paraId="328B6823">
      <w:pPr>
        <w:spacing w:line="520" w:lineRule="exact"/>
        <w:ind w:firstLine="640"/>
        <w:rPr>
          <w:rFonts w:hint="eastAsia"/>
          <w:szCs w:val="32"/>
          <w:lang w:val="en-US" w:eastAsia="zh-CN"/>
        </w:rPr>
      </w:pPr>
      <w:r>
        <w:rPr>
          <w:rFonts w:hint="eastAsia"/>
          <w:szCs w:val="32"/>
          <w:lang w:val="en-US" w:eastAsia="zh-CN"/>
        </w:rPr>
        <w:t>3.3.3化学性能</w:t>
      </w:r>
      <w:r>
        <w:rPr>
          <w:rFonts w:hint="eastAsia"/>
          <w:szCs w:val="32"/>
          <w:highlight w:val="none"/>
          <w:lang w:val="en-US" w:eastAsia="zh-CN"/>
        </w:rPr>
        <w:t>（如适用）</w:t>
      </w:r>
    </w:p>
    <w:p w14:paraId="1BB9B58F">
      <w:pPr>
        <w:spacing w:line="520" w:lineRule="exact"/>
        <w:ind w:firstLine="640"/>
        <w:rPr>
          <w:rFonts w:hint="eastAsia"/>
          <w:szCs w:val="32"/>
          <w:lang w:val="en-US" w:eastAsia="zh-CN"/>
        </w:rPr>
      </w:pPr>
      <w:r>
        <w:rPr>
          <w:rFonts w:hint="eastAsia"/>
          <w:szCs w:val="32"/>
          <w:lang w:val="en-US" w:eastAsia="zh-CN"/>
        </w:rPr>
        <w:t>3.3.3.1可萃取金属含量</w:t>
      </w:r>
    </w:p>
    <w:p w14:paraId="44B84B9A">
      <w:pPr>
        <w:spacing w:line="520" w:lineRule="exact"/>
        <w:ind w:firstLine="640"/>
        <w:rPr>
          <w:rFonts w:hint="eastAsia"/>
          <w:szCs w:val="32"/>
          <w:lang w:val="en-US" w:eastAsia="zh-CN"/>
        </w:rPr>
      </w:pPr>
      <w:r>
        <w:rPr>
          <w:rFonts w:hint="eastAsia"/>
          <w:szCs w:val="32"/>
          <w:lang w:val="en-US" w:eastAsia="zh-CN"/>
        </w:rPr>
        <w:t>3.3.3.2酸碱度</w:t>
      </w:r>
    </w:p>
    <w:p w14:paraId="142FFE70">
      <w:pPr>
        <w:spacing w:line="520" w:lineRule="exact"/>
        <w:ind w:firstLine="640"/>
        <w:rPr>
          <w:rFonts w:hint="eastAsia"/>
          <w:szCs w:val="32"/>
          <w:lang w:val="en-US" w:eastAsia="zh-CN"/>
        </w:rPr>
      </w:pPr>
      <w:r>
        <w:rPr>
          <w:rFonts w:hint="eastAsia"/>
          <w:szCs w:val="32"/>
          <w:lang w:val="en-US" w:eastAsia="zh-CN"/>
        </w:rPr>
        <w:t>3.3.3.3易氧化物</w:t>
      </w:r>
    </w:p>
    <w:p w14:paraId="412D31DC">
      <w:pPr>
        <w:spacing w:line="520" w:lineRule="exact"/>
        <w:ind w:firstLine="640"/>
        <w:rPr>
          <w:rFonts w:hint="eastAsia"/>
          <w:szCs w:val="32"/>
          <w:lang w:val="en-US" w:eastAsia="zh-CN"/>
        </w:rPr>
      </w:pPr>
      <w:r>
        <w:rPr>
          <w:rFonts w:hint="eastAsia"/>
          <w:szCs w:val="32"/>
          <w:lang w:val="en-US" w:eastAsia="zh-CN"/>
        </w:rPr>
        <w:t>3.3.3.4环氧乙烷残留量</w:t>
      </w:r>
    </w:p>
    <w:p w14:paraId="06F46684">
      <w:pPr>
        <w:spacing w:line="520" w:lineRule="exact"/>
        <w:ind w:firstLine="640"/>
        <w:rPr>
          <w:rFonts w:hint="eastAsia"/>
          <w:szCs w:val="32"/>
          <w:highlight w:val="none"/>
          <w:lang w:val="en-US" w:eastAsia="zh-CN"/>
        </w:rPr>
      </w:pPr>
      <w:r>
        <w:rPr>
          <w:rFonts w:hint="eastAsia"/>
          <w:szCs w:val="32"/>
          <w:highlight w:val="none"/>
          <w:lang w:val="en-US" w:eastAsia="zh-CN"/>
        </w:rPr>
        <w:t>3.3.4无菌性能（如适用）</w:t>
      </w:r>
    </w:p>
    <w:p w14:paraId="0FF480B6">
      <w:pPr>
        <w:spacing w:line="520" w:lineRule="exact"/>
        <w:ind w:firstLine="640"/>
        <w:rPr>
          <w:rFonts w:hint="eastAsia"/>
          <w:szCs w:val="32"/>
          <w:highlight w:val="none"/>
          <w:lang w:val="en-US" w:eastAsia="zh-CN"/>
        </w:rPr>
      </w:pPr>
      <w:r>
        <w:rPr>
          <w:rFonts w:hint="eastAsia"/>
          <w:szCs w:val="32"/>
          <w:highlight w:val="none"/>
          <w:lang w:val="en-US" w:eastAsia="zh-CN"/>
        </w:rPr>
        <w:t>3.3.4.1无菌性能</w:t>
      </w:r>
    </w:p>
    <w:p w14:paraId="025B09DE">
      <w:pPr>
        <w:spacing w:line="520" w:lineRule="exact"/>
        <w:ind w:firstLine="640"/>
        <w:rPr>
          <w:rFonts w:hint="eastAsia"/>
          <w:szCs w:val="32"/>
          <w:highlight w:val="none"/>
          <w:lang w:val="en-US" w:eastAsia="zh-CN"/>
        </w:rPr>
      </w:pPr>
      <w:r>
        <w:rPr>
          <w:rFonts w:hint="eastAsia"/>
          <w:szCs w:val="32"/>
          <w:highlight w:val="none"/>
          <w:lang w:val="en-US" w:eastAsia="zh-CN"/>
        </w:rPr>
        <w:t>3.3.4.2</w:t>
      </w:r>
      <w:r>
        <w:rPr>
          <w:rFonts w:hint="eastAsia"/>
          <w:highlight w:val="none"/>
        </w:rPr>
        <w:t>蒸发残渣</w:t>
      </w:r>
    </w:p>
    <w:p w14:paraId="1EE2A185">
      <w:pPr>
        <w:spacing w:line="520" w:lineRule="exact"/>
        <w:ind w:firstLine="640"/>
        <w:rPr>
          <w:rFonts w:hint="eastAsia"/>
          <w:szCs w:val="32"/>
          <w:highlight w:val="none"/>
          <w:lang w:val="en-US" w:eastAsia="zh-CN"/>
        </w:rPr>
      </w:pPr>
      <w:r>
        <w:rPr>
          <w:rFonts w:hint="eastAsia"/>
          <w:szCs w:val="32"/>
          <w:highlight w:val="none"/>
          <w:lang w:val="en-US" w:eastAsia="zh-CN"/>
        </w:rPr>
        <w:t>3.3.4.3</w:t>
      </w:r>
      <w:r>
        <w:rPr>
          <w:rFonts w:hint="eastAsia"/>
          <w:highlight w:val="none"/>
        </w:rPr>
        <w:t>紫外吸光度</w:t>
      </w:r>
    </w:p>
    <w:p w14:paraId="0A1EC481">
      <w:pPr>
        <w:spacing w:line="520" w:lineRule="exact"/>
        <w:ind w:firstLine="640"/>
        <w:rPr>
          <w:rFonts w:hint="eastAsia"/>
          <w:highlight w:val="none"/>
          <w:lang w:val="en-US" w:eastAsia="zh-CN"/>
        </w:rPr>
      </w:pPr>
      <w:r>
        <w:rPr>
          <w:rFonts w:hint="eastAsia"/>
          <w:szCs w:val="32"/>
          <w:highlight w:val="none"/>
          <w:lang w:val="en-US" w:eastAsia="zh-CN"/>
        </w:rPr>
        <w:t>3.3.4.4</w:t>
      </w:r>
      <w:r>
        <w:rPr>
          <w:rFonts w:hint="eastAsia"/>
          <w:highlight w:val="none"/>
        </w:rPr>
        <w:t>还原物质</w:t>
      </w:r>
    </w:p>
    <w:p w14:paraId="03EEC3E2">
      <w:pPr>
        <w:spacing w:line="520" w:lineRule="exact"/>
        <w:ind w:firstLine="640"/>
        <w:rPr>
          <w:rFonts w:hint="eastAsia"/>
          <w:szCs w:val="32"/>
          <w:lang w:val="en-US" w:eastAsia="zh-CN"/>
        </w:rPr>
      </w:pPr>
      <w:r>
        <w:rPr>
          <w:rFonts w:hint="eastAsia"/>
          <w:szCs w:val="32"/>
          <w:lang w:val="en-US" w:eastAsia="zh-CN"/>
        </w:rPr>
        <w:t>3.3.5电气安全和电磁兼容：应符合GB 9706.1、YY 9706.102、GB 9706.218等标准要求。</w:t>
      </w:r>
    </w:p>
    <w:p w14:paraId="68091EC8">
      <w:pPr>
        <w:spacing w:line="520" w:lineRule="exact"/>
        <w:ind w:firstLine="640"/>
        <w:rPr>
          <w:rFonts w:hint="eastAsia"/>
          <w:szCs w:val="32"/>
          <w:highlight w:val="none"/>
          <w:lang w:val="en-US" w:eastAsia="zh-CN"/>
        </w:rPr>
      </w:pPr>
      <w:r>
        <w:rPr>
          <w:rFonts w:hint="eastAsia"/>
          <w:szCs w:val="32"/>
          <w:highlight w:val="none"/>
          <w:lang w:val="en-US" w:eastAsia="zh-CN"/>
        </w:rPr>
        <w:t>3.3.6产品若具有报警功能，需符合YY 9706.108-2021的相关要求（如适用）。</w:t>
      </w:r>
    </w:p>
    <w:p w14:paraId="3A91CF48">
      <w:pPr>
        <w:spacing w:line="520" w:lineRule="exact"/>
        <w:ind w:firstLine="640"/>
        <w:rPr>
          <w:rFonts w:hint="eastAsia"/>
          <w:szCs w:val="32"/>
          <w:lang w:val="en-US" w:eastAsia="zh-CN"/>
        </w:rPr>
      </w:pPr>
      <w:r>
        <w:rPr>
          <w:rFonts w:hint="eastAsia"/>
          <w:szCs w:val="32"/>
          <w:lang w:val="en-US" w:eastAsia="zh-CN"/>
        </w:rPr>
        <w:t>3.3.7脚踏开关：应符合YY/T 1057的要求。</w:t>
      </w:r>
    </w:p>
    <w:p w14:paraId="4E8FD0E7">
      <w:pPr>
        <w:spacing w:line="520" w:lineRule="exact"/>
        <w:ind w:firstLine="640"/>
        <w:rPr>
          <w:rFonts w:hint="eastAsia"/>
          <w:szCs w:val="32"/>
          <w:lang w:val="en-US" w:eastAsia="zh-CN"/>
        </w:rPr>
      </w:pPr>
      <w:r>
        <w:rPr>
          <w:rFonts w:hint="eastAsia"/>
          <w:szCs w:val="32"/>
          <w:lang w:val="en-US" w:eastAsia="zh-CN"/>
        </w:rPr>
        <w:t>3.3.8应制定附件的性能，如：收集瓶应制定额定容量、跌落泄露、防回流（如适用）、耐负压强度（如适用）。</w:t>
      </w:r>
    </w:p>
    <w:p w14:paraId="775C434F">
      <w:pPr>
        <w:spacing w:line="520" w:lineRule="exact"/>
        <w:ind w:firstLine="640"/>
      </w:pPr>
      <w:r>
        <w:rPr>
          <w:rFonts w:hint="eastAsia"/>
          <w:szCs w:val="32"/>
          <w:lang w:val="en-US" w:eastAsia="zh-CN"/>
        </w:rPr>
        <w:t>3.3.9若含</w:t>
      </w:r>
      <w:r>
        <w:rPr>
          <w:rFonts w:hint="eastAsia"/>
          <w:szCs w:val="32"/>
        </w:rPr>
        <w:t>软件组件</w:t>
      </w:r>
      <w:r>
        <w:rPr>
          <w:rFonts w:hint="eastAsia"/>
          <w:szCs w:val="32"/>
          <w:lang w:eastAsia="zh-CN"/>
        </w:rPr>
        <w:t>：</w:t>
      </w:r>
      <w:r>
        <w:rPr>
          <w:rFonts w:hint="eastAsia"/>
          <w:szCs w:val="32"/>
        </w:rPr>
        <w:t>应符合《医疗器械软件注册审查指导原则》的要求，明确软件的功能（核心功能（含安全功能）纲要）、使用限制、接口（如适用）、访问控制（如适用）、运行环境（如适用）、性能效率（如适用）。</w:t>
      </w:r>
    </w:p>
    <w:bookmarkEnd w:id="39"/>
    <w:p w14:paraId="7BA52B93">
      <w:pPr>
        <w:spacing w:line="520" w:lineRule="exact"/>
        <w:ind w:firstLine="640"/>
        <w:rPr>
          <w:rFonts w:hint="eastAsia"/>
          <w:lang w:eastAsia="zh-CN"/>
        </w:rPr>
      </w:pPr>
      <w:r>
        <w:rPr>
          <w:rFonts w:hint="eastAsia"/>
          <w:szCs w:val="32"/>
          <w:lang w:val="en-US" w:eastAsia="zh-CN"/>
        </w:rPr>
        <w:t>3.3.10</w:t>
      </w:r>
      <w:r>
        <w:rPr>
          <w:szCs w:val="32"/>
        </w:rPr>
        <w:t>若产品含有其他功能、组件或新的特性，还应根据产品实际情况增加相应要求。</w:t>
      </w:r>
    </w:p>
    <w:p w14:paraId="5079326F">
      <w:pPr>
        <w:spacing w:line="520" w:lineRule="exact"/>
        <w:ind w:firstLine="640"/>
        <w:outlineLvl w:val="2"/>
        <w:rPr>
          <w:szCs w:val="32"/>
          <w:highlight w:val="none"/>
        </w:rPr>
      </w:pPr>
      <w:r>
        <w:rPr>
          <w:rFonts w:hint="eastAsia"/>
          <w:szCs w:val="32"/>
          <w:highlight w:val="none"/>
          <w:lang w:val="en-US" w:eastAsia="zh-CN"/>
        </w:rPr>
        <w:t>3.4</w:t>
      </w:r>
      <w:r>
        <w:rPr>
          <w:szCs w:val="32"/>
          <w:highlight w:val="none"/>
        </w:rPr>
        <w:t>检验报告</w:t>
      </w:r>
    </w:p>
    <w:p w14:paraId="2D70872D">
      <w:pPr>
        <w:spacing w:line="520" w:lineRule="exact"/>
        <w:ind w:firstLine="640"/>
        <w:rPr>
          <w:szCs w:val="32"/>
        </w:rPr>
      </w:pPr>
      <w:r>
        <w:rPr>
          <w:szCs w:val="32"/>
        </w:rPr>
        <w:t>同一注册单元应按产品风险与技术指标的覆盖性来选择典型产品。典型产品应是同一注册单元内能够代表本单元内其他产品安全性和有效性的产品</w:t>
      </w:r>
      <w:r>
        <w:rPr>
          <w:rFonts w:hint="eastAsia"/>
          <w:szCs w:val="32"/>
          <w:lang w:eastAsia="zh-CN"/>
        </w:rPr>
        <w:t>，</w:t>
      </w:r>
      <w:r>
        <w:rPr>
          <w:szCs w:val="32"/>
        </w:rPr>
        <w:t>应考虑功能最齐全、结构最复杂、功率最大、风险最高的产品。如果检测一个型号不能覆盖其他型号的全部性能功能，则可对其他型号不能覆盖的部分进行差异检测。</w:t>
      </w:r>
    </w:p>
    <w:p w14:paraId="4A64FA7A">
      <w:pPr>
        <w:spacing w:line="520" w:lineRule="exact"/>
        <w:ind w:firstLine="640"/>
        <w:rPr>
          <w:szCs w:val="32"/>
        </w:rPr>
      </w:pPr>
      <w:r>
        <w:rPr>
          <w:szCs w:val="32"/>
        </w:rPr>
        <w:t>举例：</w:t>
      </w:r>
    </w:p>
    <w:p w14:paraId="2C239F42">
      <w:pPr>
        <w:spacing w:line="520" w:lineRule="exact"/>
        <w:ind w:firstLine="640"/>
        <w:rPr>
          <w:szCs w:val="32"/>
        </w:rPr>
      </w:pPr>
      <w:r>
        <w:rPr>
          <w:szCs w:val="32"/>
        </w:rPr>
        <w:t>具有不同功率的内窥镜</w:t>
      </w:r>
      <w:r>
        <w:rPr>
          <w:rFonts w:hint="eastAsia"/>
          <w:szCs w:val="32"/>
          <w:lang w:eastAsia="zh-CN"/>
        </w:rPr>
        <w:t>冲洗吸引器</w:t>
      </w:r>
      <w:r>
        <w:rPr>
          <w:szCs w:val="32"/>
        </w:rPr>
        <w:t>可作为同一注册单元。如采用</w:t>
      </w:r>
      <w:r>
        <w:rPr>
          <w:rFonts w:hint="eastAsia"/>
          <w:szCs w:val="32"/>
          <w:lang w:eastAsia="zh-CN"/>
        </w:rPr>
        <w:t>滚压式正压吸引的</w:t>
      </w:r>
      <w:r>
        <w:rPr>
          <w:szCs w:val="32"/>
        </w:rPr>
        <w:t>两种不同功率的</w:t>
      </w:r>
      <w:r>
        <w:rPr>
          <w:rFonts w:hint="eastAsia"/>
          <w:szCs w:val="32"/>
          <w:lang w:eastAsia="zh-CN"/>
        </w:rPr>
        <w:t>双泵内窥镜冲洗吸引器</w:t>
      </w:r>
      <w:r>
        <w:rPr>
          <w:szCs w:val="32"/>
        </w:rPr>
        <w:t>，一种</w:t>
      </w:r>
      <w:r>
        <w:rPr>
          <w:rFonts w:hint="eastAsia"/>
          <w:szCs w:val="32"/>
          <w:lang w:eastAsia="zh-CN"/>
        </w:rPr>
        <w:t>额定</w:t>
      </w:r>
      <w:r>
        <w:rPr>
          <w:szCs w:val="32"/>
        </w:rPr>
        <w:t>功率为</w:t>
      </w:r>
      <w:r>
        <w:rPr>
          <w:rFonts w:hint="eastAsia"/>
          <w:szCs w:val="32"/>
          <w:lang w:val="en-US" w:eastAsia="zh-CN"/>
        </w:rPr>
        <w:t>60VA</w:t>
      </w:r>
      <w:r>
        <w:rPr>
          <w:szCs w:val="32"/>
        </w:rPr>
        <w:t>，一种</w:t>
      </w:r>
      <w:r>
        <w:rPr>
          <w:rFonts w:hint="eastAsia"/>
          <w:szCs w:val="32"/>
          <w:lang w:eastAsia="zh-CN"/>
        </w:rPr>
        <w:t>额定</w:t>
      </w:r>
      <w:r>
        <w:rPr>
          <w:szCs w:val="32"/>
        </w:rPr>
        <w:t>功率为150</w:t>
      </w:r>
      <w:r>
        <w:rPr>
          <w:rFonts w:hint="eastAsia"/>
          <w:szCs w:val="32"/>
          <w:lang w:val="en-US" w:eastAsia="zh-CN"/>
        </w:rPr>
        <w:t>VA</w:t>
      </w:r>
      <w:r>
        <w:rPr>
          <w:szCs w:val="32"/>
        </w:rPr>
        <w:t>，若无特殊情况，则选150</w:t>
      </w:r>
      <w:r>
        <w:rPr>
          <w:rFonts w:hint="eastAsia"/>
          <w:szCs w:val="32"/>
          <w:lang w:val="en-US" w:eastAsia="zh-CN"/>
        </w:rPr>
        <w:t>VA</w:t>
      </w:r>
      <w:r>
        <w:rPr>
          <w:szCs w:val="32"/>
        </w:rPr>
        <w:t>为典型产品是适宜的。</w:t>
      </w:r>
    </w:p>
    <w:p w14:paraId="395FB563">
      <w:pPr>
        <w:spacing w:line="520" w:lineRule="exact"/>
        <w:ind w:firstLine="640"/>
        <w:rPr>
          <w:szCs w:val="32"/>
        </w:rPr>
      </w:pPr>
      <w:r>
        <w:rPr>
          <w:szCs w:val="32"/>
        </w:rPr>
        <w:t>检验报告中样品组成应与申报产品的结构组成一致。检验报告应提供软件版本界面照片(如适用)或列明软件版本信息，有用户界面的软件应能体现软件发布版本、软件完整版本，无用户界面的软件应能体现软件完整版本。</w:t>
      </w:r>
    </w:p>
    <w:p w14:paraId="5B5BB434">
      <w:pPr>
        <w:spacing w:line="520" w:lineRule="exact"/>
        <w:ind w:firstLine="640"/>
        <w:outlineLvl w:val="2"/>
        <w:rPr>
          <w:rFonts w:hint="eastAsia"/>
          <w:bCs/>
          <w:szCs w:val="32"/>
          <w:lang w:val="en-US" w:eastAsia="zh-CN"/>
        </w:rPr>
      </w:pPr>
      <w:r>
        <w:rPr>
          <w:rFonts w:hint="eastAsia"/>
          <w:bCs/>
          <w:szCs w:val="32"/>
          <w:lang w:val="en-US" w:eastAsia="zh-CN"/>
        </w:rPr>
        <w:t>4.研究资料</w:t>
      </w:r>
    </w:p>
    <w:p w14:paraId="2F4D7D3F">
      <w:pPr>
        <w:spacing w:line="520" w:lineRule="exact"/>
        <w:ind w:firstLine="640"/>
      </w:pPr>
      <w:r>
        <w:t>根据申报产品的具体特点，提供适用的研究资料。</w:t>
      </w:r>
      <w:r>
        <w:rPr>
          <w:szCs w:val="32"/>
        </w:rPr>
        <w:t>提供非临床研究综述，逐项描述所开展的研究，概述研究方法和研究结论。</w:t>
      </w:r>
    </w:p>
    <w:p w14:paraId="16E7E14B">
      <w:pPr>
        <w:spacing w:line="520" w:lineRule="exact"/>
        <w:ind w:firstLine="640"/>
        <w:outlineLvl w:val="2"/>
        <w:rPr>
          <w:rFonts w:hint="eastAsia"/>
          <w:szCs w:val="32"/>
          <w:highlight w:val="none"/>
          <w:lang w:val="en-US" w:eastAsia="zh-CN"/>
        </w:rPr>
      </w:pPr>
      <w:r>
        <w:rPr>
          <w:rFonts w:hint="eastAsia"/>
          <w:szCs w:val="32"/>
          <w:highlight w:val="none"/>
          <w:lang w:val="en-US" w:eastAsia="zh-CN"/>
        </w:rPr>
        <w:t>4.1原材料控制</w:t>
      </w:r>
    </w:p>
    <w:p w14:paraId="1CC8C156">
      <w:pPr>
        <w:spacing w:line="520" w:lineRule="exact"/>
        <w:ind w:firstLine="640"/>
        <w:rPr>
          <w:szCs w:val="32"/>
        </w:rPr>
      </w:pPr>
      <w:r>
        <w:rPr>
          <w:szCs w:val="32"/>
        </w:rPr>
        <w:t>申报资料中应明确原材料名称、质量控制指标及要求、供应商信息等，说明原材料的</w:t>
      </w:r>
      <w:r>
        <w:rPr>
          <w:rFonts w:hint="eastAsia"/>
          <w:szCs w:val="32"/>
        </w:rPr>
        <w:t>性</w:t>
      </w:r>
      <w:r>
        <w:rPr>
          <w:szCs w:val="32"/>
        </w:rPr>
        <w:t>能特点或选择依据。对于首次用于医疗器械方面的新材</w:t>
      </w:r>
      <w:r>
        <w:rPr>
          <w:rFonts w:hint="eastAsia"/>
          <w:szCs w:val="32"/>
        </w:rPr>
        <w:t>质</w:t>
      </w:r>
      <w:r>
        <w:rPr>
          <w:szCs w:val="32"/>
        </w:rPr>
        <w:t>，应提供该材料适合用于符合预期用途的相关研究资料。</w:t>
      </w:r>
    </w:p>
    <w:p w14:paraId="2D22E6AD">
      <w:pPr>
        <w:spacing w:line="520" w:lineRule="exact"/>
        <w:ind w:firstLine="640"/>
        <w:outlineLvl w:val="2"/>
        <w:rPr>
          <w:szCs w:val="32"/>
        </w:rPr>
      </w:pPr>
      <w:r>
        <w:rPr>
          <w:rFonts w:hint="eastAsia"/>
          <w:szCs w:val="32"/>
          <w:lang w:val="en-US" w:eastAsia="zh-CN"/>
        </w:rPr>
        <w:t>4.2</w:t>
      </w:r>
      <w:r>
        <w:rPr>
          <w:szCs w:val="32"/>
        </w:rPr>
        <w:t>产品性能研究</w:t>
      </w:r>
    </w:p>
    <w:p w14:paraId="6DE2251E">
      <w:pPr>
        <w:spacing w:line="520" w:lineRule="exact"/>
        <w:ind w:firstLine="640"/>
        <w:rPr>
          <w:szCs w:val="32"/>
        </w:rPr>
      </w:pPr>
      <w:r>
        <w:rPr>
          <w:szCs w:val="32"/>
        </w:rPr>
        <w:t>应结合产品的工作原理详述性能指标（如</w:t>
      </w:r>
      <w:r>
        <w:rPr>
          <w:rFonts w:hint="eastAsia"/>
          <w:szCs w:val="32"/>
        </w:rPr>
        <w:t>预置压强限的调节范围、压强限预置的准确性、预置流量的调节范围、流量预置的准确性</w:t>
      </w:r>
      <w:r>
        <w:rPr>
          <w:szCs w:val="32"/>
        </w:rPr>
        <w:t>等）确定的依据。详述产品调节</w:t>
      </w:r>
      <w:r>
        <w:rPr>
          <w:rFonts w:hint="eastAsia"/>
          <w:szCs w:val="32"/>
          <w:lang w:eastAsia="zh-CN"/>
        </w:rPr>
        <w:t>压力和流量</w:t>
      </w:r>
      <w:r>
        <w:rPr>
          <w:szCs w:val="32"/>
        </w:rPr>
        <w:t>的方式。指标的确定依据应明确、具体，并应描述其所考虑的实际临床应用出发点，以及相关指标和临床使用的关联性。还应考虑设计输入来源以及临床意义，所采用的标准或方法、采用的原因及理论基础。注册申请人还可根据产品自身特点引用其他相关的标准（国际标准、行业标准等）。若适用的强制性标准中有不适用的条款，还应说明不适用理由。</w:t>
      </w:r>
    </w:p>
    <w:p w14:paraId="7E96481A">
      <w:pPr>
        <w:spacing w:line="520" w:lineRule="exact"/>
        <w:ind w:firstLine="640"/>
        <w:rPr>
          <w:rFonts w:hint="eastAsia" w:eastAsia="仿宋_GB2312"/>
          <w:szCs w:val="32"/>
          <w:lang w:eastAsia="zh-CN"/>
        </w:rPr>
      </w:pPr>
      <w:r>
        <w:rPr>
          <w:szCs w:val="32"/>
        </w:rPr>
        <w:t>申报产品若同时具备其他功能，应提交详细资料说明工作原理并提交相应的验证资料。</w:t>
      </w:r>
    </w:p>
    <w:p w14:paraId="0652E57C">
      <w:pPr>
        <w:spacing w:line="520" w:lineRule="exact"/>
        <w:ind w:firstLine="640"/>
        <w:outlineLvl w:val="2"/>
        <w:rPr>
          <w:szCs w:val="32"/>
        </w:rPr>
      </w:pPr>
      <w:bookmarkStart w:id="40" w:name="_Toc2088"/>
      <w:r>
        <w:rPr>
          <w:rFonts w:hint="eastAsia"/>
          <w:szCs w:val="32"/>
          <w:lang w:val="en-US" w:eastAsia="zh-CN"/>
        </w:rPr>
        <w:t>4.3</w:t>
      </w:r>
      <w:r>
        <w:rPr>
          <w:szCs w:val="32"/>
        </w:rPr>
        <w:t>软件研究</w:t>
      </w:r>
    </w:p>
    <w:bookmarkEnd w:id="40"/>
    <w:p w14:paraId="04AE136F">
      <w:pPr>
        <w:spacing w:line="520" w:lineRule="exact"/>
        <w:ind w:firstLine="640"/>
      </w:pPr>
      <w:r>
        <w:rPr>
          <w:rFonts w:hint="eastAsia"/>
        </w:rPr>
        <w:t>（1）</w:t>
      </w:r>
      <w:r>
        <w:t>软件</w:t>
      </w:r>
    </w:p>
    <w:p w14:paraId="309474B3">
      <w:pPr>
        <w:spacing w:line="520" w:lineRule="exact"/>
        <w:ind w:firstLine="640"/>
        <w:rPr>
          <w:szCs w:val="32"/>
        </w:rPr>
      </w:pPr>
      <w:r>
        <w:rPr>
          <w:szCs w:val="32"/>
        </w:rPr>
        <w:t>产品软件通常是软件组件。应提供软件的研究资料，包括基本信息、实现过程、核心功能、结论等内容，详尽程度取决于软件安全性级别（严重、中等、轻微）。其中，基本信息包括软件标识、安全性级别、结构功能、物理拓扑、运行环境、注册历史，实现过程包括开发概况、风险管理、需求规范、生存周期、验证与确认、可追溯性分析、缺陷管理、更新历史，明确核心功能、核心算法、预期用途的对应关系。应提交GB/T 25000.51标准自测报告或第三方检验报告。</w:t>
      </w:r>
    </w:p>
    <w:p w14:paraId="396555CC">
      <w:pPr>
        <w:spacing w:line="520" w:lineRule="exact"/>
        <w:ind w:firstLine="640"/>
      </w:pPr>
      <w:r>
        <w:rPr>
          <w:rFonts w:hint="eastAsia"/>
        </w:rPr>
        <w:t>（2）网络安全</w:t>
      </w:r>
    </w:p>
    <w:p w14:paraId="60063C7B">
      <w:pPr>
        <w:spacing w:line="520" w:lineRule="exact"/>
        <w:ind w:firstLine="640"/>
        <w:rPr>
          <w:szCs w:val="32"/>
        </w:rPr>
      </w:pPr>
      <w:r>
        <w:t>若</w:t>
      </w:r>
      <w:r>
        <w:rPr>
          <w:szCs w:val="32"/>
        </w:rPr>
        <w:t>内窥镜</w:t>
      </w:r>
      <w:r>
        <w:rPr>
          <w:rFonts w:hint="eastAsia"/>
          <w:szCs w:val="32"/>
          <w:lang w:eastAsia="zh-CN"/>
        </w:rPr>
        <w:t>冲洗吸引器</w:t>
      </w:r>
      <w:r>
        <w:t>具有电子数据交换</w:t>
      </w:r>
      <w:r>
        <w:rPr>
          <w:rFonts w:hint="eastAsia"/>
        </w:rPr>
        <w:t>、</w:t>
      </w:r>
      <w:r>
        <w:t>远程控制</w:t>
      </w:r>
      <w:r>
        <w:rPr>
          <w:rFonts w:hint="eastAsia"/>
        </w:rPr>
        <w:t>或用户访问功能</w:t>
      </w:r>
      <w:r>
        <w:rPr>
          <w:rFonts w:hint="eastAsia"/>
          <w:lang w:eastAsia="zh-CN"/>
        </w:rPr>
        <w:t>，</w:t>
      </w:r>
      <w:r>
        <w:rPr>
          <w:szCs w:val="32"/>
        </w:rPr>
        <w:t>可参考YY/T</w:t>
      </w:r>
      <w:r>
        <w:rPr>
          <w:rFonts w:hint="eastAsia"/>
          <w:szCs w:val="32"/>
          <w:lang w:val="en-US" w:eastAsia="zh-CN"/>
        </w:rPr>
        <w:t xml:space="preserve"> </w:t>
      </w:r>
      <w:r>
        <w:rPr>
          <w:szCs w:val="32"/>
        </w:rPr>
        <w:t xml:space="preserve">1843、《医疗器械网络安全注册审查指导原则》（2022年修订版）提供网络安全相关研究资料。 </w:t>
      </w:r>
    </w:p>
    <w:p w14:paraId="59938632">
      <w:pPr>
        <w:spacing w:line="520" w:lineRule="exact"/>
        <w:ind w:firstLine="640"/>
        <w:rPr>
          <w:rFonts w:hint="eastAsia"/>
        </w:rPr>
      </w:pPr>
      <w:r>
        <w:rPr>
          <w:rFonts w:hint="eastAsia"/>
        </w:rPr>
        <w:t>（3）互操作性</w:t>
      </w:r>
    </w:p>
    <w:p w14:paraId="2ED177C3">
      <w:pPr>
        <w:spacing w:line="520" w:lineRule="exact"/>
        <w:ind w:firstLine="640"/>
      </w:pPr>
      <w:r>
        <w:t>若</w:t>
      </w:r>
      <w:r>
        <w:rPr>
          <w:szCs w:val="32"/>
        </w:rPr>
        <w:t>内窥镜</w:t>
      </w:r>
      <w:r>
        <w:rPr>
          <w:rFonts w:hint="eastAsia"/>
          <w:szCs w:val="32"/>
          <w:lang w:eastAsia="zh-CN"/>
        </w:rPr>
        <w:t>冲洗吸引器</w:t>
      </w:r>
      <w:r>
        <w:t>通过电子接口与其他医疗器械或非医疗器械交换并使用信息，提供互操作性研究资料，包括基本信息、需求规范、风险管理、验证与确认、维护计划等内容。</w:t>
      </w:r>
    </w:p>
    <w:p w14:paraId="0E4EC3E0">
      <w:pPr>
        <w:spacing w:line="520" w:lineRule="exact"/>
        <w:ind w:firstLine="640"/>
        <w:rPr>
          <w:rFonts w:hint="eastAsia" w:eastAsia="仿宋_GB2312"/>
          <w:lang w:val="en-US" w:eastAsia="zh-CN"/>
        </w:rPr>
      </w:pPr>
      <w:r>
        <w:rPr>
          <w:rFonts w:hint="eastAsia"/>
          <w:szCs w:val="32"/>
          <w:lang w:val="en-US" w:eastAsia="zh-CN"/>
        </w:rPr>
        <w:t>4.4</w:t>
      </w:r>
      <w:r>
        <w:rPr>
          <w:rFonts w:hint="eastAsia"/>
        </w:rPr>
        <w:t>可用性</w:t>
      </w:r>
      <w:r>
        <w:rPr>
          <w:rFonts w:hint="eastAsia"/>
          <w:lang w:val="en-US" w:eastAsia="zh-CN"/>
        </w:rPr>
        <w:t>研究</w:t>
      </w:r>
    </w:p>
    <w:p w14:paraId="2C4771A1">
      <w:pPr>
        <w:spacing w:line="520" w:lineRule="exact"/>
        <w:ind w:firstLine="640"/>
      </w:pPr>
      <w:r>
        <w:t>参照《医疗器械可用性工程注册审查指导原则》，按照中、低使用风险医疗器械要求提交使用错误评估报告，包括基本信息、使用风险级别、核心要素、同类医疗器械上市后使用问题分析、使用风险管理、结论等内容。</w:t>
      </w:r>
    </w:p>
    <w:p w14:paraId="47713BDD">
      <w:pPr>
        <w:spacing w:line="520" w:lineRule="exact"/>
        <w:ind w:firstLine="640"/>
        <w:outlineLvl w:val="2"/>
        <w:rPr>
          <w:rFonts w:hint="eastAsia"/>
          <w:szCs w:val="32"/>
          <w:lang w:val="en-US" w:eastAsia="zh-CN"/>
        </w:rPr>
      </w:pPr>
      <w:r>
        <w:rPr>
          <w:rFonts w:hint="eastAsia"/>
          <w:szCs w:val="32"/>
          <w:lang w:val="en-US" w:eastAsia="zh-CN"/>
        </w:rPr>
        <w:t>4.5生物学特性研究</w:t>
      </w:r>
    </w:p>
    <w:p w14:paraId="399E26C4">
      <w:pPr>
        <w:spacing w:line="520" w:lineRule="exact"/>
        <w:ind w:firstLine="640"/>
        <w:rPr>
          <w:rFonts w:hint="eastAsia"/>
        </w:rPr>
      </w:pPr>
      <w:r>
        <w:rPr>
          <w:rFonts w:hint="eastAsia"/>
        </w:rPr>
        <w:t>生物学特性评价根据GB/T 16886.1标准进行，描述</w:t>
      </w:r>
      <w:r>
        <w:rPr>
          <w:szCs w:val="32"/>
        </w:rPr>
        <w:t>内窥镜</w:t>
      </w:r>
      <w:r>
        <w:rPr>
          <w:rFonts w:hint="eastAsia"/>
          <w:szCs w:val="32"/>
          <w:lang w:eastAsia="zh-CN"/>
        </w:rPr>
        <w:t>冲洗吸引器</w:t>
      </w:r>
      <w:r>
        <w:rPr>
          <w:rFonts w:hint="eastAsia" w:eastAsia="仿宋_GB2312"/>
          <w:color w:val="000000"/>
          <w:sz w:val="32"/>
          <w:szCs w:val="32"/>
          <w:highlight w:val="none"/>
        </w:rPr>
        <w:t>预期与人体接触的部位、接触性质、接触时间以及所采用的材料的种类</w:t>
      </w:r>
      <w:r>
        <w:rPr>
          <w:rFonts w:hint="eastAsia"/>
        </w:rPr>
        <w:t>，生物学特性评价研究应给出实施或豁免生物学试验的理由和论证，并对现有数据或试验结果进行评价</w:t>
      </w:r>
      <w:r>
        <w:rPr>
          <w:rFonts w:hint="eastAsia"/>
          <w:lang w:eastAsia="zh-CN"/>
        </w:rPr>
        <w:t>。冲洗</w:t>
      </w:r>
      <w:r>
        <w:rPr>
          <w:rFonts w:hint="eastAsia"/>
          <w:szCs w:val="32"/>
          <w:lang w:eastAsia="zh-CN"/>
        </w:rPr>
        <w:t>管路间接</w:t>
      </w:r>
      <w:r>
        <w:rPr>
          <w:rFonts w:hint="eastAsia"/>
        </w:rPr>
        <w:t>与人体接触</w:t>
      </w:r>
      <w:r>
        <w:rPr>
          <w:rFonts w:hint="eastAsia"/>
          <w:lang w:eastAsia="zh-CN"/>
        </w:rPr>
        <w:t>，建议</w:t>
      </w:r>
      <w:r>
        <w:rPr>
          <w:rFonts w:hint="eastAsia"/>
        </w:rPr>
        <w:t>至少考虑以下方面的要求：细胞毒性、</w:t>
      </w:r>
      <w:r>
        <w:rPr>
          <w:rFonts w:hint="eastAsia"/>
          <w:lang w:val="en-US" w:eastAsia="zh-CN"/>
        </w:rPr>
        <w:t>致</w:t>
      </w:r>
      <w:r>
        <w:rPr>
          <w:rFonts w:hint="eastAsia"/>
        </w:rPr>
        <w:t>敏反应、</w:t>
      </w:r>
      <w:r>
        <w:rPr>
          <w:rFonts w:hint="eastAsia"/>
          <w:lang w:val="en-US" w:eastAsia="zh-CN"/>
        </w:rPr>
        <w:t>刺激或</w:t>
      </w:r>
      <w:r>
        <w:rPr>
          <w:rFonts w:hint="eastAsia"/>
          <w:lang w:eastAsia="zh-CN"/>
        </w:rPr>
        <w:t>皮内反应、材料介导的致热性、急性全身毒性</w:t>
      </w:r>
      <w:r>
        <w:rPr>
          <w:rFonts w:hint="eastAsia"/>
        </w:rPr>
        <w:t>。</w:t>
      </w:r>
    </w:p>
    <w:p w14:paraId="66170CB6">
      <w:pPr>
        <w:spacing w:line="520" w:lineRule="exact"/>
        <w:ind w:firstLine="640"/>
        <w:outlineLvl w:val="2"/>
        <w:rPr>
          <w:rFonts w:hint="eastAsia"/>
          <w:lang w:eastAsia="zh-CN"/>
        </w:rPr>
      </w:pPr>
      <w:r>
        <w:rPr>
          <w:rFonts w:hint="eastAsia"/>
          <w:szCs w:val="32"/>
          <w:highlight w:val="none"/>
          <w:lang w:val="en-US" w:eastAsia="zh-CN"/>
        </w:rPr>
        <w:t>4.6清洁、消毒、灭菌研究</w:t>
      </w:r>
    </w:p>
    <w:p w14:paraId="2CC64B46">
      <w:pPr>
        <w:spacing w:line="520" w:lineRule="exact"/>
        <w:ind w:firstLine="640"/>
        <w:rPr>
          <w:rFonts w:hint="eastAsia" w:eastAsia="仿宋_GB2312"/>
          <w:sz w:val="32"/>
        </w:rPr>
      </w:pPr>
      <w:r>
        <w:rPr>
          <w:rFonts w:hint="eastAsia"/>
          <w:lang w:eastAsia="zh-CN"/>
        </w:rPr>
        <w:t>冲洗管路在使用过程中通过冲洗液与人体组织间接接触，基于使用风险，使用前应进行</w:t>
      </w:r>
      <w:r>
        <w:rPr>
          <w:rFonts w:hint="eastAsia"/>
          <w:szCs w:val="32"/>
          <w:highlight w:val="none"/>
          <w:lang w:val="en-US" w:eastAsia="zh-CN"/>
        </w:rPr>
        <w:t>灭菌</w:t>
      </w:r>
      <w:r>
        <w:rPr>
          <w:rFonts w:hint="eastAsia"/>
          <w:lang w:eastAsia="zh-CN"/>
        </w:rPr>
        <w:t>。申请人应开展清洁、消毒、灭菌研究</w:t>
      </w:r>
      <w:r>
        <w:rPr>
          <w:rFonts w:hint="eastAsia"/>
        </w:rPr>
        <w:t>明确推荐的工艺（方法和参数）、工艺的确定依据</w:t>
      </w:r>
      <w:r>
        <w:rPr>
          <w:rFonts w:hint="eastAsia"/>
          <w:lang w:eastAsia="zh-CN"/>
        </w:rPr>
        <w:t>并提供</w:t>
      </w:r>
      <w:r>
        <w:rPr>
          <w:rFonts w:hint="eastAsia"/>
        </w:rPr>
        <w:t>相关研究资料。</w:t>
      </w:r>
      <w:r>
        <w:rPr>
          <w:rFonts w:ascii="Times New Roman" w:hAnsi="Times New Roman" w:eastAsia="仿宋_GB2312" w:cs="Times New Roman"/>
          <w:sz w:val="32"/>
          <w:szCs w:val="32"/>
        </w:rPr>
        <w:t>对于重复性使用的</w:t>
      </w:r>
      <w:r>
        <w:rPr>
          <w:rFonts w:hint="eastAsia" w:cs="Times New Roman"/>
          <w:sz w:val="32"/>
          <w:szCs w:val="32"/>
          <w:lang w:eastAsia="zh-CN"/>
        </w:rPr>
        <w:t>冲洗管路，还</w:t>
      </w:r>
      <w:r>
        <w:rPr>
          <w:rFonts w:hint="eastAsia"/>
          <w:lang w:eastAsia="zh-CN"/>
        </w:rPr>
        <w:t>应提供清洁</w:t>
      </w:r>
      <w:r>
        <w:rPr>
          <w:rFonts w:hint="eastAsia"/>
        </w:rPr>
        <w:t>、消毒</w:t>
      </w:r>
      <w:r>
        <w:rPr>
          <w:rFonts w:hint="eastAsia"/>
          <w:lang w:eastAsia="zh-CN"/>
        </w:rPr>
        <w:t>、</w:t>
      </w:r>
      <w:r>
        <w:rPr>
          <w:rFonts w:hint="eastAsia"/>
          <w:szCs w:val="32"/>
          <w:highlight w:val="none"/>
          <w:lang w:val="en-US" w:eastAsia="zh-CN"/>
        </w:rPr>
        <w:t>灭菌</w:t>
      </w:r>
      <w:r>
        <w:rPr>
          <w:rFonts w:hint="eastAsia"/>
          <w:lang w:eastAsia="zh-CN"/>
        </w:rPr>
        <w:t>耐受性研究资料。有多种清洁、消毒</w:t>
      </w:r>
      <w:r>
        <w:rPr>
          <w:rFonts w:hint="eastAsia"/>
          <w:szCs w:val="32"/>
          <w:highlight w:val="none"/>
          <w:lang w:val="en-US" w:eastAsia="zh-CN"/>
        </w:rPr>
        <w:t>、灭菌工艺</w:t>
      </w:r>
      <w:r>
        <w:rPr>
          <w:rFonts w:hint="eastAsia"/>
          <w:lang w:eastAsia="zh-CN"/>
        </w:rPr>
        <w:t>的，每种工艺均应提交研究资料。研究资料中清洁、消毒</w:t>
      </w:r>
      <w:r>
        <w:rPr>
          <w:rFonts w:hint="eastAsia"/>
          <w:szCs w:val="32"/>
          <w:highlight w:val="none"/>
          <w:lang w:val="en-US" w:eastAsia="zh-CN"/>
        </w:rPr>
        <w:t>、灭菌</w:t>
      </w:r>
      <w:r>
        <w:rPr>
          <w:rFonts w:hint="eastAsia"/>
          <w:lang w:eastAsia="zh-CN"/>
        </w:rPr>
        <w:t>工艺应与说明书中相应内容一致，并在最不利条件下进行研究。</w:t>
      </w:r>
    </w:p>
    <w:p w14:paraId="0FAC9D06">
      <w:pPr>
        <w:spacing w:line="520" w:lineRule="exact"/>
        <w:ind w:firstLine="640"/>
        <w:outlineLvl w:val="2"/>
        <w:rPr>
          <w:rFonts w:hint="eastAsia"/>
          <w:szCs w:val="32"/>
          <w:highlight w:val="none"/>
          <w:lang w:val="en-US" w:eastAsia="zh-CN"/>
        </w:rPr>
      </w:pPr>
      <w:r>
        <w:rPr>
          <w:rFonts w:hint="eastAsia"/>
          <w:szCs w:val="32"/>
          <w:highlight w:val="none"/>
          <w:lang w:val="en-US" w:eastAsia="zh-CN"/>
        </w:rPr>
        <w:t>4.7联合使用研究</w:t>
      </w:r>
    </w:p>
    <w:p w14:paraId="1519CAC2">
      <w:pPr>
        <w:pStyle w:val="8"/>
        <w:rPr>
          <w:rFonts w:hint="eastAsia"/>
          <w:color w:val="000000" w:themeColor="text1"/>
          <w:highlight w:val="none"/>
          <w:lang w:val="en-US" w:eastAsia="zh-CN"/>
          <w14:textFill>
            <w14:solidFill>
              <w14:schemeClr w14:val="tx1"/>
            </w14:solidFill>
          </w14:textFill>
        </w:rPr>
      </w:pPr>
      <w:r>
        <w:rPr>
          <w:rFonts w:hint="eastAsia"/>
          <w:highlight w:val="none"/>
          <w:lang w:val="en-US" w:eastAsia="zh-CN"/>
        </w:rPr>
        <w:t>如申报产品需</w:t>
      </w:r>
      <w:r>
        <w:rPr>
          <w:rFonts w:hint="eastAsia"/>
          <w:highlight w:val="none"/>
        </w:rPr>
        <w:t>外接吸引设备</w:t>
      </w:r>
      <w:r>
        <w:rPr>
          <w:rFonts w:hint="eastAsia"/>
          <w:highlight w:val="none"/>
          <w:lang w:eastAsia="zh-CN"/>
        </w:rPr>
        <w:t>，</w:t>
      </w:r>
      <w:r>
        <w:rPr>
          <w:rFonts w:hint="eastAsia"/>
          <w:highlight w:val="none"/>
          <w:lang w:val="en-US" w:eastAsia="zh-CN"/>
        </w:rPr>
        <w:t>应提交</w:t>
      </w:r>
      <w:r>
        <w:rPr>
          <w:rFonts w:hint="eastAsia"/>
          <w:highlight w:val="none"/>
        </w:rPr>
        <w:t>联合使用研究</w:t>
      </w:r>
      <w:r>
        <w:rPr>
          <w:rFonts w:hint="eastAsia"/>
          <w:highlight w:val="none"/>
          <w:lang w:val="en-US" w:eastAsia="zh-CN"/>
        </w:rPr>
        <w:t>资料</w:t>
      </w:r>
      <w:r>
        <w:rPr>
          <w:rFonts w:hint="eastAsia"/>
          <w:highlight w:val="none"/>
        </w:rPr>
        <w:t>。</w:t>
      </w:r>
    </w:p>
    <w:p w14:paraId="FF3F00AD">
      <w:pPr>
        <w:pStyle w:val="8"/>
        <w:rPr>
          <w:highlight w:val="none"/>
        </w:rPr>
      </w:pPr>
      <w:r>
        <w:rPr>
          <w:rFonts w:hint="eastAsia"/>
          <w:color w:val="000000" w:themeColor="text1"/>
          <w:highlight w:val="none"/>
          <w:lang w:val="en-US" w:eastAsia="zh-CN"/>
          <w14:textFill>
            <w14:solidFill>
              <w14:schemeClr w14:val="tx1"/>
            </w14:solidFill>
          </w14:textFill>
        </w:rPr>
        <w:t>冲洗液一般为生理盐水，如需</w:t>
      </w:r>
      <w:r>
        <w:rPr>
          <w:rFonts w:hint="eastAsia"/>
          <w:highlight w:val="none"/>
        </w:rPr>
        <w:t>添加其他药物配合使用，建议增加药物与冲洗管路材料之间相适应的研究资料</w:t>
      </w:r>
      <w:r>
        <w:rPr>
          <w:rFonts w:hint="eastAsia"/>
          <w:highlight w:val="none"/>
          <w:lang w:eastAsia="zh-CN"/>
        </w:rPr>
        <w:t>，</w:t>
      </w:r>
      <w:r>
        <w:rPr>
          <w:rFonts w:hint="eastAsia"/>
          <w:highlight w:val="none"/>
          <w:lang w:val="en-US" w:eastAsia="zh-CN"/>
        </w:rPr>
        <w:t>包括但不限于</w:t>
      </w:r>
      <w:r>
        <w:rPr>
          <w:rFonts w:hint="eastAsia"/>
          <w:highlight w:val="none"/>
        </w:rPr>
        <w:t>判断添加药物冲洗液是否与管路材质发生反应，或析出其他有害物质</w:t>
      </w:r>
      <w:r>
        <w:rPr>
          <w:rFonts w:hint="eastAsia"/>
          <w:highlight w:val="none"/>
          <w:lang w:val="en-US" w:eastAsia="zh-CN"/>
        </w:rPr>
        <w:t>等</w:t>
      </w:r>
      <w:r>
        <w:rPr>
          <w:rFonts w:hint="eastAsia"/>
          <w:highlight w:val="none"/>
        </w:rPr>
        <w:t>。</w:t>
      </w:r>
    </w:p>
    <w:p w14:paraId="6E4D933D">
      <w:pPr>
        <w:spacing w:line="520" w:lineRule="exact"/>
        <w:ind w:firstLine="640"/>
        <w:outlineLvl w:val="2"/>
        <w:rPr>
          <w:rFonts w:hint="eastAsia"/>
          <w:szCs w:val="32"/>
          <w:highlight w:val="none"/>
          <w:lang w:val="en-US" w:eastAsia="zh-CN"/>
        </w:rPr>
      </w:pPr>
      <w:r>
        <w:rPr>
          <w:rFonts w:hint="eastAsia"/>
          <w:szCs w:val="32"/>
          <w:highlight w:val="none"/>
          <w:lang w:val="en-US" w:eastAsia="zh-CN"/>
        </w:rPr>
        <w:t>5.稳定性研究</w:t>
      </w:r>
    </w:p>
    <w:p w14:paraId="5B702289">
      <w:pPr>
        <w:spacing w:line="520" w:lineRule="exact"/>
        <w:ind w:firstLine="640"/>
        <w:outlineLvl w:val="2"/>
        <w:rPr>
          <w:rFonts w:hint="eastAsia"/>
          <w:szCs w:val="32"/>
          <w:highlight w:val="none"/>
          <w:lang w:val="en-US" w:eastAsia="zh-CN"/>
        </w:rPr>
      </w:pPr>
      <w:r>
        <w:rPr>
          <w:rFonts w:hint="eastAsia"/>
          <w:szCs w:val="32"/>
          <w:highlight w:val="none"/>
          <w:lang w:val="en-US" w:eastAsia="zh-CN"/>
        </w:rPr>
        <w:t>5.1使用稳定性</w:t>
      </w:r>
    </w:p>
    <w:p w14:paraId="0CABE637">
      <w:pPr>
        <w:pStyle w:val="8"/>
        <w:rPr>
          <w:rFonts w:hint="eastAsia" w:ascii="Times New Roman" w:hAnsi="Times New Roman" w:eastAsia="仿宋_GB2312" w:cs="Times New Roman"/>
          <w:kern w:val="2"/>
          <w:sz w:val="32"/>
          <w:lang w:val="en-US" w:eastAsia="zh-CN" w:bidi="ar-SA"/>
        </w:rPr>
      </w:pPr>
      <w:r>
        <w:rPr>
          <w:rFonts w:hint="eastAsia" w:ascii="Times New Roman" w:hAnsi="Times New Roman" w:eastAsia="仿宋_GB2312" w:cs="Times New Roman"/>
          <w:kern w:val="2"/>
          <w:sz w:val="32"/>
          <w:lang w:val="en-US" w:eastAsia="zh-CN" w:bidi="ar-SA"/>
        </w:rPr>
        <w:t>应当提供使用稳定性/可靠性研究资料，证明在规定的使用期限/使用次数内，在正常使用、维护和校准情况下，产品的性能功能满足使用要求。应根据不同部件确定不同的稳定性研究方法，如一次性使用明确货架有效期，主机设备等明确使用期限等。同时还需考虑各成套套管的有效期验证、灭菌耐受性。</w:t>
      </w:r>
    </w:p>
    <w:p w14:paraId="3FFD50C4">
      <w:pPr>
        <w:pStyle w:val="8"/>
        <w:rPr>
          <w:rFonts w:hint="eastAsia" w:ascii="Times New Roman" w:hAnsi="Times New Roman" w:eastAsia="仿宋_GB2312" w:cs="Times New Roman"/>
          <w:kern w:val="2"/>
          <w:sz w:val="32"/>
          <w:lang w:val="en-US" w:eastAsia="zh-CN" w:bidi="ar-SA"/>
        </w:rPr>
      </w:pPr>
      <w:r>
        <w:rPr>
          <w:rFonts w:hint="eastAsia" w:ascii="Times New Roman" w:hAnsi="Times New Roman" w:eastAsia="仿宋_GB2312" w:cs="Times New Roman"/>
          <w:kern w:val="2"/>
          <w:sz w:val="32"/>
          <w:lang w:val="en-US" w:eastAsia="zh-CN" w:bidi="ar-SA"/>
        </w:rPr>
        <w:t>参考《有源医疗器械使用期限注册技术审查指导原则》中推荐的方法，如采用加速老化和/或实时老化的方式进行，老化后应对产品的性能、功能及电气安全进行检验，以证明产品的性能功能满足使用要求。应给出老化后测试的性能指标的确定依据，对于未测试的性能指标，应给出合理解释。</w:t>
      </w:r>
    </w:p>
    <w:p w14:paraId="072C3F9E">
      <w:pPr>
        <w:spacing w:line="520" w:lineRule="exact"/>
        <w:ind w:firstLine="640"/>
      </w:pPr>
      <w:r>
        <w:rPr>
          <w:rFonts w:hint="eastAsia"/>
        </w:rPr>
        <w:t>模拟使用时间/次数应与声称的使用期限一致，模拟使用应考虑临床实际工作最不利的状态。产品若具有可更换部件，明确定期保养维护时间和更换频次，提供支持性资料。</w:t>
      </w:r>
    </w:p>
    <w:p w14:paraId="6E19FBC5">
      <w:pPr>
        <w:spacing w:line="520" w:lineRule="exact"/>
        <w:ind w:firstLine="640"/>
        <w:outlineLvl w:val="2"/>
        <w:rPr>
          <w:rFonts w:hint="eastAsia"/>
          <w:szCs w:val="32"/>
          <w:lang w:val="en-US" w:eastAsia="zh-CN"/>
        </w:rPr>
      </w:pPr>
      <w:r>
        <w:rPr>
          <w:rFonts w:hint="eastAsia"/>
          <w:szCs w:val="32"/>
          <w:lang w:val="en-US" w:eastAsia="zh-CN"/>
        </w:rPr>
        <w:t>5.2运输稳定性</w:t>
      </w:r>
    </w:p>
    <w:p w14:paraId="04E288AF">
      <w:pPr>
        <w:spacing w:line="520" w:lineRule="exact"/>
        <w:ind w:firstLine="640"/>
      </w:pPr>
      <w:r>
        <w:rPr>
          <w:rFonts w:hint="eastAsia"/>
          <w:lang w:val="en-US" w:eastAsia="zh-CN"/>
        </w:rPr>
        <w:t>参</w:t>
      </w:r>
      <w:r>
        <w:rPr>
          <w:rFonts w:hint="eastAsia"/>
          <w:highlight w:val="none"/>
          <w:lang w:val="en-US" w:eastAsia="zh-CN"/>
        </w:rPr>
        <w:t>考</w:t>
      </w:r>
      <w:r>
        <w:rPr>
          <w:rFonts w:hint="eastAsia"/>
          <w:highlight w:val="none"/>
        </w:rPr>
        <w:t>GB/T 4857</w:t>
      </w:r>
      <w:r>
        <w:rPr>
          <w:rFonts w:hint="eastAsia"/>
          <w:highlight w:val="none"/>
          <w:lang w:eastAsia="zh-CN"/>
        </w:rPr>
        <w:t>、</w:t>
      </w:r>
      <w:r>
        <w:rPr>
          <w:highlight w:val="none"/>
        </w:rPr>
        <w:t>GB/T 14710</w:t>
      </w:r>
      <w:r>
        <w:rPr>
          <w:rFonts w:hint="eastAsia"/>
          <w:highlight w:val="none"/>
          <w:lang w:val="en-US" w:eastAsia="zh-CN"/>
        </w:rPr>
        <w:t>等</w:t>
      </w:r>
      <w:r>
        <w:rPr>
          <w:rFonts w:hint="eastAsia"/>
          <w:highlight w:val="none"/>
        </w:rPr>
        <w:t>相关</w:t>
      </w:r>
      <w:r>
        <w:rPr>
          <w:rFonts w:hint="eastAsia"/>
          <w:highlight w:val="none"/>
          <w:lang w:val="en-US" w:eastAsia="zh-CN"/>
        </w:rPr>
        <w:t>系列</w:t>
      </w:r>
      <w:r>
        <w:rPr>
          <w:rFonts w:hint="eastAsia"/>
          <w:highlight w:val="none"/>
        </w:rPr>
        <w:t>标准</w:t>
      </w:r>
      <w:r>
        <w:t>提供运输稳定性和包装研究资料，证明生产企业规定的运输条件不会对产品的特性和性能造成不利影响。</w:t>
      </w:r>
    </w:p>
    <w:p w14:paraId="181719ED">
      <w:pPr>
        <w:spacing w:line="520" w:lineRule="exact"/>
        <w:ind w:firstLine="640"/>
      </w:pPr>
      <w:r>
        <w:t>运输稳定性研究通常提供模拟运输试验进行，通过模拟规定的运输贮存条件，验证包装对性能及安全的保护能力。运输试验开始前及结束后，应对产品性能及安全进行验证，应提供验证项目的选择依据。运输和贮存</w:t>
      </w:r>
      <w:r>
        <w:rPr>
          <w:rFonts w:hint="eastAsia"/>
        </w:rPr>
        <w:t>的</w:t>
      </w:r>
      <w:r>
        <w:t>条件与</w:t>
      </w:r>
      <w:r>
        <w:rPr>
          <w:rFonts w:hint="eastAsia"/>
        </w:rPr>
        <w:t>产品</w:t>
      </w:r>
      <w:r>
        <w:t>说明书中</w:t>
      </w:r>
      <w:r>
        <w:rPr>
          <w:rFonts w:hint="eastAsia"/>
        </w:rPr>
        <w:t>所</w:t>
      </w:r>
      <w:r>
        <w:t>规定的条件</w:t>
      </w:r>
      <w:r>
        <w:rPr>
          <w:rFonts w:hint="eastAsia"/>
        </w:rPr>
        <w:t>保持</w:t>
      </w:r>
      <w:r>
        <w:t>一致。</w:t>
      </w:r>
    </w:p>
    <w:p w14:paraId="3B9A7085">
      <w:pPr>
        <w:spacing w:line="520" w:lineRule="exact"/>
        <w:ind w:firstLine="640"/>
        <w:outlineLvl w:val="2"/>
        <w:rPr>
          <w:rFonts w:hint="eastAsia"/>
          <w:szCs w:val="32"/>
          <w:highlight w:val="none"/>
          <w:lang w:val="en-US" w:eastAsia="zh-CN"/>
        </w:rPr>
      </w:pPr>
      <w:r>
        <w:rPr>
          <w:rFonts w:hint="eastAsia"/>
          <w:szCs w:val="32"/>
          <w:highlight w:val="none"/>
          <w:lang w:val="en-US" w:eastAsia="zh-CN"/>
        </w:rPr>
        <w:t>5.3 包装研究</w:t>
      </w:r>
    </w:p>
    <w:p w14:paraId="4095E5E0">
      <w:pPr>
        <w:spacing w:line="520" w:lineRule="exact"/>
        <w:ind w:firstLine="640" w:firstLineChars="200"/>
        <w:rPr>
          <w:rFonts w:hint="default"/>
          <w:lang w:val="en-US" w:eastAsia="zh-CN"/>
        </w:rPr>
      </w:pPr>
      <w:r>
        <w:rPr>
          <w:rFonts w:hint="eastAsia"/>
          <w:lang w:eastAsia="zh-CN"/>
        </w:rPr>
        <w:t>应提交</w:t>
      </w:r>
      <w:r>
        <w:rPr>
          <w:rFonts w:eastAsia="仿宋_GB2312"/>
          <w:sz w:val="32"/>
          <w:szCs w:val="32"/>
        </w:rPr>
        <w:t>包装</w:t>
      </w:r>
      <w:r>
        <w:rPr>
          <w:rFonts w:hint="eastAsia"/>
          <w:sz w:val="32"/>
          <w:szCs w:val="32"/>
          <w:lang w:eastAsia="zh-CN"/>
        </w:rPr>
        <w:t>研究资料，</w:t>
      </w:r>
      <w:r>
        <w:rPr>
          <w:rFonts w:eastAsia="仿宋_GB2312"/>
          <w:sz w:val="32"/>
          <w:szCs w:val="32"/>
        </w:rPr>
        <w:t>可依据有关标准进行（如GB/T 19633.1等），包装材料的选择应至少考虑以下因素：包装材料的物理化学性能；包装材料与产品的适应性；包装材料与成型和密封过程的适应性；包装材料所能提供的物理、化学和微生物屏障保护；包装材料与贮存运输过程的适合性。</w:t>
      </w:r>
    </w:p>
    <w:p w14:paraId="23010E6D">
      <w:pPr>
        <w:spacing w:line="520" w:lineRule="exact"/>
        <w:ind w:firstLine="640"/>
        <w:outlineLvl w:val="2"/>
        <w:rPr>
          <w:rFonts w:hint="eastAsia"/>
          <w:szCs w:val="32"/>
          <w:highlight w:val="none"/>
          <w:lang w:val="en-US" w:eastAsia="zh-CN"/>
        </w:rPr>
      </w:pPr>
      <w:r>
        <w:rPr>
          <w:rFonts w:hint="eastAsia"/>
          <w:szCs w:val="32"/>
          <w:highlight w:val="none"/>
          <w:lang w:val="en-US" w:eastAsia="zh-CN"/>
        </w:rPr>
        <w:t>6.其他资料</w:t>
      </w:r>
    </w:p>
    <w:p w14:paraId="46D4F242">
      <w:pPr>
        <w:spacing w:line="520" w:lineRule="exact"/>
        <w:ind w:firstLine="640"/>
      </w:pPr>
      <w:r>
        <w:t>根据《</w:t>
      </w:r>
      <w:r>
        <w:rPr>
          <w:rFonts w:hint="eastAsia"/>
        </w:rPr>
        <w:t>国家药监局</w:t>
      </w:r>
      <w:r>
        <w:t>关于发布免于</w:t>
      </w:r>
      <w:r>
        <w:rPr>
          <w:rFonts w:hint="eastAsia"/>
          <w:lang w:eastAsia="zh-CN"/>
        </w:rPr>
        <w:t>进行</w:t>
      </w:r>
      <w:r>
        <w:t>临床评价医疗器械目录的通告》（以下简称《目录》），</w:t>
      </w:r>
      <w:r>
        <w:rPr>
          <w:rFonts w:hint="eastAsia"/>
          <w:lang w:eastAsia="zh-CN"/>
        </w:rPr>
        <w:t>内窥镜冲洗吸引器</w:t>
      </w:r>
      <w:r>
        <w:t>属于免于进行临床评价产品。按照《列入免于临床评价医疗器械目录产品对比说明技术指导原则》的要求开展申报产品与《目录》所述产品的等同性论证。</w:t>
      </w:r>
    </w:p>
    <w:p w14:paraId="277E8371">
      <w:pPr>
        <w:spacing w:line="520" w:lineRule="exact"/>
        <w:ind w:firstLine="640"/>
      </w:pPr>
      <w:r>
        <w:t>提交申报产品与《目录》所述内容的对比资料及申报产品与《目录》中已获准境内注册医疗器械的对比说明。存在差异的，应提交差异部分对安全有效性影响的分析研究资料。该资料应能证明申报产品与《目录》所述产品的基本等同性，若无法证明</w:t>
      </w:r>
      <w:r>
        <w:rPr>
          <w:color w:val="000000"/>
          <w:szCs w:val="32"/>
        </w:rPr>
        <w:t>申报产品与《目录》所述的产品具有基本等同性</w:t>
      </w:r>
      <w:r>
        <w:t>，应开展临床评价。</w:t>
      </w:r>
    </w:p>
    <w:p w14:paraId="46FBB66D">
      <w:pPr>
        <w:spacing w:line="520" w:lineRule="exact"/>
        <w:ind w:firstLine="640"/>
        <w:jc w:val="left"/>
        <w:outlineLvl w:val="1"/>
        <w:rPr>
          <w:rFonts w:hint="eastAsia" w:eastAsia="楷体_GB2312"/>
          <w:szCs w:val="32"/>
          <w:lang w:eastAsia="zh-CN"/>
        </w:rPr>
      </w:pPr>
      <w:r>
        <w:rPr>
          <w:rFonts w:hint="eastAsia" w:eastAsia="楷体_GB2312"/>
          <w:szCs w:val="32"/>
          <w:lang w:eastAsia="zh-CN"/>
        </w:rPr>
        <w:t>（四）临床评价资料</w:t>
      </w:r>
    </w:p>
    <w:p w14:paraId="3C7E8716">
      <w:pPr>
        <w:spacing w:line="520" w:lineRule="exact"/>
        <w:ind w:firstLine="640"/>
        <w:rPr>
          <w:szCs w:val="32"/>
        </w:rPr>
      </w:pPr>
      <w:r>
        <w:rPr>
          <w:szCs w:val="32"/>
        </w:rPr>
        <w:t>申报产品功能或结构超出《免于进行临床评价的医疗器械目录》中包含的内容的产品，不属于该产品免临床目录的范畴，应按照《医疗器械临床评价技术指导原则》中其他评价路径进行临床评价。不属于列入《免于进行临床评价的医疗器械目录》中的产品或模式</w:t>
      </w:r>
      <w:r>
        <w:rPr>
          <w:rFonts w:hint="eastAsia"/>
          <w:szCs w:val="32"/>
          <w:lang w:eastAsia="zh-CN"/>
        </w:rPr>
        <w:t>，</w:t>
      </w:r>
      <w:r>
        <w:rPr>
          <w:szCs w:val="32"/>
        </w:rPr>
        <w:t>注册申请人应当依据所申报产品</w:t>
      </w:r>
      <w:r>
        <w:rPr>
          <w:szCs w:val="32"/>
          <w:highlight w:val="none"/>
        </w:rPr>
        <w:t>的</w:t>
      </w:r>
      <w:r>
        <w:rPr>
          <w:rFonts w:hint="eastAsia"/>
          <w:szCs w:val="32"/>
          <w:highlight w:val="none"/>
          <w:lang w:val="en-US" w:eastAsia="zh-CN"/>
        </w:rPr>
        <w:t>工作原理、吸引方式（如</w:t>
      </w:r>
      <w:r>
        <w:rPr>
          <w:rFonts w:hint="eastAsia"/>
          <w:highlight w:val="none"/>
        </w:rPr>
        <w:t>是否都</w:t>
      </w:r>
      <w:r>
        <w:rPr>
          <w:rFonts w:hint="eastAsia"/>
          <w:highlight w:val="none"/>
          <w:lang w:val="en-US" w:eastAsia="zh-CN"/>
        </w:rPr>
        <w:t>属于</w:t>
      </w:r>
      <w:r>
        <w:rPr>
          <w:rFonts w:hint="eastAsia"/>
          <w:highlight w:val="none"/>
        </w:rPr>
        <w:t>蠕动泵吸引</w:t>
      </w:r>
      <w:r>
        <w:rPr>
          <w:rFonts w:hint="eastAsia"/>
          <w:highlight w:val="none"/>
          <w:lang w:val="en-US" w:eastAsia="zh-CN"/>
        </w:rPr>
        <w:t>方式</w:t>
      </w:r>
      <w:r>
        <w:rPr>
          <w:rFonts w:hint="eastAsia"/>
          <w:szCs w:val="32"/>
          <w:highlight w:val="none"/>
          <w:lang w:val="en-US" w:eastAsia="zh-CN"/>
        </w:rPr>
        <w:t>）、</w:t>
      </w:r>
      <w:r>
        <w:rPr>
          <w:szCs w:val="32"/>
        </w:rPr>
        <w:t>结构组成、性能参数和预期用途等，参考《医疗器械临床评价技术指导原则》、《医疗器械等同性论证技术指导原则》等相关要求提交临床评价资料。</w:t>
      </w:r>
    </w:p>
    <w:p w14:paraId="3BB7B0CC">
      <w:pPr>
        <w:spacing w:line="520" w:lineRule="exact"/>
        <w:ind w:firstLine="640"/>
        <w:jc w:val="left"/>
        <w:outlineLvl w:val="1"/>
        <w:rPr>
          <w:rFonts w:hint="default" w:eastAsia="楷体_GB2312"/>
          <w:szCs w:val="32"/>
          <w:lang w:val="en-US" w:eastAsia="zh-CN"/>
        </w:rPr>
      </w:pPr>
      <w:bookmarkStart w:id="41" w:name="_Toc6403"/>
      <w:bookmarkStart w:id="42" w:name="_Toc434231402"/>
      <w:r>
        <w:rPr>
          <w:rFonts w:hint="eastAsia" w:eastAsia="楷体_GB2312"/>
          <w:szCs w:val="32"/>
          <w:lang w:eastAsia="zh-CN"/>
        </w:rPr>
        <w:t>（五）说明书和标签样稿</w:t>
      </w:r>
      <w:r>
        <w:rPr>
          <w:rFonts w:hint="eastAsia" w:eastAsia="楷体_GB2312"/>
          <w:szCs w:val="32"/>
          <w:lang w:val="en-US" w:eastAsia="zh-CN"/>
        </w:rPr>
        <w:t xml:space="preserve"> </w:t>
      </w:r>
    </w:p>
    <w:p w14:paraId="5A4EE309">
      <w:pPr>
        <w:spacing w:line="520" w:lineRule="exact"/>
        <w:ind w:firstLine="640"/>
        <w:rPr>
          <w:szCs w:val="32"/>
        </w:rPr>
      </w:pPr>
      <w:r>
        <w:rPr>
          <w:szCs w:val="32"/>
        </w:rPr>
        <w:t>产品说明书一般包括使用说明书和技术说明书，两者可合并。产品说明书应符合《医疗器械说明书和标签管理规定》及相关标准（特别是GB 9706.1、YY 9706.102、GB</w:t>
      </w:r>
      <w:r>
        <w:rPr>
          <w:rFonts w:hint="eastAsia"/>
          <w:szCs w:val="32"/>
          <w:lang w:val="en-US" w:eastAsia="zh-CN"/>
        </w:rPr>
        <w:t xml:space="preserve"> </w:t>
      </w:r>
      <w:r>
        <w:rPr>
          <w:szCs w:val="32"/>
        </w:rPr>
        <w:t>9706.218、YY/T 0466.1）的规定。</w:t>
      </w:r>
    </w:p>
    <w:p w14:paraId="4A92BB49">
      <w:pPr>
        <w:spacing w:line="520" w:lineRule="exact"/>
        <w:ind w:firstLine="640"/>
        <w:rPr>
          <w:szCs w:val="32"/>
        </w:rPr>
      </w:pPr>
      <w:r>
        <w:rPr>
          <w:szCs w:val="32"/>
        </w:rPr>
        <w:t>医疗器械说明书、标签和包装标识的内容应当真实、完整、准确、科学，并与产品特性相一致。医疗器械标签、包装标识的内容应当与说明书有关内容相符合。医疗器械说明书、标签和包装标识文字内容必须使用中文，可以附加其他文种。中文的使用应当符合国家通用的语言文字规范。医疗器械说明书、标签和包装标识的文字、符号、图形、表格、数字、照片、图片等应当准确、清晰、规范。</w:t>
      </w:r>
    </w:p>
    <w:p w14:paraId="28A5F502">
      <w:pPr>
        <w:spacing w:line="520" w:lineRule="exact"/>
        <w:ind w:firstLine="640"/>
        <w:outlineLvl w:val="2"/>
        <w:rPr>
          <w:szCs w:val="32"/>
        </w:rPr>
      </w:pPr>
      <w:r>
        <w:rPr>
          <w:szCs w:val="32"/>
        </w:rPr>
        <w:t>1.说明书的内容</w:t>
      </w:r>
    </w:p>
    <w:p w14:paraId="040C558E">
      <w:pPr>
        <w:spacing w:line="520" w:lineRule="exact"/>
        <w:ind w:firstLine="640"/>
        <w:rPr>
          <w:szCs w:val="32"/>
        </w:rPr>
      </w:pPr>
      <w:r>
        <w:rPr>
          <w:szCs w:val="32"/>
        </w:rPr>
        <w:t>产品的说明书、标签应当符合《医疗器械说明书和标签管理规</w:t>
      </w:r>
      <w:r>
        <w:rPr>
          <w:szCs w:val="32"/>
          <w:highlight w:val="none"/>
        </w:rPr>
        <w:t>定》及其他适用标准中有关说明书和标签的要求的规定。使用说明书中还应符合以下要求：</w:t>
      </w:r>
    </w:p>
    <w:p w14:paraId="40C9569C">
      <w:pPr>
        <w:spacing w:line="520" w:lineRule="exact"/>
        <w:ind w:firstLine="640"/>
        <w:rPr>
          <w:szCs w:val="32"/>
        </w:rPr>
      </w:pPr>
      <w:r>
        <w:rPr>
          <w:szCs w:val="32"/>
        </w:rPr>
        <w:t>1.1明确输入电压和频率、输入功率、正常工作和贮存条件；</w:t>
      </w:r>
    </w:p>
    <w:p w14:paraId="57608500">
      <w:pPr>
        <w:spacing w:line="520" w:lineRule="exact"/>
        <w:ind w:firstLine="640"/>
        <w:rPr>
          <w:szCs w:val="32"/>
          <w:highlight w:val="none"/>
        </w:rPr>
      </w:pPr>
      <w:r>
        <w:rPr>
          <w:szCs w:val="32"/>
          <w:highlight w:val="none"/>
        </w:rPr>
        <w:t>1.2</w:t>
      </w:r>
      <w:r>
        <w:rPr>
          <w:rFonts w:hint="eastAsia"/>
          <w:szCs w:val="32"/>
          <w:highlight w:val="none"/>
          <w:lang w:eastAsia="zh-CN"/>
        </w:rPr>
        <w:t>注明组件的材料信息，如管路材质</w:t>
      </w:r>
      <w:r>
        <w:rPr>
          <w:szCs w:val="32"/>
          <w:highlight w:val="none"/>
        </w:rPr>
        <w:t>；</w:t>
      </w:r>
    </w:p>
    <w:p w14:paraId="221DF736">
      <w:pPr>
        <w:spacing w:line="520" w:lineRule="exact"/>
        <w:ind w:firstLine="640"/>
        <w:rPr>
          <w:szCs w:val="32"/>
          <w:highlight w:val="none"/>
        </w:rPr>
      </w:pPr>
      <w:r>
        <w:rPr>
          <w:szCs w:val="32"/>
          <w:highlight w:val="none"/>
        </w:rPr>
        <w:t>1.3明确配件、附件（如适用）的要求及使用方法</w:t>
      </w:r>
      <w:r>
        <w:rPr>
          <w:rFonts w:hint="eastAsia"/>
          <w:szCs w:val="32"/>
          <w:highlight w:val="none"/>
          <w:lang w:eastAsia="zh-CN"/>
        </w:rPr>
        <w:t>：如</w:t>
      </w:r>
      <w:r>
        <w:rPr>
          <w:szCs w:val="32"/>
          <w:highlight w:val="none"/>
          <w:lang w:val="en-US" w:eastAsia="zh-CN"/>
        </w:rPr>
        <w:t>可重复使用</w:t>
      </w:r>
      <w:r>
        <w:rPr>
          <w:rFonts w:hint="eastAsia"/>
          <w:szCs w:val="32"/>
          <w:highlight w:val="none"/>
          <w:lang w:val="en-US" w:eastAsia="zh-CN"/>
        </w:rPr>
        <w:t>管路明确清洁、</w:t>
      </w:r>
      <w:r>
        <w:rPr>
          <w:szCs w:val="32"/>
          <w:highlight w:val="none"/>
          <w:lang w:val="en-US" w:eastAsia="zh-CN"/>
        </w:rPr>
        <w:t>消毒</w:t>
      </w:r>
      <w:r>
        <w:rPr>
          <w:rFonts w:hint="eastAsia"/>
          <w:szCs w:val="32"/>
          <w:highlight w:val="none"/>
          <w:lang w:val="en-US" w:eastAsia="zh-CN"/>
        </w:rPr>
        <w:t>方法和灭菌耐受性，一次性使用管路明确“无菌”、“一次性使用”和灭菌方式</w:t>
      </w:r>
      <w:r>
        <w:rPr>
          <w:szCs w:val="32"/>
          <w:highlight w:val="none"/>
        </w:rPr>
        <w:t>；</w:t>
      </w:r>
    </w:p>
    <w:p w14:paraId="350518C0">
      <w:pPr>
        <w:spacing w:line="520" w:lineRule="exact"/>
        <w:ind w:firstLine="640"/>
        <w:rPr>
          <w:szCs w:val="32"/>
        </w:rPr>
      </w:pPr>
      <w:r>
        <w:rPr>
          <w:szCs w:val="32"/>
          <w:highlight w:val="none"/>
        </w:rPr>
        <w:t>1.4明确与</w:t>
      </w:r>
      <w:r>
        <w:rPr>
          <w:szCs w:val="32"/>
        </w:rPr>
        <w:t>配套用设备的接口及连接方法，并给出整个系统的示意图；</w:t>
      </w:r>
    </w:p>
    <w:p w14:paraId="2343B677">
      <w:pPr>
        <w:spacing w:line="520" w:lineRule="exact"/>
        <w:ind w:firstLine="640"/>
        <w:rPr>
          <w:szCs w:val="32"/>
        </w:rPr>
      </w:pPr>
      <w:r>
        <w:rPr>
          <w:szCs w:val="32"/>
        </w:rPr>
        <w:t>1.5产品中如包含可更换的部件，</w:t>
      </w:r>
      <w:r>
        <w:rPr>
          <w:rFonts w:hint="eastAsia"/>
          <w:szCs w:val="32"/>
          <w:lang w:eastAsia="zh-CN"/>
        </w:rPr>
        <w:t>如（过滤器），</w:t>
      </w:r>
      <w:r>
        <w:rPr>
          <w:szCs w:val="32"/>
        </w:rPr>
        <w:t>应在说明书和标签中明确产品的使用期限，可更换部件的更换周期、更换方法；</w:t>
      </w:r>
    </w:p>
    <w:p w14:paraId="02A59BA2">
      <w:pPr>
        <w:spacing w:line="520" w:lineRule="exact"/>
        <w:ind w:firstLine="640"/>
        <w:rPr>
          <w:szCs w:val="32"/>
        </w:rPr>
      </w:pPr>
      <w:r>
        <w:rPr>
          <w:szCs w:val="32"/>
        </w:rPr>
        <w:t>1.6应提醒注意由于电气安装不合适而造成的危险；</w:t>
      </w:r>
    </w:p>
    <w:p w14:paraId="560AACE4">
      <w:pPr>
        <w:spacing w:line="520" w:lineRule="exact"/>
        <w:ind w:firstLine="640"/>
        <w:rPr>
          <w:szCs w:val="32"/>
        </w:rPr>
      </w:pPr>
      <w:r>
        <w:rPr>
          <w:szCs w:val="32"/>
        </w:rPr>
        <w:t>例如：在手术室内残留易燃性气体而通电时，可能产生爆炸和火灾</w:t>
      </w:r>
      <w:r>
        <w:rPr>
          <w:rFonts w:hint="eastAsia"/>
          <w:szCs w:val="32"/>
          <w:lang w:eastAsia="zh-CN"/>
        </w:rPr>
        <w:t>，应</w:t>
      </w:r>
      <w:r>
        <w:rPr>
          <w:szCs w:val="32"/>
        </w:rPr>
        <w:t>提醒</w:t>
      </w:r>
      <w:r>
        <w:rPr>
          <w:rFonts w:hint="eastAsia"/>
          <w:szCs w:val="32"/>
          <w:lang w:eastAsia="zh-CN"/>
        </w:rPr>
        <w:t>内窥镜冲洗吸引器经清洁</w:t>
      </w:r>
      <w:r>
        <w:rPr>
          <w:szCs w:val="32"/>
        </w:rPr>
        <w:t>、消毒</w:t>
      </w:r>
      <w:r>
        <w:rPr>
          <w:rFonts w:hint="eastAsia"/>
          <w:szCs w:val="32"/>
          <w:lang w:eastAsia="zh-CN"/>
        </w:rPr>
        <w:t>或灭菌处理，应</w:t>
      </w:r>
      <w:r>
        <w:rPr>
          <w:szCs w:val="32"/>
        </w:rPr>
        <w:t>在室内充分换气</w:t>
      </w:r>
      <w:r>
        <w:rPr>
          <w:rFonts w:hint="eastAsia"/>
          <w:szCs w:val="32"/>
          <w:lang w:eastAsia="zh-CN"/>
        </w:rPr>
        <w:t>后</w:t>
      </w:r>
      <w:r>
        <w:rPr>
          <w:szCs w:val="32"/>
        </w:rPr>
        <w:t>再接通电源；该设备与其他设备间潜在的电磁干扰或其他干扰的相关信息，以及有关避免这些干扰的建议。</w:t>
      </w:r>
    </w:p>
    <w:p w14:paraId="59090A32">
      <w:pPr>
        <w:spacing w:line="520" w:lineRule="exact"/>
        <w:ind w:firstLine="640"/>
        <w:rPr>
          <w:szCs w:val="32"/>
        </w:rPr>
      </w:pPr>
      <w:r>
        <w:rPr>
          <w:szCs w:val="32"/>
        </w:rPr>
        <w:t>1.7应明确产品的适用范围和主要功能结构；所有配件、附件，特别是产品名称和型号应准确、完整；</w:t>
      </w:r>
    </w:p>
    <w:p w14:paraId="704DAB7C">
      <w:pPr>
        <w:spacing w:line="520" w:lineRule="exact"/>
        <w:ind w:firstLine="640"/>
        <w:rPr>
          <w:szCs w:val="32"/>
        </w:rPr>
      </w:pPr>
      <w:r>
        <w:rPr>
          <w:szCs w:val="32"/>
        </w:rPr>
        <w:t>1.8应涵盖产品性能指标；主要性能及参数应准确、完整；</w:t>
      </w:r>
    </w:p>
    <w:p w14:paraId="5E677546">
      <w:pPr>
        <w:spacing w:line="520" w:lineRule="exact"/>
        <w:ind w:firstLine="640"/>
        <w:rPr>
          <w:szCs w:val="32"/>
        </w:rPr>
      </w:pPr>
      <w:r>
        <w:rPr>
          <w:szCs w:val="32"/>
        </w:rPr>
        <w:t>1.9应明确产品安装及调试的负责方；应明确需要用户自行安装部分（如可拆卸配件）的安装、调试方法及其注意事项；</w:t>
      </w:r>
    </w:p>
    <w:p w14:paraId="08623F34">
      <w:pPr>
        <w:spacing w:line="520" w:lineRule="exact"/>
        <w:ind w:firstLine="640"/>
        <w:rPr>
          <w:szCs w:val="32"/>
        </w:rPr>
      </w:pPr>
      <w:r>
        <w:rPr>
          <w:szCs w:val="32"/>
        </w:rPr>
        <w:t>1.10长期停用后的使用前检查和检修程序应准确、合理；</w:t>
      </w:r>
    </w:p>
    <w:p w14:paraId="2017F71B">
      <w:pPr>
        <w:spacing w:line="520" w:lineRule="exact"/>
        <w:ind w:firstLine="640"/>
        <w:rPr>
          <w:szCs w:val="32"/>
        </w:rPr>
      </w:pPr>
      <w:r>
        <w:rPr>
          <w:szCs w:val="32"/>
        </w:rPr>
        <w:t>1.11应明确熔断器及其他可更换部件和附件的更换方法；</w:t>
      </w:r>
    </w:p>
    <w:p w14:paraId="46E0A5AF">
      <w:pPr>
        <w:spacing w:line="520" w:lineRule="exact"/>
        <w:ind w:firstLine="640"/>
        <w:rPr>
          <w:szCs w:val="32"/>
        </w:rPr>
      </w:pPr>
      <w:r>
        <w:rPr>
          <w:szCs w:val="32"/>
        </w:rPr>
        <w:t>1.12使用前的检查和准备程序应详细、准确；</w:t>
      </w:r>
    </w:p>
    <w:p w14:paraId="0362629E">
      <w:pPr>
        <w:spacing w:line="520" w:lineRule="exact"/>
        <w:ind w:firstLine="640"/>
        <w:rPr>
          <w:szCs w:val="32"/>
        </w:rPr>
      </w:pPr>
      <w:r>
        <w:rPr>
          <w:szCs w:val="32"/>
        </w:rPr>
        <w:t>1.13运行过程中的操作程序、方法及注意事项；</w:t>
      </w:r>
    </w:p>
    <w:p w14:paraId="7B029FBA">
      <w:pPr>
        <w:spacing w:line="520" w:lineRule="exact"/>
        <w:ind w:firstLine="640"/>
        <w:rPr>
          <w:szCs w:val="32"/>
        </w:rPr>
      </w:pPr>
      <w:r>
        <w:rPr>
          <w:szCs w:val="32"/>
        </w:rPr>
        <w:t>1.14应详细说明防护功能；</w:t>
      </w:r>
    </w:p>
    <w:p w14:paraId="1FB28371">
      <w:pPr>
        <w:spacing w:line="520" w:lineRule="exact"/>
        <w:ind w:firstLine="640"/>
        <w:rPr>
          <w:szCs w:val="32"/>
        </w:rPr>
      </w:pPr>
      <w:r>
        <w:rPr>
          <w:szCs w:val="32"/>
        </w:rPr>
        <w:t>1.15应明确停机方法及注意事项；</w:t>
      </w:r>
    </w:p>
    <w:p w14:paraId="19195A91">
      <w:pPr>
        <w:spacing w:line="520" w:lineRule="exact"/>
        <w:ind w:firstLine="640"/>
        <w:rPr>
          <w:szCs w:val="32"/>
        </w:rPr>
      </w:pPr>
      <w:r>
        <w:rPr>
          <w:szCs w:val="32"/>
        </w:rPr>
        <w:t>1.16应明确对操作者的培训要求等；</w:t>
      </w:r>
    </w:p>
    <w:p w14:paraId="0B184C8D">
      <w:pPr>
        <w:spacing w:line="520" w:lineRule="exact"/>
        <w:ind w:firstLine="640"/>
        <w:rPr>
          <w:szCs w:val="32"/>
        </w:rPr>
      </w:pPr>
      <w:r>
        <w:rPr>
          <w:szCs w:val="32"/>
        </w:rPr>
        <w:t>1.17应明确日常保养及维护的方法和周期、产品的保养和维护方法。包括预防性检查和保养的方法与周期，必要时规定合适的消毒剂。</w:t>
      </w:r>
    </w:p>
    <w:p w14:paraId="4B3E8AD9">
      <w:pPr>
        <w:spacing w:line="520" w:lineRule="exact"/>
        <w:ind w:firstLine="640"/>
        <w:rPr>
          <w:szCs w:val="32"/>
        </w:rPr>
      </w:pPr>
      <w:r>
        <w:rPr>
          <w:szCs w:val="32"/>
        </w:rPr>
        <w:t>1.18应明确异常情况下的紧急处理措施及特殊情况下（停电等）的注意事项。如，可能出现的误操作及误操作可能造成的伤害；如使用其他配件或材料会降低最低安全性，应说明对被认可的附件、可更换的部件和材料；安全使用期限；不可与患者或使用者直接接触部分的提示；</w:t>
      </w:r>
    </w:p>
    <w:p w14:paraId="4AE9AC51">
      <w:pPr>
        <w:spacing w:line="520" w:lineRule="exact"/>
        <w:ind w:firstLine="640"/>
        <w:rPr>
          <w:szCs w:val="32"/>
          <w:highlight w:val="none"/>
        </w:rPr>
      </w:pPr>
      <w:r>
        <w:rPr>
          <w:szCs w:val="32"/>
        </w:rPr>
        <w:t>1.19对设备所用的图形、符号、缩写等内容的解释，如：</w:t>
      </w:r>
      <w:r>
        <w:rPr>
          <w:szCs w:val="32"/>
          <w:highlight w:val="none"/>
        </w:rPr>
        <w:t>所有的电击防护分类、警告性说明和警告性符号的解释，特别是操作及控制部件附近特殊符号的说明；</w:t>
      </w:r>
    </w:p>
    <w:p w14:paraId="59886F08">
      <w:pPr>
        <w:spacing w:line="520" w:lineRule="exact"/>
        <w:ind w:firstLine="640"/>
        <w:rPr>
          <w:szCs w:val="32"/>
          <w:highlight w:val="none"/>
        </w:rPr>
      </w:pPr>
      <w:r>
        <w:rPr>
          <w:szCs w:val="32"/>
          <w:highlight w:val="none"/>
        </w:rPr>
        <w:t>1.20提供可能出现的故障及对故障原因的分析，特别是使用中如果发生</w:t>
      </w:r>
      <w:r>
        <w:rPr>
          <w:rFonts w:hint="eastAsia"/>
          <w:szCs w:val="32"/>
          <w:highlight w:val="none"/>
          <w:lang w:eastAsia="zh-CN"/>
        </w:rPr>
        <w:t>流量异常、压力传感器异常、泵过热</w:t>
      </w:r>
      <w:r>
        <w:rPr>
          <w:szCs w:val="32"/>
          <w:highlight w:val="none"/>
        </w:rPr>
        <w:t>等故障情况；</w:t>
      </w:r>
    </w:p>
    <w:p w14:paraId="2393DCE7">
      <w:pPr>
        <w:spacing w:line="520" w:lineRule="exact"/>
        <w:ind w:firstLine="640"/>
        <w:rPr>
          <w:szCs w:val="32"/>
          <w:highlight w:val="none"/>
        </w:rPr>
      </w:pPr>
      <w:r>
        <w:rPr>
          <w:szCs w:val="32"/>
          <w:highlight w:val="none"/>
        </w:rPr>
        <w:t>明确需要生产单位排除的故障和使用者排除的故障；</w:t>
      </w:r>
    </w:p>
    <w:p w14:paraId="4E130BD2">
      <w:pPr>
        <w:spacing w:line="520" w:lineRule="exact"/>
        <w:ind w:firstLine="640"/>
        <w:rPr>
          <w:szCs w:val="32"/>
        </w:rPr>
      </w:pPr>
      <w:r>
        <w:rPr>
          <w:szCs w:val="32"/>
        </w:rPr>
        <w:t>需要使用者排除的故障的排除方法等。</w:t>
      </w:r>
    </w:p>
    <w:p w14:paraId="69E6E488">
      <w:pPr>
        <w:spacing w:line="520" w:lineRule="exact"/>
        <w:ind w:firstLine="640"/>
        <w:rPr>
          <w:szCs w:val="32"/>
        </w:rPr>
      </w:pPr>
      <w:r>
        <w:rPr>
          <w:szCs w:val="32"/>
        </w:rPr>
        <w:t>1.21电磁兼容性提示，列出符合电磁兼容标准要求的电缆、电缆最大长度（若适用）等信息；警示使用制造商规定外部件对设备造成的影响；警示该设备与其他设备接近或叠放时是否影响设备正常运行；规定该设备的使用电磁环境参数表（包括电磁发射和电磁抗扰度）；该设备与移动射频通信设备间的推荐距离参数表；</w:t>
      </w:r>
    </w:p>
    <w:p w14:paraId="42AA6F4F">
      <w:pPr>
        <w:spacing w:line="520" w:lineRule="exact"/>
        <w:ind w:firstLine="640"/>
        <w:rPr>
          <w:rFonts w:hint="eastAsia" w:eastAsia="仿宋_GB2312"/>
          <w:szCs w:val="32"/>
          <w:lang w:eastAsia="zh-CN"/>
        </w:rPr>
      </w:pPr>
      <w:r>
        <w:rPr>
          <w:szCs w:val="32"/>
        </w:rPr>
        <w:t>1.22应明确产品的预期用途，应列明并表述正确选配件、附加功能。</w:t>
      </w:r>
      <w:r>
        <w:rPr>
          <w:rFonts w:hint="eastAsia"/>
          <w:szCs w:val="32"/>
          <w:lang w:val="en-US" w:eastAsia="zh-CN"/>
        </w:rPr>
        <w:t>应明确</w:t>
      </w:r>
      <w:r>
        <w:rPr>
          <w:szCs w:val="32"/>
        </w:rPr>
        <w:t>产品禁忌证和不适宜人群的描述</w:t>
      </w:r>
      <w:r>
        <w:rPr>
          <w:rFonts w:hint="eastAsia"/>
          <w:szCs w:val="32"/>
          <w:lang w:eastAsia="zh-CN"/>
        </w:rPr>
        <w:t>，</w:t>
      </w:r>
      <w:r>
        <w:rPr>
          <w:rFonts w:hint="eastAsia"/>
          <w:highlight w:val="none"/>
        </w:rPr>
        <w:t>如“不适用于流产手术及清宫吸引用”</w:t>
      </w:r>
      <w:r>
        <w:rPr>
          <w:szCs w:val="32"/>
        </w:rPr>
        <w:t>；</w:t>
      </w:r>
      <w:r>
        <w:rPr>
          <w:rFonts w:hint="eastAsia"/>
          <w:szCs w:val="32"/>
          <w:lang w:val="en-US" w:eastAsia="zh-CN"/>
        </w:rPr>
        <w:t>且</w:t>
      </w:r>
      <w:r>
        <w:rPr>
          <w:szCs w:val="32"/>
        </w:rPr>
        <w:t>应与临床评价报告（如有）中给出的</w:t>
      </w:r>
      <w:r>
        <w:rPr>
          <w:rFonts w:hint="eastAsia"/>
          <w:szCs w:val="32"/>
          <w:lang w:val="en-US" w:eastAsia="zh-CN"/>
        </w:rPr>
        <w:t>描述</w:t>
      </w:r>
      <w:r>
        <w:rPr>
          <w:szCs w:val="32"/>
        </w:rPr>
        <w:t>一致</w:t>
      </w:r>
      <w:r>
        <w:rPr>
          <w:rFonts w:hint="eastAsia"/>
          <w:szCs w:val="32"/>
          <w:lang w:eastAsia="zh-CN"/>
        </w:rPr>
        <w:t>。</w:t>
      </w:r>
    </w:p>
    <w:p w14:paraId="22E0B3F2">
      <w:pPr>
        <w:spacing w:line="520" w:lineRule="exact"/>
        <w:ind w:firstLine="640"/>
        <w:outlineLvl w:val="2"/>
        <w:rPr>
          <w:szCs w:val="32"/>
        </w:rPr>
      </w:pPr>
      <w:r>
        <w:rPr>
          <w:szCs w:val="32"/>
        </w:rPr>
        <w:t>2.标签、标记和提供信息的符号和包装标识</w:t>
      </w:r>
    </w:p>
    <w:p w14:paraId="7990131C">
      <w:pPr>
        <w:spacing w:line="520" w:lineRule="exact"/>
        <w:ind w:firstLine="640"/>
        <w:rPr>
          <w:szCs w:val="32"/>
        </w:rPr>
      </w:pPr>
      <w:r>
        <w:rPr>
          <w:szCs w:val="32"/>
        </w:rPr>
        <w:t>2.1应包含《医疗器械说明书和标签管理规定》要求至少列明的内容。</w:t>
      </w:r>
    </w:p>
    <w:p w14:paraId="40EDE1C0">
      <w:pPr>
        <w:spacing w:line="520" w:lineRule="exact"/>
        <w:ind w:firstLine="640"/>
        <w:rPr>
          <w:color w:val="000000" w:themeColor="text1"/>
          <w:szCs w:val="32"/>
          <w14:textFill>
            <w14:solidFill>
              <w14:schemeClr w14:val="tx1"/>
            </w14:solidFill>
          </w14:textFill>
        </w:rPr>
      </w:pPr>
      <w:r>
        <w:rPr>
          <w:color w:val="000000" w:themeColor="text1"/>
          <w:szCs w:val="32"/>
          <w14:textFill>
            <w14:solidFill>
              <w14:schemeClr w14:val="tx1"/>
            </w14:solidFill>
          </w14:textFill>
        </w:rPr>
        <w:t>2.2应符合YY/T 0466.1标准的要求。</w:t>
      </w:r>
    </w:p>
    <w:p w14:paraId="35EF21BD">
      <w:pPr>
        <w:spacing w:line="520" w:lineRule="exact"/>
        <w:ind w:firstLine="640"/>
        <w:rPr>
          <w:color w:val="000000" w:themeColor="text1"/>
          <w:szCs w:val="32"/>
          <w14:textFill>
            <w14:solidFill>
              <w14:schemeClr w14:val="tx1"/>
            </w14:solidFill>
          </w14:textFill>
        </w:rPr>
      </w:pPr>
      <w:r>
        <w:rPr>
          <w:color w:val="000000" w:themeColor="text1"/>
          <w:szCs w:val="32"/>
          <w14:textFill>
            <w14:solidFill>
              <w14:schemeClr w14:val="tx1"/>
            </w14:solidFill>
          </w14:textFill>
        </w:rPr>
        <w:t>2.3说明书上应有相关标志的图示说明应符合YY/T 0466.1、GB 9706.1和GB/T 191等标准。</w:t>
      </w:r>
    </w:p>
    <w:p w14:paraId="45C72C30">
      <w:pPr>
        <w:spacing w:line="520" w:lineRule="exact"/>
        <w:ind w:firstLine="640"/>
        <w:jc w:val="left"/>
        <w:outlineLvl w:val="0"/>
        <w:rPr>
          <w:rFonts w:eastAsia="黑体"/>
          <w:szCs w:val="32"/>
        </w:rPr>
      </w:pPr>
      <w:r>
        <w:rPr>
          <w:rFonts w:eastAsia="黑体"/>
          <w:szCs w:val="32"/>
        </w:rPr>
        <w:t>三、参考文献</w:t>
      </w:r>
    </w:p>
    <w:bookmarkEnd w:id="41"/>
    <w:bookmarkEnd w:id="42"/>
    <w:p w14:paraId="3B72C502">
      <w:pPr>
        <w:widowControl/>
        <w:spacing w:line="520" w:lineRule="exact"/>
        <w:ind w:firstLine="640"/>
        <w:rPr>
          <w:kern w:val="0"/>
          <w:szCs w:val="32"/>
        </w:rPr>
      </w:pPr>
      <w:r>
        <w:rPr>
          <w:kern w:val="0"/>
          <w:szCs w:val="32"/>
        </w:rPr>
        <w:t>[1]中华人民共和国国务院.医疗器械监督管理条例:国务院令第739号[Z].</w:t>
      </w:r>
    </w:p>
    <w:p w14:paraId="060C4993">
      <w:pPr>
        <w:widowControl/>
        <w:spacing w:line="520" w:lineRule="exact"/>
        <w:ind w:firstLine="640"/>
        <w:rPr>
          <w:kern w:val="0"/>
          <w:szCs w:val="32"/>
        </w:rPr>
      </w:pPr>
      <w:r>
        <w:rPr>
          <w:kern w:val="0"/>
          <w:szCs w:val="32"/>
        </w:rPr>
        <w:t>[2]国家市场监督管理总局.医疗器械注册与备案管理办法:国家市场监督管理总局令第47号[Z].</w:t>
      </w:r>
    </w:p>
    <w:p w14:paraId="7A8EC553">
      <w:pPr>
        <w:widowControl/>
        <w:spacing w:line="520" w:lineRule="exact"/>
        <w:ind w:firstLine="640"/>
        <w:rPr>
          <w:kern w:val="0"/>
          <w:szCs w:val="32"/>
        </w:rPr>
      </w:pPr>
      <w:r>
        <w:rPr>
          <w:kern w:val="0"/>
          <w:szCs w:val="32"/>
        </w:rPr>
        <w:t>[3]国家食品药品监督管理总局.医疗器械说明书和标签管理规定:国家食品药品监督管理总局令第6号[Z].</w:t>
      </w:r>
    </w:p>
    <w:p w14:paraId="7D8D0676">
      <w:pPr>
        <w:widowControl/>
        <w:spacing w:line="520" w:lineRule="exact"/>
        <w:ind w:firstLine="640"/>
        <w:rPr>
          <w:kern w:val="0"/>
          <w:szCs w:val="32"/>
        </w:rPr>
      </w:pPr>
      <w:r>
        <w:rPr>
          <w:kern w:val="0"/>
          <w:szCs w:val="32"/>
        </w:rPr>
        <w:t>[4]国家药品监督管理局.医疗器械注册申报资料要求和批准证明文件格式:国家药监局公告2021年第121号[Z].</w:t>
      </w:r>
    </w:p>
    <w:p w14:paraId="3798CA8F">
      <w:pPr>
        <w:widowControl/>
        <w:spacing w:line="520" w:lineRule="exact"/>
        <w:ind w:firstLine="640"/>
        <w:rPr>
          <w:kern w:val="0"/>
          <w:szCs w:val="32"/>
        </w:rPr>
      </w:pPr>
      <w:r>
        <w:rPr>
          <w:kern w:val="0"/>
          <w:szCs w:val="32"/>
        </w:rPr>
        <w:t>[5]国家药品监督管理局.医疗器械临床评价技术指导原则:国家药监局通告2021年第73号[Z].</w:t>
      </w:r>
    </w:p>
    <w:p w14:paraId="2C82EDB3">
      <w:pPr>
        <w:widowControl/>
        <w:spacing w:line="520" w:lineRule="exact"/>
        <w:ind w:firstLine="640"/>
        <w:rPr>
          <w:kern w:val="0"/>
          <w:szCs w:val="32"/>
        </w:rPr>
      </w:pPr>
      <w:r>
        <w:rPr>
          <w:kern w:val="0"/>
          <w:szCs w:val="32"/>
        </w:rPr>
        <w:t>[6]国家药品监督管理局.</w:t>
      </w:r>
      <w:r>
        <w:rPr>
          <w:rFonts w:hint="eastAsia"/>
          <w:kern w:val="0"/>
          <w:szCs w:val="32"/>
        </w:rPr>
        <w:t>免于进行临床评价医疗器械目录</w:t>
      </w:r>
      <w:r>
        <w:rPr>
          <w:rFonts w:hint="eastAsia"/>
          <w:kern w:val="0"/>
          <w:szCs w:val="32"/>
          <w:lang w:eastAsia="zh-CN"/>
        </w:rPr>
        <w:t>：</w:t>
      </w:r>
      <w:r>
        <w:rPr>
          <w:kern w:val="0"/>
          <w:szCs w:val="32"/>
        </w:rPr>
        <w:t>国家药监局通告</w:t>
      </w:r>
      <w:r>
        <w:rPr>
          <w:rFonts w:hint="eastAsia"/>
          <w:kern w:val="0"/>
          <w:szCs w:val="32"/>
        </w:rPr>
        <w:t>2025年第19号</w:t>
      </w:r>
      <w:r>
        <w:rPr>
          <w:kern w:val="0"/>
          <w:szCs w:val="32"/>
        </w:rPr>
        <w:t>[Z].</w:t>
      </w:r>
    </w:p>
    <w:p w14:paraId="0830F2D4">
      <w:pPr>
        <w:widowControl/>
        <w:spacing w:line="520" w:lineRule="exact"/>
        <w:ind w:firstLine="640"/>
        <w:rPr>
          <w:rFonts w:hint="eastAsia"/>
          <w:lang w:eastAsia="zh-CN"/>
        </w:rPr>
      </w:pPr>
      <w:r>
        <w:rPr>
          <w:kern w:val="0"/>
          <w:szCs w:val="32"/>
        </w:rPr>
        <w:t>[</w:t>
      </w:r>
      <w:r>
        <w:rPr>
          <w:rFonts w:hint="eastAsia"/>
          <w:kern w:val="0"/>
          <w:szCs w:val="32"/>
          <w:lang w:val="en-US" w:eastAsia="zh-CN"/>
        </w:rPr>
        <w:t>7</w:t>
      </w:r>
      <w:r>
        <w:rPr>
          <w:kern w:val="0"/>
          <w:szCs w:val="32"/>
        </w:rPr>
        <w:t>]</w:t>
      </w:r>
      <w:r>
        <w:rPr>
          <w:szCs w:val="32"/>
        </w:rPr>
        <w:t>国家药品监督管理局.</w:t>
      </w:r>
      <w:r>
        <w:rPr>
          <w:kern w:val="0"/>
          <w:szCs w:val="32"/>
        </w:rPr>
        <w:t>决策是否开展医疗器械临床试验技术指导原则:国家药监局关于发布医疗器械临床评价技术指导原则等5项技术指导原则通告2021年第73号[Z].</w:t>
      </w:r>
    </w:p>
    <w:p w14:paraId="1906F4DD">
      <w:pPr>
        <w:widowControl/>
        <w:spacing w:line="520" w:lineRule="exact"/>
        <w:ind w:firstLine="640"/>
        <w:rPr>
          <w:kern w:val="0"/>
          <w:szCs w:val="32"/>
        </w:rPr>
      </w:pPr>
      <w:r>
        <w:rPr>
          <w:kern w:val="0"/>
          <w:szCs w:val="32"/>
        </w:rPr>
        <w:t>[</w:t>
      </w:r>
      <w:r>
        <w:rPr>
          <w:rFonts w:hint="eastAsia"/>
          <w:kern w:val="0"/>
          <w:szCs w:val="32"/>
          <w:lang w:val="en-US" w:eastAsia="zh-CN"/>
        </w:rPr>
        <w:t>8</w:t>
      </w:r>
      <w:r>
        <w:rPr>
          <w:kern w:val="0"/>
          <w:szCs w:val="32"/>
        </w:rPr>
        <w:t>]国家药品监督管理局医疗器械审评中心.医疗器械软件注册审查指导原则（2022年修订版）:国家药监局器审中心通告2022年第9号</w:t>
      </w:r>
      <w:r>
        <w:rPr>
          <w:szCs w:val="32"/>
        </w:rPr>
        <w:t>[Z].</w:t>
      </w:r>
    </w:p>
    <w:p w14:paraId="07D000AA">
      <w:pPr>
        <w:spacing w:line="520" w:lineRule="exact"/>
        <w:ind w:right="-102" w:rightChars="-32" w:firstLine="640"/>
        <w:rPr>
          <w:kern w:val="0"/>
          <w:szCs w:val="32"/>
        </w:rPr>
      </w:pPr>
      <w:r>
        <w:rPr>
          <w:kern w:val="0"/>
          <w:szCs w:val="32"/>
        </w:rPr>
        <w:t>[</w:t>
      </w:r>
      <w:r>
        <w:rPr>
          <w:rFonts w:hint="eastAsia"/>
          <w:kern w:val="0"/>
          <w:szCs w:val="32"/>
          <w:lang w:val="en-US" w:eastAsia="zh-CN"/>
        </w:rPr>
        <w:t>9</w:t>
      </w:r>
      <w:r>
        <w:rPr>
          <w:kern w:val="0"/>
          <w:szCs w:val="32"/>
        </w:rPr>
        <w:t>]国家药品监督管理局医疗器械审评中心</w:t>
      </w:r>
      <w:r>
        <w:rPr>
          <w:szCs w:val="32"/>
        </w:rPr>
        <w:t>.医疗器械网络安全注册审查指导原则（2022年修订版）:</w:t>
      </w:r>
      <w:r>
        <w:rPr>
          <w:kern w:val="0"/>
          <w:szCs w:val="32"/>
        </w:rPr>
        <w:t>国家药监局器审中心通告2022年第7号[Z].</w:t>
      </w:r>
    </w:p>
    <w:p w14:paraId="401CCC06">
      <w:pPr>
        <w:spacing w:line="520" w:lineRule="exact"/>
        <w:ind w:right="-102" w:rightChars="-32" w:firstLine="640"/>
        <w:rPr>
          <w:szCs w:val="32"/>
        </w:rPr>
      </w:pPr>
      <w:r>
        <w:rPr>
          <w:kern w:val="0"/>
          <w:szCs w:val="32"/>
        </w:rPr>
        <w:t>[</w:t>
      </w:r>
      <w:r>
        <w:rPr>
          <w:rFonts w:hint="eastAsia"/>
          <w:kern w:val="0"/>
          <w:szCs w:val="32"/>
          <w:lang w:val="en-US" w:eastAsia="zh-CN"/>
        </w:rPr>
        <w:t>10</w:t>
      </w:r>
      <w:r>
        <w:rPr>
          <w:kern w:val="0"/>
          <w:szCs w:val="32"/>
        </w:rPr>
        <w:t>]国家</w:t>
      </w:r>
      <w:r>
        <w:rPr>
          <w:szCs w:val="32"/>
        </w:rPr>
        <w:t>药品监督管理局.</w:t>
      </w:r>
      <w:r>
        <w:rPr>
          <w:kern w:val="0"/>
          <w:szCs w:val="32"/>
        </w:rPr>
        <w:t>医疗器械产品技术要求编写指导原则:</w:t>
      </w:r>
      <w:r>
        <w:rPr>
          <w:szCs w:val="32"/>
        </w:rPr>
        <w:t>国家药监局公告2022年第8号[Z].</w:t>
      </w:r>
    </w:p>
    <w:p w14:paraId="1941A978">
      <w:pPr>
        <w:spacing w:line="520" w:lineRule="exact"/>
        <w:ind w:right="-102" w:rightChars="-32" w:firstLine="640"/>
        <w:rPr>
          <w:szCs w:val="32"/>
        </w:rPr>
      </w:pPr>
      <w:r>
        <w:rPr>
          <w:szCs w:val="32"/>
        </w:rPr>
        <w:t>[</w:t>
      </w:r>
      <w:r>
        <w:rPr>
          <w:rFonts w:hint="eastAsia"/>
          <w:szCs w:val="32"/>
          <w:lang w:val="en-US" w:eastAsia="zh-CN"/>
        </w:rPr>
        <w:t>11</w:t>
      </w:r>
      <w:r>
        <w:rPr>
          <w:szCs w:val="32"/>
        </w:rPr>
        <w:t>]国家药品监督管理局.</w:t>
      </w:r>
      <w:r>
        <w:rPr>
          <w:szCs w:val="32"/>
          <w:lang w:val="en-US" w:eastAsia="zh-CN"/>
        </w:rPr>
        <w:t>医疗器械通用名称命名指导原则</w:t>
      </w:r>
      <w:r>
        <w:rPr>
          <w:rFonts w:hint="eastAsia"/>
          <w:szCs w:val="32"/>
          <w:lang w:val="en-US" w:eastAsia="zh-CN"/>
        </w:rPr>
        <w:t>：</w:t>
      </w:r>
      <w:r>
        <w:rPr>
          <w:szCs w:val="32"/>
        </w:rPr>
        <w:t>国家药监局</w:t>
      </w:r>
      <w:r>
        <w:rPr>
          <w:rFonts w:hint="eastAsia"/>
          <w:szCs w:val="32"/>
          <w:lang w:eastAsia="zh-CN"/>
        </w:rPr>
        <w:t>通</w:t>
      </w:r>
      <w:r>
        <w:rPr>
          <w:szCs w:val="32"/>
        </w:rPr>
        <w:t>告</w:t>
      </w:r>
      <w:r>
        <w:rPr>
          <w:rFonts w:hint="eastAsia"/>
          <w:szCs w:val="32"/>
        </w:rPr>
        <w:t>2019年第99号</w:t>
      </w:r>
      <w:r>
        <w:rPr>
          <w:szCs w:val="32"/>
        </w:rPr>
        <w:t>[Z].</w:t>
      </w:r>
    </w:p>
    <w:p w14:paraId="5AB9CDF8">
      <w:pPr>
        <w:spacing w:line="520" w:lineRule="exact"/>
        <w:ind w:right="-102" w:rightChars="-32" w:firstLine="640"/>
        <w:rPr>
          <w:rFonts w:hint="eastAsia" w:eastAsia="微软雅黑"/>
          <w:lang w:val="en-US" w:eastAsia="zh-CN"/>
        </w:rPr>
      </w:pPr>
      <w:r>
        <w:rPr>
          <w:rFonts w:hint="eastAsia"/>
          <w:szCs w:val="32"/>
          <w:lang w:val="en-US" w:eastAsia="zh-CN"/>
        </w:rPr>
        <w:t>[12]</w:t>
      </w:r>
      <w:r>
        <w:rPr>
          <w:szCs w:val="32"/>
        </w:rPr>
        <w:t>国家药品监督管理局.</w:t>
      </w:r>
      <w:r>
        <w:rPr>
          <w:rFonts w:hint="eastAsia"/>
        </w:rPr>
        <w:t>医用成像器械通用名称命名指导原则</w:t>
      </w:r>
      <w:r>
        <w:rPr>
          <w:rFonts w:hint="eastAsia"/>
          <w:lang w:val="en-US" w:eastAsia="zh-CN"/>
        </w:rPr>
        <w:t>:</w:t>
      </w:r>
      <w:r>
        <w:rPr>
          <w:szCs w:val="32"/>
        </w:rPr>
        <w:t>国家药监局</w:t>
      </w:r>
      <w:r>
        <w:rPr>
          <w:rFonts w:hint="eastAsia"/>
          <w:szCs w:val="32"/>
          <w:lang w:eastAsia="zh-CN"/>
        </w:rPr>
        <w:t>通</w:t>
      </w:r>
      <w:r>
        <w:rPr>
          <w:szCs w:val="32"/>
        </w:rPr>
        <w:t>告</w:t>
      </w:r>
      <w:r>
        <w:rPr>
          <w:rFonts w:hint="eastAsia"/>
          <w:szCs w:val="32"/>
        </w:rPr>
        <w:t>2020</w:t>
      </w:r>
      <w:r>
        <w:rPr>
          <w:rFonts w:hint="eastAsia"/>
          <w:szCs w:val="32"/>
          <w:lang w:eastAsia="zh-CN"/>
        </w:rPr>
        <w:t>年</w:t>
      </w:r>
      <w:r>
        <w:rPr>
          <w:rFonts w:hint="eastAsia"/>
          <w:szCs w:val="32"/>
        </w:rPr>
        <w:t>第41号</w:t>
      </w:r>
      <w:r>
        <w:rPr>
          <w:szCs w:val="32"/>
        </w:rPr>
        <w:t>[Z].</w:t>
      </w:r>
    </w:p>
    <w:p w14:paraId="0BB8A9C2">
      <w:pPr>
        <w:spacing w:line="520" w:lineRule="exact"/>
        <w:ind w:right="-102" w:rightChars="-32" w:firstLine="640"/>
        <w:rPr>
          <w:kern w:val="0"/>
          <w:szCs w:val="32"/>
        </w:rPr>
      </w:pPr>
      <w:r>
        <w:rPr>
          <w:rFonts w:hint="eastAsia"/>
          <w:kern w:val="0"/>
          <w:szCs w:val="32"/>
          <w:lang w:val="en-US" w:eastAsia="zh-CN"/>
        </w:rPr>
        <w:t>[13</w:t>
      </w:r>
      <w:r>
        <w:rPr>
          <w:kern w:val="0"/>
          <w:szCs w:val="32"/>
        </w:rPr>
        <w:t>国家药品监督管理局医疗器械审评中心</w:t>
      </w:r>
      <w:r>
        <w:rPr>
          <w:szCs w:val="32"/>
        </w:rPr>
        <w:t>.</w:t>
      </w:r>
      <w:r>
        <w:rPr>
          <w:kern w:val="0"/>
          <w:szCs w:val="32"/>
        </w:rPr>
        <w:t>医疗器械安全和性能基本原则符合性技术指南:国家药监局器审中心通告2022年第29号</w:t>
      </w:r>
      <w:r>
        <w:rPr>
          <w:szCs w:val="32"/>
        </w:rPr>
        <w:t>[Z].</w:t>
      </w:r>
    </w:p>
    <w:p w14:paraId="065C19CD">
      <w:pPr>
        <w:spacing w:line="520" w:lineRule="exact"/>
        <w:ind w:firstLine="640"/>
        <w:rPr>
          <w:szCs w:val="32"/>
        </w:rPr>
      </w:pPr>
      <w:r>
        <w:rPr>
          <w:szCs w:val="32"/>
        </w:rPr>
        <w:t>[1</w:t>
      </w:r>
      <w:r>
        <w:rPr>
          <w:rFonts w:hint="eastAsia"/>
          <w:szCs w:val="32"/>
        </w:rPr>
        <w:t>4</w:t>
      </w:r>
      <w:r>
        <w:rPr>
          <w:szCs w:val="32"/>
        </w:rPr>
        <w:t>]GB 9706.1-2020,医用电气设备 第1部分：基本安全和基本性能的通用要求[S].</w:t>
      </w:r>
    </w:p>
    <w:p w14:paraId="64BA27B2">
      <w:pPr>
        <w:spacing w:line="520" w:lineRule="exact"/>
        <w:ind w:firstLine="640"/>
      </w:pPr>
      <w:r>
        <w:rPr>
          <w:szCs w:val="32"/>
        </w:rPr>
        <w:t>[1</w:t>
      </w:r>
      <w:r>
        <w:rPr>
          <w:rFonts w:hint="eastAsia"/>
          <w:szCs w:val="32"/>
        </w:rPr>
        <w:t>5</w:t>
      </w:r>
      <w:r>
        <w:rPr>
          <w:szCs w:val="32"/>
        </w:rPr>
        <w:t>]YY 9706.102-2021,医用电气设备 第1-2部分：基本安全和基本性能的通用要求 并列标准：电磁兼容 要求和试验</w:t>
      </w:r>
      <w:r>
        <w:t>[S].</w:t>
      </w:r>
    </w:p>
    <w:p w14:paraId="1093B91C">
      <w:pPr>
        <w:spacing w:line="520" w:lineRule="exact"/>
        <w:ind w:firstLine="640"/>
      </w:pPr>
      <w:r>
        <w:rPr>
          <w:szCs w:val="32"/>
        </w:rPr>
        <w:t>[1</w:t>
      </w:r>
      <w:r>
        <w:rPr>
          <w:rFonts w:hint="eastAsia"/>
          <w:szCs w:val="32"/>
        </w:rPr>
        <w:t>6</w:t>
      </w:r>
      <w:r>
        <w:rPr>
          <w:szCs w:val="32"/>
        </w:rPr>
        <w:t>]</w:t>
      </w:r>
      <w:r>
        <w:rPr>
          <w:rFonts w:hint="eastAsia"/>
          <w:szCs w:val="32"/>
        </w:rPr>
        <w:t>GB 9706.218</w:t>
      </w:r>
      <w:r>
        <w:rPr>
          <w:rFonts w:hint="eastAsia"/>
          <w:szCs w:val="32"/>
          <w:lang w:val="en-US" w:eastAsia="zh-CN"/>
        </w:rPr>
        <w:t>-2021</w:t>
      </w:r>
      <w:r>
        <w:rPr>
          <w:szCs w:val="32"/>
        </w:rPr>
        <w:t>,</w:t>
      </w:r>
      <w:r>
        <w:rPr>
          <w:rFonts w:hint="eastAsia"/>
          <w:szCs w:val="32"/>
          <w:lang w:val="en-US" w:eastAsia="zh-CN"/>
        </w:rPr>
        <w:t>医用电气设备 第2-18部分：内窥镜设备的基本安全和基本性能专用要求</w:t>
      </w:r>
      <w:r>
        <w:t>[S].</w:t>
      </w:r>
    </w:p>
    <w:p w14:paraId="36452BDE">
      <w:pPr>
        <w:spacing w:line="520" w:lineRule="exact"/>
        <w:ind w:firstLine="640"/>
        <w:rPr>
          <w:szCs w:val="32"/>
        </w:rPr>
      </w:pPr>
      <w:r>
        <w:rPr>
          <w:szCs w:val="32"/>
        </w:rPr>
        <w:t>[1</w:t>
      </w:r>
      <w:r>
        <w:rPr>
          <w:rFonts w:hint="eastAsia"/>
          <w:szCs w:val="32"/>
        </w:rPr>
        <w:t>7</w:t>
      </w:r>
      <w:r>
        <w:rPr>
          <w:szCs w:val="32"/>
        </w:rPr>
        <w:t>]Y</w:t>
      </w:r>
      <w:r>
        <w:rPr>
          <w:rFonts w:hint="eastAsia"/>
          <w:szCs w:val="32"/>
          <w:lang w:eastAsia="zh-CN"/>
        </w:rPr>
        <w:t>Y/T 0863</w:t>
      </w:r>
      <w:r>
        <w:rPr>
          <w:rFonts w:hint="eastAsia"/>
          <w:szCs w:val="32"/>
          <w:lang w:val="en-US" w:eastAsia="zh-CN"/>
        </w:rPr>
        <w:t>-2011</w:t>
      </w:r>
      <w:r>
        <w:rPr>
          <w:szCs w:val="32"/>
        </w:rPr>
        <w:t>,</w:t>
      </w:r>
      <w:r>
        <w:rPr>
          <w:rFonts w:hint="eastAsia"/>
          <w:szCs w:val="32"/>
          <w:lang w:eastAsia="zh-CN"/>
        </w:rPr>
        <w:t>医用内窥镜 内窥镜功能供给装置 滚压式冲洗吸引器</w:t>
      </w:r>
      <w:r>
        <w:rPr>
          <w:szCs w:val="32"/>
        </w:rPr>
        <w:t>[S]</w:t>
      </w:r>
      <w:r>
        <w:t>.</w:t>
      </w:r>
    </w:p>
    <w:p w14:paraId="6BF5AFB1">
      <w:pPr>
        <w:spacing w:line="520" w:lineRule="exact"/>
        <w:ind w:firstLine="640"/>
        <w:rPr>
          <w:szCs w:val="32"/>
        </w:rPr>
      </w:pPr>
      <w:r>
        <w:rPr>
          <w:szCs w:val="32"/>
        </w:rPr>
        <w:t>[1</w:t>
      </w:r>
      <w:r>
        <w:rPr>
          <w:rFonts w:hint="eastAsia"/>
          <w:szCs w:val="32"/>
        </w:rPr>
        <w:t>8</w:t>
      </w:r>
      <w:r>
        <w:rPr>
          <w:szCs w:val="32"/>
        </w:rPr>
        <w:t>]GB/T 4857,</w:t>
      </w:r>
      <w:r>
        <w:t>包装 运输包装件系列标准[S].</w:t>
      </w:r>
    </w:p>
    <w:p w14:paraId="4BA16990">
      <w:pPr>
        <w:spacing w:line="520" w:lineRule="exact"/>
        <w:ind w:firstLine="640"/>
        <w:rPr>
          <w:szCs w:val="32"/>
        </w:rPr>
      </w:pPr>
      <w:r>
        <w:rPr>
          <w:szCs w:val="32"/>
        </w:rPr>
        <w:t>[</w:t>
      </w:r>
      <w:r>
        <w:rPr>
          <w:rFonts w:hint="eastAsia"/>
          <w:szCs w:val="32"/>
        </w:rPr>
        <w:t>19</w:t>
      </w:r>
      <w:r>
        <w:rPr>
          <w:szCs w:val="32"/>
        </w:rPr>
        <w:t>]GB/T 16886,医疗器械生物学评价系列标准</w:t>
      </w:r>
      <w:r>
        <w:t>[S].</w:t>
      </w:r>
    </w:p>
    <w:p w14:paraId="15968180">
      <w:pPr>
        <w:spacing w:line="520" w:lineRule="exact"/>
        <w:ind w:firstLine="640"/>
      </w:pPr>
      <w:r>
        <w:rPr>
          <w:szCs w:val="32"/>
        </w:rPr>
        <w:t>[</w:t>
      </w:r>
      <w:r>
        <w:rPr>
          <w:rFonts w:hint="eastAsia"/>
          <w:szCs w:val="32"/>
        </w:rPr>
        <w:t>20</w:t>
      </w:r>
      <w:r>
        <w:rPr>
          <w:szCs w:val="32"/>
        </w:rPr>
        <w:t>]GB/T 42062-2022,医疗器械 风险管理对医疗器械的应用</w:t>
      </w:r>
      <w:r>
        <w:t>[S].</w:t>
      </w:r>
    </w:p>
    <w:p w14:paraId="0CD29DFF">
      <w:pPr>
        <w:spacing w:line="520" w:lineRule="exact"/>
        <w:ind w:firstLine="640"/>
      </w:pPr>
      <w:r>
        <w:rPr>
          <w:szCs w:val="32"/>
        </w:rPr>
        <w:t>[</w:t>
      </w:r>
      <w:r>
        <w:rPr>
          <w:rFonts w:hint="eastAsia"/>
          <w:szCs w:val="32"/>
        </w:rPr>
        <w:t>21</w:t>
      </w:r>
      <w:r>
        <w:rPr>
          <w:szCs w:val="32"/>
        </w:rPr>
        <w:t>]YY/T 1437-2023,医疗器械 GB/T 42062</w:t>
      </w:r>
      <w:r>
        <w:rPr>
          <w:rFonts w:hint="eastAsia"/>
          <w:szCs w:val="32"/>
        </w:rPr>
        <w:t>应用</w:t>
      </w:r>
      <w:r>
        <w:rPr>
          <w:szCs w:val="32"/>
        </w:rPr>
        <w:t>指南</w:t>
      </w:r>
      <w:r>
        <w:t>[S].</w:t>
      </w:r>
    </w:p>
    <w:p w14:paraId="236FCFA1">
      <w:pPr>
        <w:spacing w:line="520" w:lineRule="exact"/>
        <w:ind w:firstLine="640"/>
        <w:rPr>
          <w:rFonts w:hint="eastAsia"/>
          <w:szCs w:val="32"/>
        </w:rPr>
      </w:pPr>
      <w:r>
        <w:rPr>
          <w:rFonts w:hint="eastAsia"/>
          <w:szCs w:val="32"/>
        </w:rPr>
        <w:t>[22]GB/T 25000.51-2016,系统与软件工程 系统与软件质量要求和评价（SQuaRE） 第 51 部分：就绪可用软件产品（RUSP）的质量要求和测试细则[S].</w:t>
      </w:r>
    </w:p>
    <w:p w14:paraId="74C3F974">
      <w:pPr>
        <w:spacing w:line="520" w:lineRule="exact"/>
        <w:ind w:firstLine="640"/>
        <w:rPr>
          <w:rFonts w:hint="eastAsia"/>
          <w:szCs w:val="32"/>
        </w:rPr>
      </w:pPr>
      <w:r>
        <w:rPr>
          <w:rFonts w:hint="eastAsia"/>
          <w:szCs w:val="32"/>
        </w:rPr>
        <w:t>[2</w:t>
      </w:r>
      <w:r>
        <w:rPr>
          <w:rFonts w:hint="eastAsia"/>
          <w:szCs w:val="32"/>
          <w:lang w:val="en-US" w:eastAsia="zh-CN"/>
        </w:rPr>
        <w:t>3</w:t>
      </w:r>
      <w:r>
        <w:rPr>
          <w:rFonts w:hint="eastAsia"/>
          <w:szCs w:val="32"/>
        </w:rPr>
        <w:t>]</w:t>
      </w:r>
      <w:r>
        <w:rPr>
          <w:rFonts w:hint="default"/>
          <w:szCs w:val="32"/>
        </w:rPr>
        <w:t>YY/T 0681</w:t>
      </w:r>
      <w:r>
        <w:rPr>
          <w:szCs w:val="32"/>
        </w:rPr>
        <w:t>,</w:t>
      </w:r>
      <w:r>
        <w:rPr>
          <w:rFonts w:hint="eastAsia"/>
          <w:szCs w:val="32"/>
          <w:lang w:val="en-US" w:eastAsia="zh-CN"/>
        </w:rPr>
        <w:t>无菌医疗器械包装试验方法</w:t>
      </w:r>
      <w:r>
        <w:rPr>
          <w:rFonts w:hint="default"/>
          <w:szCs w:val="32"/>
        </w:rPr>
        <w:t>系列标准</w:t>
      </w:r>
      <w:r>
        <w:rPr>
          <w:rFonts w:hint="eastAsia"/>
          <w:szCs w:val="32"/>
        </w:rPr>
        <w:t>[S].</w:t>
      </w:r>
    </w:p>
    <w:p w14:paraId="791E6E14">
      <w:pPr>
        <w:spacing w:line="520" w:lineRule="exact"/>
        <w:ind w:firstLine="640"/>
        <w:rPr>
          <w:rFonts w:hint="default"/>
          <w:szCs w:val="32"/>
          <w:lang w:val="en-US" w:eastAsia="zh-CN"/>
        </w:rPr>
      </w:pPr>
      <w:r>
        <w:rPr>
          <w:rFonts w:hint="eastAsia"/>
          <w:szCs w:val="32"/>
          <w:lang w:val="en-US" w:eastAsia="zh-CN"/>
        </w:rPr>
        <w:t>[24]</w:t>
      </w:r>
      <w:r>
        <w:rPr>
          <w:rFonts w:hint="default"/>
          <w:szCs w:val="32"/>
          <w:lang w:val="en-US" w:eastAsia="zh-CN"/>
        </w:rPr>
        <w:t>YY/T 0698</w:t>
      </w:r>
      <w:r>
        <w:rPr>
          <w:rFonts w:hint="eastAsia"/>
          <w:szCs w:val="32"/>
          <w:lang w:val="en-US" w:eastAsia="zh-CN"/>
        </w:rPr>
        <w:t>,最终灭菌医疗器械包装材料</w:t>
      </w:r>
      <w:r>
        <w:rPr>
          <w:rFonts w:hint="default"/>
          <w:szCs w:val="32"/>
          <w:lang w:val="en-US" w:eastAsia="zh-CN"/>
        </w:rPr>
        <w:t>系列标准</w:t>
      </w:r>
      <w:r>
        <w:rPr>
          <w:rFonts w:hint="eastAsia"/>
          <w:szCs w:val="32"/>
          <w:lang w:val="en-US" w:eastAsia="zh-CN"/>
        </w:rPr>
        <w:t>[S].</w:t>
      </w:r>
    </w:p>
    <w:p w14:paraId="55928ACD">
      <w:pPr>
        <w:spacing w:line="520" w:lineRule="exact"/>
        <w:ind w:firstLine="640"/>
        <w:rPr>
          <w:rFonts w:hint="eastAsia"/>
          <w:szCs w:val="32"/>
          <w:lang w:val="en-US" w:eastAsia="zh-CN"/>
        </w:rPr>
      </w:pPr>
      <w:r>
        <w:rPr>
          <w:rFonts w:hint="eastAsia"/>
          <w:szCs w:val="32"/>
          <w:lang w:val="en-US" w:eastAsia="zh-CN"/>
        </w:rPr>
        <w:t>[25]</w:t>
      </w:r>
      <w:r>
        <w:rPr>
          <w:rFonts w:hint="default"/>
          <w:szCs w:val="32"/>
          <w:lang w:val="en-US" w:eastAsia="zh-CN"/>
        </w:rPr>
        <w:t>GB/T 19633</w:t>
      </w:r>
      <w:r>
        <w:rPr>
          <w:rFonts w:hint="eastAsia"/>
          <w:szCs w:val="32"/>
          <w:lang w:val="en-US" w:eastAsia="zh-CN"/>
        </w:rPr>
        <w:t>,最终灭菌医疗器械包装</w:t>
      </w:r>
      <w:r>
        <w:rPr>
          <w:rFonts w:hint="default"/>
          <w:szCs w:val="32"/>
          <w:lang w:val="en-US" w:eastAsia="zh-CN"/>
        </w:rPr>
        <w:t>系列标准</w:t>
      </w:r>
      <w:r>
        <w:rPr>
          <w:rFonts w:hint="eastAsia"/>
          <w:szCs w:val="32"/>
          <w:lang w:val="en-US" w:eastAsia="zh-CN"/>
        </w:rPr>
        <w:t>[S].</w:t>
      </w:r>
    </w:p>
    <w:p w14:paraId="5B2DC285">
      <w:pPr>
        <w:spacing w:line="520" w:lineRule="exact"/>
        <w:ind w:firstLine="640"/>
        <w:rPr>
          <w:rFonts w:hint="eastAsia"/>
          <w:szCs w:val="32"/>
          <w:lang w:val="en-US" w:eastAsia="zh-CN"/>
        </w:rPr>
      </w:pPr>
      <w:r>
        <w:rPr>
          <w:rFonts w:hint="eastAsia"/>
          <w:szCs w:val="32"/>
          <w:lang w:val="en-US" w:eastAsia="zh-CN"/>
        </w:rPr>
        <w:t>[26]GB 18279-2023,医疗保健产品灭菌 环氧乙烷 医疗器械灭菌过程的开发、确认和常规控制要求[S].</w:t>
      </w:r>
    </w:p>
    <w:p w14:paraId="7EABBB01">
      <w:pPr>
        <w:spacing w:line="520" w:lineRule="exact"/>
        <w:ind w:firstLine="640"/>
        <w:rPr>
          <w:rFonts w:hint="eastAsia"/>
          <w:szCs w:val="32"/>
          <w:lang w:val="en-US" w:eastAsia="zh-CN"/>
        </w:rPr>
      </w:pPr>
      <w:r>
        <w:rPr>
          <w:rFonts w:hint="eastAsia"/>
          <w:szCs w:val="32"/>
          <w:lang w:val="en-US" w:eastAsia="zh-CN"/>
        </w:rPr>
        <w:t>[27]GB 18280,医疗产品灭菌 辐射系列标准[S].</w:t>
      </w:r>
    </w:p>
    <w:p w14:paraId="2C6E0E34">
      <w:pPr>
        <w:spacing w:line="520" w:lineRule="exact"/>
        <w:ind w:firstLine="640"/>
        <w:rPr>
          <w:rFonts w:hint="eastAsia"/>
          <w:szCs w:val="32"/>
          <w:lang w:val="en-US" w:eastAsia="zh-CN"/>
        </w:rPr>
      </w:pPr>
      <w:r>
        <w:rPr>
          <w:rFonts w:hint="eastAsia"/>
          <w:szCs w:val="32"/>
          <w:lang w:val="en-US" w:eastAsia="zh-CN"/>
        </w:rPr>
        <w:t>[28]YY/T 0031-2008,输液、输血用硅橡胶管路及弹性件[S].</w:t>
      </w:r>
    </w:p>
    <w:p w14:paraId="35AB5FD6">
      <w:pPr>
        <w:spacing w:line="520" w:lineRule="exact"/>
        <w:ind w:firstLine="640"/>
        <w:rPr>
          <w:rFonts w:hint="eastAsia"/>
          <w:szCs w:val="32"/>
          <w:lang w:val="en-US" w:eastAsia="zh-CN"/>
        </w:rPr>
      </w:pPr>
      <w:r>
        <w:rPr>
          <w:rFonts w:hint="eastAsia"/>
          <w:szCs w:val="32"/>
          <w:lang w:val="en-US" w:eastAsia="zh-CN"/>
        </w:rPr>
        <w:t>[29]GB/T10010-2009,医用软聚氯乙烯管材[S].</w:t>
      </w:r>
    </w:p>
    <w:p w14:paraId="0F49CA15">
      <w:pPr>
        <w:spacing w:line="520" w:lineRule="exact"/>
        <w:ind w:firstLine="640"/>
        <w:rPr>
          <w:rFonts w:hint="eastAsia"/>
          <w:szCs w:val="32"/>
          <w:lang w:val="en-US" w:eastAsia="zh-CN"/>
        </w:rPr>
      </w:pPr>
      <w:r>
        <w:rPr>
          <w:rFonts w:hint="eastAsia"/>
          <w:szCs w:val="32"/>
          <w:lang w:val="en-US" w:eastAsia="zh-CN"/>
        </w:rPr>
        <w:t>[30]GB 8369.2-2020,一次性使用输血器 第2部分：压力输血设备用[S].</w:t>
      </w:r>
    </w:p>
    <w:p w14:paraId="6C3F5446">
      <w:pPr>
        <w:spacing w:line="520" w:lineRule="exact"/>
        <w:ind w:firstLine="640"/>
        <w:rPr>
          <w:rFonts w:hint="eastAsia"/>
          <w:szCs w:val="32"/>
          <w:lang w:val="en-US" w:eastAsia="zh-CN"/>
        </w:rPr>
      </w:pPr>
      <w:r>
        <w:rPr>
          <w:rFonts w:hint="eastAsia"/>
          <w:szCs w:val="32"/>
          <w:lang w:val="en-US" w:eastAsia="zh-CN"/>
        </w:rPr>
        <w:t>[31]GB/T 18457-2024,制造医疗器械用不锈钢针管 要求和试验方法[S].</w:t>
      </w:r>
      <w:r>
        <w:rPr>
          <w:rFonts w:hint="eastAsia"/>
          <w:szCs w:val="32"/>
          <w:lang w:val="en-US" w:eastAsia="zh-CN"/>
        </w:rPr>
        <w:tab/>
      </w:r>
    </w:p>
    <w:p w14:paraId="32517632">
      <w:pPr>
        <w:spacing w:line="520" w:lineRule="exact"/>
        <w:ind w:firstLine="640"/>
        <w:rPr>
          <w:rFonts w:hint="default"/>
          <w:szCs w:val="32"/>
          <w:lang w:val="en-US" w:eastAsia="zh-CN"/>
        </w:rPr>
      </w:pPr>
      <w:r>
        <w:rPr>
          <w:rFonts w:hint="eastAsia"/>
          <w:szCs w:val="32"/>
          <w:lang w:val="en-US" w:eastAsia="zh-CN"/>
        </w:rPr>
        <w:t xml:space="preserve">[32]GB/T 1962,注射器、注射针及其他医疗器械6%（鲁尔）圆锥接头系列标准[S]. </w:t>
      </w:r>
    </w:p>
    <w:p w14:paraId="1730D7EB">
      <w:pPr>
        <w:pStyle w:val="2"/>
        <w:rPr>
          <w:bCs/>
          <w:szCs w:val="32"/>
        </w:rPr>
      </w:pPr>
      <w:r>
        <w:rPr>
          <w:bCs/>
          <w:szCs w:val="32"/>
        </w:rPr>
        <w:br w:type="page"/>
      </w:r>
      <w:bookmarkStart w:id="43" w:name="_Toc25268"/>
      <w:bookmarkStart w:id="44" w:name="_Toc2212"/>
    </w:p>
    <w:bookmarkEnd w:id="43"/>
    <w:bookmarkEnd w:id="44"/>
    <w:p w14:paraId="0614C0D3">
      <w:pPr>
        <w:widowControl/>
        <w:spacing w:line="520" w:lineRule="exact"/>
        <w:ind w:firstLine="0" w:firstLineChars="0"/>
        <w:jc w:val="left"/>
        <w:outlineLvl w:val="0"/>
        <w:rPr>
          <w:rFonts w:eastAsia="黑体"/>
          <w:szCs w:val="32"/>
        </w:rPr>
      </w:pPr>
      <w:bookmarkStart w:id="45" w:name="_Toc27564"/>
      <w:bookmarkStart w:id="46" w:name="_Toc29269"/>
      <w:r>
        <w:rPr>
          <w:rFonts w:eastAsia="黑体"/>
          <w:szCs w:val="32"/>
        </w:rPr>
        <w:t>附件1</w:t>
      </w:r>
    </w:p>
    <w:p w14:paraId="3DE1BCB0">
      <w:pPr>
        <w:pStyle w:val="2"/>
        <w:spacing w:line="520" w:lineRule="exact"/>
        <w:rPr>
          <w:rFonts w:ascii="Times New Roman" w:hAnsi="Times New Roman"/>
        </w:rPr>
      </w:pPr>
    </w:p>
    <w:p w14:paraId="05AA8007">
      <w:pPr>
        <w:spacing w:line="520" w:lineRule="exact"/>
        <w:ind w:firstLine="0" w:firstLineChars="0"/>
        <w:jc w:val="center"/>
        <w:rPr>
          <w:rFonts w:eastAsia="方正小标宋简体"/>
          <w:sz w:val="44"/>
          <w:szCs w:val="44"/>
        </w:rPr>
      </w:pPr>
      <w:r>
        <w:rPr>
          <w:rFonts w:hint="eastAsia" w:eastAsia="方正小标宋简体"/>
          <w:sz w:val="44"/>
          <w:szCs w:val="44"/>
          <w:lang w:eastAsia="zh-CN"/>
        </w:rPr>
        <w:t>内窥镜冲洗吸引器</w:t>
      </w:r>
      <w:r>
        <w:rPr>
          <w:rFonts w:eastAsia="方正小标宋简体"/>
          <w:sz w:val="44"/>
          <w:szCs w:val="44"/>
        </w:rPr>
        <w:t>风险要素及示例</w:t>
      </w:r>
      <w:bookmarkEnd w:id="45"/>
      <w:bookmarkEnd w:id="46"/>
    </w:p>
    <w:p w14:paraId="7FED048C">
      <w:pPr>
        <w:spacing w:line="520" w:lineRule="exact"/>
        <w:ind w:firstLine="0" w:firstLineChars="0"/>
        <w:rPr>
          <w:rFonts w:eastAsia="微软雅黑"/>
          <w:kern w:val="0"/>
          <w:sz w:val="22"/>
          <w:szCs w:val="22"/>
        </w:rPr>
      </w:pPr>
      <w:bookmarkStart w:id="47" w:name="_Toc12314"/>
      <w:bookmarkStart w:id="48" w:name="_Toc31855"/>
    </w:p>
    <w:p w14:paraId="006036EB">
      <w:pPr>
        <w:spacing w:line="520" w:lineRule="exact"/>
        <w:ind w:firstLine="0" w:firstLineChars="0"/>
        <w:jc w:val="center"/>
        <w:rPr>
          <w:rFonts w:eastAsia="黑体"/>
          <w:sz w:val="28"/>
          <w:szCs w:val="28"/>
        </w:rPr>
      </w:pPr>
      <w:r>
        <w:rPr>
          <w:rStyle w:val="34"/>
          <w:rFonts w:eastAsia="黑体"/>
          <w:sz w:val="28"/>
          <w:szCs w:val="28"/>
        </w:rPr>
        <w:t>表 部分危险、可预见的事件序列、危险情况和可发生的伤害之间的关系</w:t>
      </w:r>
    </w:p>
    <w:bookmarkEnd w:id="47"/>
    <w:bookmarkEnd w:id="48"/>
    <w:tbl>
      <w:tblPr>
        <w:tblStyle w:val="19"/>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
        <w:gridCol w:w="1365"/>
        <w:gridCol w:w="2622"/>
        <w:gridCol w:w="2753"/>
        <w:gridCol w:w="2304"/>
      </w:tblGrid>
      <w:tr w14:paraId="684E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blHeader/>
          <w:jc w:val="center"/>
        </w:trPr>
        <w:tc>
          <w:tcPr>
            <w:tcW w:w="1374" w:type="dxa"/>
            <w:gridSpan w:val="2"/>
            <w:vAlign w:val="center"/>
          </w:tcPr>
          <w:p w14:paraId="5677F40D">
            <w:pPr>
              <w:widowControl/>
              <w:spacing w:line="400" w:lineRule="exact"/>
              <w:ind w:firstLine="0" w:firstLineChars="0"/>
              <w:jc w:val="center"/>
              <w:rPr>
                <w:b/>
                <w:kern w:val="0"/>
                <w:sz w:val="28"/>
                <w:szCs w:val="28"/>
              </w:rPr>
            </w:pPr>
            <w:r>
              <w:rPr>
                <w:b/>
                <w:kern w:val="0"/>
                <w:sz w:val="28"/>
                <w:szCs w:val="28"/>
              </w:rPr>
              <w:t>危险</w:t>
            </w:r>
          </w:p>
        </w:tc>
        <w:tc>
          <w:tcPr>
            <w:tcW w:w="2622" w:type="dxa"/>
            <w:vAlign w:val="center"/>
          </w:tcPr>
          <w:p w14:paraId="71275410">
            <w:pPr>
              <w:widowControl/>
              <w:spacing w:line="400" w:lineRule="exact"/>
              <w:ind w:firstLine="0" w:firstLineChars="0"/>
              <w:jc w:val="center"/>
              <w:rPr>
                <w:b/>
                <w:kern w:val="0"/>
                <w:sz w:val="28"/>
                <w:szCs w:val="28"/>
              </w:rPr>
            </w:pPr>
            <w:r>
              <w:rPr>
                <w:b/>
                <w:kern w:val="0"/>
                <w:sz w:val="28"/>
                <w:szCs w:val="28"/>
              </w:rPr>
              <w:t>可预见的事件序列</w:t>
            </w:r>
          </w:p>
        </w:tc>
        <w:tc>
          <w:tcPr>
            <w:tcW w:w="2753" w:type="dxa"/>
            <w:vAlign w:val="center"/>
          </w:tcPr>
          <w:p w14:paraId="259476EB">
            <w:pPr>
              <w:widowControl/>
              <w:spacing w:line="400" w:lineRule="exact"/>
              <w:ind w:firstLine="0" w:firstLineChars="0"/>
              <w:jc w:val="center"/>
              <w:rPr>
                <w:b/>
                <w:kern w:val="0"/>
                <w:sz w:val="28"/>
                <w:szCs w:val="28"/>
              </w:rPr>
            </w:pPr>
            <w:r>
              <w:rPr>
                <w:b/>
                <w:kern w:val="0"/>
                <w:sz w:val="28"/>
                <w:szCs w:val="28"/>
              </w:rPr>
              <w:t>危害情况</w:t>
            </w:r>
          </w:p>
        </w:tc>
        <w:tc>
          <w:tcPr>
            <w:tcW w:w="2304" w:type="dxa"/>
            <w:vAlign w:val="center"/>
          </w:tcPr>
          <w:p w14:paraId="1B41547B">
            <w:pPr>
              <w:widowControl/>
              <w:spacing w:line="400" w:lineRule="exact"/>
              <w:ind w:firstLine="0" w:firstLineChars="0"/>
              <w:jc w:val="center"/>
              <w:rPr>
                <w:b/>
                <w:kern w:val="0"/>
                <w:sz w:val="28"/>
                <w:szCs w:val="28"/>
              </w:rPr>
            </w:pPr>
            <w:r>
              <w:rPr>
                <w:b/>
                <w:kern w:val="0"/>
                <w:sz w:val="28"/>
                <w:szCs w:val="28"/>
              </w:rPr>
              <w:t>伤害</w:t>
            </w:r>
          </w:p>
        </w:tc>
      </w:tr>
      <w:tr w14:paraId="766C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53" w:hRule="atLeast"/>
          <w:jc w:val="center"/>
        </w:trPr>
        <w:tc>
          <w:tcPr>
            <w:tcW w:w="1365" w:type="dxa"/>
            <w:vMerge w:val="restart"/>
            <w:vAlign w:val="center"/>
          </w:tcPr>
          <w:p w14:paraId="583FF8E3">
            <w:pPr>
              <w:widowControl/>
              <w:spacing w:line="400" w:lineRule="exact"/>
              <w:ind w:firstLine="0" w:firstLineChars="0"/>
              <w:jc w:val="center"/>
              <w:rPr>
                <w:rFonts w:hint="eastAsia"/>
                <w:kern w:val="0"/>
                <w:sz w:val="28"/>
                <w:szCs w:val="28"/>
                <w:lang w:eastAsia="zh-CN"/>
              </w:rPr>
            </w:pPr>
            <w:r>
              <w:rPr>
                <w:rFonts w:hint="eastAsia"/>
                <w:kern w:val="0"/>
                <w:sz w:val="28"/>
                <w:szCs w:val="28"/>
                <w:lang w:eastAsia="zh-CN"/>
              </w:rPr>
              <w:t>生物学危险</w:t>
            </w:r>
          </w:p>
          <w:p w14:paraId="4C70D633">
            <w:pPr>
              <w:widowControl/>
              <w:spacing w:line="400" w:lineRule="exact"/>
              <w:ind w:firstLine="0" w:firstLineChars="0"/>
              <w:jc w:val="center"/>
              <w:rPr>
                <w:rFonts w:hint="eastAsia"/>
                <w:kern w:val="0"/>
                <w:sz w:val="28"/>
                <w:szCs w:val="28"/>
                <w:lang w:eastAsia="zh-CN"/>
              </w:rPr>
            </w:pPr>
          </w:p>
        </w:tc>
        <w:tc>
          <w:tcPr>
            <w:tcW w:w="2622" w:type="dxa"/>
            <w:vMerge w:val="restart"/>
            <w:vAlign w:val="center"/>
          </w:tcPr>
          <w:p w14:paraId="560B9BAE">
            <w:pPr>
              <w:widowControl/>
              <w:spacing w:line="400" w:lineRule="exact"/>
              <w:ind w:firstLine="0" w:firstLineChars="0"/>
              <w:jc w:val="center"/>
              <w:rPr>
                <w:kern w:val="0"/>
                <w:sz w:val="28"/>
                <w:szCs w:val="28"/>
              </w:rPr>
            </w:pPr>
            <w:r>
              <w:rPr>
                <w:rFonts w:ascii="Times New Roman" w:hAnsi="Times New Roman" w:eastAsia="仿宋_GB2312" w:cs="Times New Roman"/>
                <w:sz w:val="28"/>
                <w:szCs w:val="28"/>
              </w:rPr>
              <w:t>生物污染</w:t>
            </w:r>
          </w:p>
        </w:tc>
        <w:tc>
          <w:tcPr>
            <w:tcW w:w="2753" w:type="dxa"/>
            <w:vAlign w:val="center"/>
          </w:tcPr>
          <w:p w14:paraId="2B14A158">
            <w:pPr>
              <w:widowControl/>
              <w:spacing w:line="400" w:lineRule="exact"/>
              <w:ind w:firstLine="0" w:firstLineChars="0"/>
              <w:rPr>
                <w:rFonts w:hint="eastAsia" w:eastAsia="仿宋_GB2312"/>
                <w:kern w:val="0"/>
                <w:sz w:val="28"/>
                <w:szCs w:val="28"/>
                <w:lang w:eastAsia="zh-CN"/>
              </w:rPr>
            </w:pPr>
            <w:r>
              <w:rPr>
                <w:rFonts w:hint="eastAsia"/>
                <w:kern w:val="0"/>
                <w:sz w:val="28"/>
                <w:szCs w:val="28"/>
              </w:rPr>
              <w:t>一次性使用的产品被再次使用。</w:t>
            </w:r>
          </w:p>
        </w:tc>
        <w:tc>
          <w:tcPr>
            <w:tcW w:w="2304" w:type="dxa"/>
            <w:vAlign w:val="center"/>
          </w:tcPr>
          <w:p w14:paraId="6E65224B">
            <w:pPr>
              <w:widowControl/>
              <w:spacing w:line="400" w:lineRule="exact"/>
              <w:ind w:firstLine="0" w:firstLineChars="0"/>
              <w:rPr>
                <w:rFonts w:hint="eastAsia"/>
                <w:kern w:val="0"/>
                <w:sz w:val="28"/>
                <w:szCs w:val="28"/>
                <w:lang w:eastAsia="zh-CN"/>
              </w:rPr>
            </w:pPr>
            <w:r>
              <w:rPr>
                <w:rFonts w:hint="eastAsia"/>
                <w:kern w:val="0"/>
                <w:sz w:val="28"/>
                <w:szCs w:val="28"/>
                <w:lang w:eastAsia="zh-CN"/>
              </w:rPr>
              <w:t>产品带菌、热原等，引起感染或交叉感染。</w:t>
            </w:r>
          </w:p>
        </w:tc>
      </w:tr>
      <w:tr w14:paraId="4421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53" w:hRule="atLeast"/>
          <w:jc w:val="center"/>
        </w:trPr>
        <w:tc>
          <w:tcPr>
            <w:tcW w:w="1365" w:type="dxa"/>
            <w:vMerge w:val="continue"/>
            <w:vAlign w:val="center"/>
          </w:tcPr>
          <w:p w14:paraId="185E39D7">
            <w:pPr>
              <w:widowControl/>
              <w:spacing w:line="400" w:lineRule="exact"/>
              <w:ind w:firstLine="0" w:firstLineChars="0"/>
            </w:pPr>
          </w:p>
        </w:tc>
        <w:tc>
          <w:tcPr>
            <w:tcW w:w="2622" w:type="dxa"/>
            <w:vMerge w:val="continue"/>
            <w:vAlign w:val="center"/>
          </w:tcPr>
          <w:p w14:paraId="4A158981">
            <w:pPr>
              <w:widowControl/>
              <w:spacing w:line="400" w:lineRule="exact"/>
              <w:ind w:firstLine="0" w:firstLineChars="0"/>
              <w:jc w:val="center"/>
              <w:rPr>
                <w:rFonts w:hint="eastAsia" w:eastAsia="仿宋_GB2312"/>
                <w:kern w:val="0"/>
                <w:sz w:val="28"/>
                <w:szCs w:val="28"/>
                <w:lang w:eastAsia="zh-CN"/>
              </w:rPr>
            </w:pPr>
          </w:p>
        </w:tc>
        <w:tc>
          <w:tcPr>
            <w:tcW w:w="2753" w:type="dxa"/>
            <w:vAlign w:val="center"/>
          </w:tcPr>
          <w:p w14:paraId="6133D800">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生产环境污染产品。如外来的纤维，粉尘，细菌等其他杂质；产品原材料受到污染；灭菌操作不严格；包装破损；使用时清洁、消毒或灭菌操作不规范等。</w:t>
            </w:r>
          </w:p>
        </w:tc>
        <w:tc>
          <w:tcPr>
            <w:tcW w:w="2304" w:type="dxa"/>
            <w:vAlign w:val="center"/>
          </w:tcPr>
          <w:p w14:paraId="64361281">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产品带菌、热原等，引起患者感染。</w:t>
            </w:r>
          </w:p>
        </w:tc>
      </w:tr>
      <w:tr w14:paraId="0CDC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53" w:hRule="atLeast"/>
          <w:jc w:val="center"/>
        </w:trPr>
        <w:tc>
          <w:tcPr>
            <w:tcW w:w="1365" w:type="dxa"/>
            <w:vMerge w:val="continue"/>
            <w:vAlign w:val="center"/>
          </w:tcPr>
          <w:p w14:paraId="75D4DE64">
            <w:pPr>
              <w:widowControl/>
              <w:spacing w:line="400" w:lineRule="exact"/>
              <w:ind w:firstLine="0" w:firstLineChars="0"/>
            </w:pPr>
          </w:p>
        </w:tc>
        <w:tc>
          <w:tcPr>
            <w:tcW w:w="2622" w:type="dxa"/>
            <w:vMerge w:val="continue"/>
            <w:vAlign w:val="center"/>
          </w:tcPr>
          <w:p w14:paraId="23CD4E67">
            <w:pPr>
              <w:widowControl/>
              <w:spacing w:line="400" w:lineRule="exact"/>
              <w:ind w:firstLine="0" w:firstLineChars="0"/>
              <w:jc w:val="center"/>
              <w:rPr>
                <w:rFonts w:hint="eastAsia"/>
                <w:kern w:val="0"/>
                <w:sz w:val="28"/>
                <w:szCs w:val="28"/>
                <w:lang w:eastAsia="zh-CN"/>
              </w:rPr>
            </w:pPr>
          </w:p>
        </w:tc>
        <w:tc>
          <w:tcPr>
            <w:tcW w:w="2753" w:type="dxa"/>
            <w:vAlign w:val="center"/>
          </w:tcPr>
          <w:p w14:paraId="3BD9C33D">
            <w:pPr>
              <w:widowControl/>
              <w:spacing w:line="400" w:lineRule="exact"/>
              <w:ind w:firstLine="0" w:firstLineChars="0"/>
              <w:rPr>
                <w:rFonts w:hint="eastAsia"/>
                <w:kern w:val="0"/>
                <w:sz w:val="28"/>
                <w:szCs w:val="28"/>
                <w:lang w:eastAsia="zh-CN"/>
              </w:rPr>
            </w:pPr>
            <w:r>
              <w:rPr>
                <w:rFonts w:hint="eastAsia"/>
                <w:kern w:val="0"/>
                <w:sz w:val="28"/>
                <w:szCs w:val="28"/>
                <w:lang w:eastAsia="zh-CN"/>
              </w:rPr>
              <w:t>系统压力失衡或反流装置失效，导致液体反流</w:t>
            </w:r>
          </w:p>
        </w:tc>
        <w:tc>
          <w:tcPr>
            <w:tcW w:w="2304" w:type="dxa"/>
            <w:vAlign w:val="center"/>
          </w:tcPr>
          <w:p w14:paraId="43FD40DC">
            <w:pPr>
              <w:widowControl/>
              <w:spacing w:line="400" w:lineRule="exact"/>
              <w:ind w:firstLine="0" w:firstLineChars="0"/>
              <w:rPr>
                <w:rFonts w:hint="eastAsia"/>
                <w:kern w:val="0"/>
                <w:sz w:val="28"/>
                <w:szCs w:val="28"/>
                <w:lang w:eastAsia="zh-CN"/>
              </w:rPr>
            </w:pPr>
            <w:r>
              <w:rPr>
                <w:rFonts w:hint="eastAsia"/>
                <w:kern w:val="0"/>
                <w:sz w:val="28"/>
                <w:szCs w:val="28"/>
                <w:lang w:eastAsia="zh-CN"/>
              </w:rPr>
              <w:t>污染物异常进入患者体内，引起患者感染。</w:t>
            </w:r>
          </w:p>
        </w:tc>
      </w:tr>
      <w:tr w14:paraId="24DB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53" w:hRule="atLeast"/>
          <w:jc w:val="center"/>
        </w:trPr>
        <w:tc>
          <w:tcPr>
            <w:tcW w:w="1365" w:type="dxa"/>
            <w:vMerge w:val="continue"/>
            <w:vAlign w:val="center"/>
          </w:tcPr>
          <w:p w14:paraId="1770D3A0">
            <w:pPr>
              <w:widowControl/>
              <w:spacing w:line="400" w:lineRule="exact"/>
              <w:ind w:firstLine="0" w:firstLineChars="0"/>
              <w:jc w:val="center"/>
              <w:rPr>
                <w:rFonts w:hint="eastAsia"/>
                <w:kern w:val="0"/>
                <w:sz w:val="28"/>
                <w:szCs w:val="28"/>
                <w:lang w:eastAsia="zh-CN"/>
              </w:rPr>
            </w:pPr>
          </w:p>
        </w:tc>
        <w:tc>
          <w:tcPr>
            <w:tcW w:w="2622" w:type="dxa"/>
            <w:vAlign w:val="center"/>
          </w:tcPr>
          <w:p w14:paraId="630AC26D">
            <w:pPr>
              <w:widowControl/>
              <w:spacing w:line="400" w:lineRule="exact"/>
              <w:ind w:firstLine="0" w:firstLineChars="0"/>
              <w:jc w:val="center"/>
              <w:rPr>
                <w:rFonts w:hint="eastAsia" w:eastAsia="仿宋_GB2312"/>
                <w:kern w:val="0"/>
                <w:sz w:val="28"/>
                <w:szCs w:val="28"/>
                <w:lang w:eastAsia="zh-CN"/>
              </w:rPr>
            </w:pPr>
            <w:r>
              <w:rPr>
                <w:rFonts w:ascii="Times New Roman" w:hAnsi="Times New Roman" w:eastAsia="仿宋_GB2312" w:cs="Times New Roman"/>
                <w:sz w:val="28"/>
                <w:szCs w:val="28"/>
              </w:rPr>
              <w:t>生物不相容性</w:t>
            </w:r>
          </w:p>
        </w:tc>
        <w:tc>
          <w:tcPr>
            <w:tcW w:w="2753" w:type="dxa"/>
            <w:vAlign w:val="center"/>
          </w:tcPr>
          <w:p w14:paraId="11ED6B33">
            <w:pPr>
              <w:widowControl/>
              <w:spacing w:line="400" w:lineRule="exact"/>
              <w:ind w:firstLine="0" w:firstLineChars="0"/>
              <w:rPr>
                <w:rFonts w:hint="eastAsia"/>
                <w:kern w:val="0"/>
                <w:sz w:val="28"/>
                <w:szCs w:val="28"/>
                <w:lang w:eastAsia="zh-CN"/>
              </w:rPr>
            </w:pPr>
            <w:r>
              <w:rPr>
                <w:rFonts w:ascii="Times New Roman" w:hAnsi="Times New Roman" w:eastAsia="仿宋_GB2312" w:cs="Times New Roman"/>
                <w:sz w:val="28"/>
                <w:szCs w:val="28"/>
              </w:rPr>
              <w:t>采用不合格的原辅材料</w:t>
            </w:r>
            <w:r>
              <w:rPr>
                <w:rFonts w:hint="eastAsia" w:cs="Times New Roman"/>
                <w:sz w:val="28"/>
                <w:szCs w:val="28"/>
                <w:lang w:eastAsia="zh-CN"/>
              </w:rPr>
              <w:t>；</w:t>
            </w:r>
            <w:r>
              <w:rPr>
                <w:rFonts w:ascii="Times New Roman" w:hAnsi="Times New Roman" w:eastAsia="仿宋_GB2312" w:cs="Times New Roman"/>
                <w:sz w:val="28"/>
                <w:szCs w:val="28"/>
              </w:rPr>
              <w:t>未按照工艺要求配料，添加剂或助剂使用比例不当</w:t>
            </w:r>
          </w:p>
        </w:tc>
        <w:tc>
          <w:tcPr>
            <w:tcW w:w="2304" w:type="dxa"/>
            <w:vAlign w:val="center"/>
          </w:tcPr>
          <w:p w14:paraId="5A4958D4">
            <w:pPr>
              <w:widowControl/>
              <w:spacing w:line="400" w:lineRule="exact"/>
              <w:ind w:firstLine="0" w:firstLineChars="0"/>
              <w:rPr>
                <w:rFonts w:hint="eastAsia"/>
                <w:kern w:val="0"/>
                <w:sz w:val="28"/>
                <w:szCs w:val="28"/>
                <w:lang w:eastAsia="zh-CN"/>
              </w:rPr>
            </w:pPr>
            <w:r>
              <w:rPr>
                <w:rFonts w:hint="eastAsia"/>
                <w:kern w:val="0"/>
                <w:sz w:val="28"/>
                <w:szCs w:val="28"/>
                <w:lang w:eastAsia="zh-CN"/>
              </w:rPr>
              <w:t>中毒、刺激、过敏等症状，伤害患者健康，严重时危及患者生命。</w:t>
            </w:r>
          </w:p>
        </w:tc>
      </w:tr>
      <w:tr w14:paraId="76E2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370" w:hRule="atLeast"/>
          <w:jc w:val="center"/>
        </w:trPr>
        <w:tc>
          <w:tcPr>
            <w:tcW w:w="1365" w:type="dxa"/>
            <w:vMerge w:val="restart"/>
            <w:vAlign w:val="center"/>
          </w:tcPr>
          <w:p w14:paraId="518DB7F1">
            <w:pPr>
              <w:widowControl/>
              <w:spacing w:line="400" w:lineRule="exact"/>
              <w:ind w:firstLine="0" w:firstLineChars="0"/>
              <w:jc w:val="center"/>
              <w:rPr>
                <w:rFonts w:hint="eastAsia" w:eastAsia="仿宋_GB2312"/>
                <w:kern w:val="0"/>
                <w:sz w:val="28"/>
                <w:szCs w:val="28"/>
                <w:lang w:eastAsia="zh-CN"/>
              </w:rPr>
            </w:pPr>
            <w:r>
              <w:rPr>
                <w:kern w:val="0"/>
                <w:sz w:val="28"/>
                <w:szCs w:val="28"/>
              </w:rPr>
              <w:t>电磁能</w:t>
            </w:r>
            <w:r>
              <w:rPr>
                <w:rFonts w:hint="eastAsia"/>
                <w:kern w:val="0"/>
                <w:sz w:val="28"/>
                <w:szCs w:val="28"/>
                <w:lang w:eastAsia="zh-CN"/>
              </w:rPr>
              <w:t>危险</w:t>
            </w:r>
          </w:p>
        </w:tc>
        <w:tc>
          <w:tcPr>
            <w:tcW w:w="2622" w:type="dxa"/>
            <w:vAlign w:val="center"/>
          </w:tcPr>
          <w:p w14:paraId="423CE0D9">
            <w:pPr>
              <w:widowControl/>
              <w:spacing w:line="400" w:lineRule="exact"/>
              <w:ind w:firstLine="0" w:firstLineChars="0"/>
              <w:rPr>
                <w:rFonts w:hint="eastAsia" w:eastAsia="仿宋_GB2312"/>
                <w:kern w:val="0"/>
                <w:sz w:val="28"/>
                <w:szCs w:val="28"/>
                <w:lang w:eastAsia="zh-CN"/>
              </w:rPr>
            </w:pPr>
            <w:r>
              <w:rPr>
                <w:kern w:val="0"/>
                <w:sz w:val="28"/>
                <w:szCs w:val="28"/>
              </w:rPr>
              <w:t>在强电磁辐射源边使用</w:t>
            </w:r>
            <w:r>
              <w:rPr>
                <w:rFonts w:hint="eastAsia"/>
                <w:kern w:val="0"/>
                <w:sz w:val="28"/>
                <w:szCs w:val="28"/>
                <w:lang w:eastAsia="zh-CN"/>
              </w:rPr>
              <w:t>内窥镜冲洗吸引器</w:t>
            </w:r>
          </w:p>
        </w:tc>
        <w:tc>
          <w:tcPr>
            <w:tcW w:w="2753" w:type="dxa"/>
            <w:vAlign w:val="center"/>
          </w:tcPr>
          <w:p w14:paraId="106F9AB3">
            <w:pPr>
              <w:widowControl/>
              <w:spacing w:line="400" w:lineRule="exact"/>
              <w:ind w:firstLine="0" w:firstLineChars="0"/>
              <w:rPr>
                <w:kern w:val="0"/>
                <w:sz w:val="28"/>
                <w:szCs w:val="28"/>
              </w:rPr>
            </w:pPr>
            <w:r>
              <w:rPr>
                <w:kern w:val="0"/>
                <w:sz w:val="28"/>
                <w:szCs w:val="28"/>
              </w:rPr>
              <w:t>电磁干扰程序运行</w:t>
            </w:r>
          </w:p>
        </w:tc>
        <w:tc>
          <w:tcPr>
            <w:tcW w:w="2304" w:type="dxa"/>
            <w:vAlign w:val="center"/>
          </w:tcPr>
          <w:p w14:paraId="7178B88B">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设备电压</w:t>
            </w:r>
            <w:r>
              <w:rPr>
                <w:kern w:val="0"/>
                <w:sz w:val="28"/>
                <w:szCs w:val="28"/>
              </w:rPr>
              <w:t>波动或无法开启</w:t>
            </w:r>
            <w:r>
              <w:rPr>
                <w:rFonts w:hint="eastAsia"/>
                <w:kern w:val="0"/>
                <w:sz w:val="28"/>
                <w:szCs w:val="28"/>
                <w:lang w:eastAsia="zh-CN"/>
              </w:rPr>
              <w:t>，延长手术时间。</w:t>
            </w:r>
          </w:p>
        </w:tc>
      </w:tr>
      <w:tr w14:paraId="1D50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357" w:hRule="atLeast"/>
          <w:jc w:val="center"/>
        </w:trPr>
        <w:tc>
          <w:tcPr>
            <w:tcW w:w="1365" w:type="dxa"/>
            <w:vMerge w:val="continue"/>
            <w:vAlign w:val="center"/>
          </w:tcPr>
          <w:p w14:paraId="300430E3">
            <w:pPr>
              <w:widowControl/>
              <w:spacing w:line="400" w:lineRule="exact"/>
              <w:ind w:firstLine="0" w:firstLineChars="0"/>
              <w:jc w:val="center"/>
              <w:rPr>
                <w:kern w:val="0"/>
                <w:sz w:val="28"/>
                <w:szCs w:val="28"/>
              </w:rPr>
            </w:pPr>
          </w:p>
        </w:tc>
        <w:tc>
          <w:tcPr>
            <w:tcW w:w="2622" w:type="dxa"/>
            <w:vAlign w:val="center"/>
          </w:tcPr>
          <w:p w14:paraId="197E85FA">
            <w:pPr>
              <w:widowControl/>
              <w:spacing w:line="400" w:lineRule="exact"/>
              <w:ind w:firstLine="0" w:firstLineChars="0"/>
              <w:jc w:val="left"/>
              <w:rPr>
                <w:kern w:val="0"/>
                <w:sz w:val="28"/>
                <w:szCs w:val="28"/>
              </w:rPr>
            </w:pPr>
            <w:r>
              <w:rPr>
                <w:kern w:val="0"/>
                <w:sz w:val="28"/>
                <w:szCs w:val="28"/>
              </w:rPr>
              <w:t>静电放电</w:t>
            </w:r>
          </w:p>
        </w:tc>
        <w:tc>
          <w:tcPr>
            <w:tcW w:w="2753" w:type="dxa"/>
            <w:vAlign w:val="center"/>
          </w:tcPr>
          <w:p w14:paraId="7C79CEF2">
            <w:pPr>
              <w:widowControl/>
              <w:spacing w:line="400" w:lineRule="exact"/>
              <w:ind w:firstLine="0" w:firstLineChars="0"/>
              <w:rPr>
                <w:kern w:val="0"/>
                <w:sz w:val="28"/>
                <w:szCs w:val="28"/>
              </w:rPr>
            </w:pPr>
            <w:r>
              <w:rPr>
                <w:kern w:val="0"/>
                <w:sz w:val="28"/>
                <w:szCs w:val="28"/>
              </w:rPr>
              <w:t>干扰程序运行</w:t>
            </w:r>
          </w:p>
        </w:tc>
        <w:tc>
          <w:tcPr>
            <w:tcW w:w="2304" w:type="dxa"/>
            <w:vAlign w:val="center"/>
          </w:tcPr>
          <w:p w14:paraId="06665B46">
            <w:pPr>
              <w:widowControl/>
              <w:spacing w:line="400" w:lineRule="exact"/>
              <w:ind w:firstLine="0" w:firstLineChars="0"/>
              <w:rPr>
                <w:kern w:val="0"/>
                <w:sz w:val="28"/>
                <w:szCs w:val="28"/>
              </w:rPr>
            </w:pPr>
            <w:r>
              <w:rPr>
                <w:rFonts w:hint="eastAsia"/>
                <w:kern w:val="0"/>
                <w:sz w:val="28"/>
                <w:szCs w:val="28"/>
                <w:lang w:eastAsia="zh-CN"/>
              </w:rPr>
              <w:t>设备电压</w:t>
            </w:r>
            <w:r>
              <w:rPr>
                <w:kern w:val="0"/>
                <w:sz w:val="28"/>
                <w:szCs w:val="28"/>
              </w:rPr>
              <w:t>波动或无法开启</w:t>
            </w:r>
            <w:r>
              <w:rPr>
                <w:rFonts w:hint="eastAsia"/>
                <w:kern w:val="0"/>
                <w:sz w:val="28"/>
                <w:szCs w:val="28"/>
                <w:lang w:eastAsia="zh-CN"/>
              </w:rPr>
              <w:t>，延长手术时间。</w:t>
            </w:r>
          </w:p>
        </w:tc>
      </w:tr>
      <w:tr w14:paraId="2233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357" w:hRule="atLeast"/>
          <w:jc w:val="center"/>
        </w:trPr>
        <w:tc>
          <w:tcPr>
            <w:tcW w:w="1365" w:type="dxa"/>
            <w:vAlign w:val="center"/>
          </w:tcPr>
          <w:p w14:paraId="7E6D2954">
            <w:pPr>
              <w:widowControl/>
              <w:spacing w:line="400" w:lineRule="exact"/>
              <w:ind w:firstLine="0" w:firstLineChars="0"/>
              <w:jc w:val="center"/>
              <w:rPr>
                <w:kern w:val="0"/>
                <w:sz w:val="28"/>
                <w:szCs w:val="28"/>
              </w:rPr>
            </w:pPr>
            <w:r>
              <w:rPr>
                <w:rFonts w:hint="eastAsia"/>
                <w:kern w:val="0"/>
                <w:sz w:val="28"/>
                <w:szCs w:val="28"/>
                <w:lang w:eastAsia="zh-CN"/>
              </w:rPr>
              <w:t>电能危险</w:t>
            </w:r>
          </w:p>
        </w:tc>
        <w:tc>
          <w:tcPr>
            <w:tcW w:w="2622" w:type="dxa"/>
            <w:vAlign w:val="center"/>
          </w:tcPr>
          <w:p w14:paraId="5218C91D">
            <w:pPr>
              <w:widowControl/>
              <w:spacing w:line="400" w:lineRule="exact"/>
              <w:ind w:firstLine="0" w:firstLineChars="0"/>
              <w:rPr>
                <w:kern w:val="0"/>
                <w:sz w:val="28"/>
                <w:szCs w:val="28"/>
              </w:rPr>
            </w:pPr>
            <w:r>
              <w:rPr>
                <w:kern w:val="0"/>
                <w:sz w:val="28"/>
                <w:szCs w:val="28"/>
              </w:rPr>
              <w:t>产品漏电流超标</w:t>
            </w:r>
          </w:p>
        </w:tc>
        <w:tc>
          <w:tcPr>
            <w:tcW w:w="2753" w:type="dxa"/>
            <w:vAlign w:val="center"/>
          </w:tcPr>
          <w:p w14:paraId="773870FB">
            <w:pPr>
              <w:widowControl/>
              <w:spacing w:line="400" w:lineRule="exact"/>
              <w:ind w:firstLine="0" w:firstLineChars="0"/>
              <w:rPr>
                <w:kern w:val="0"/>
                <w:sz w:val="28"/>
                <w:szCs w:val="28"/>
              </w:rPr>
            </w:pPr>
            <w:r>
              <w:rPr>
                <w:kern w:val="0"/>
                <w:sz w:val="28"/>
                <w:szCs w:val="28"/>
              </w:rPr>
              <w:t>外壳、</w:t>
            </w:r>
            <w:r>
              <w:rPr>
                <w:rFonts w:hint="eastAsia"/>
                <w:kern w:val="0"/>
                <w:sz w:val="28"/>
                <w:szCs w:val="28"/>
                <w:lang w:eastAsia="zh-CN"/>
              </w:rPr>
              <w:t>接口</w:t>
            </w:r>
            <w:r>
              <w:rPr>
                <w:kern w:val="0"/>
                <w:sz w:val="28"/>
                <w:szCs w:val="28"/>
              </w:rPr>
              <w:t>与带电部分隔离/保护不够/绝缘</w:t>
            </w:r>
            <w:r>
              <w:rPr>
                <w:color w:val="000000" w:themeColor="text1"/>
                <w:kern w:val="0"/>
                <w:sz w:val="28"/>
                <w:szCs w:val="28"/>
                <w14:textFill>
                  <w14:solidFill>
                    <w14:schemeClr w14:val="tx1"/>
                  </w14:solidFill>
                </w14:textFill>
              </w:rPr>
              <w:t>失效</w:t>
            </w:r>
            <w:r>
              <w:rPr>
                <w:rFonts w:hint="eastAsia"/>
                <w:color w:val="000000" w:themeColor="text1"/>
                <w:kern w:val="0"/>
                <w:sz w:val="28"/>
                <w:szCs w:val="28"/>
                <w:lang w:eastAsia="zh-CN"/>
                <w14:textFill>
                  <w14:solidFill>
                    <w14:schemeClr w14:val="tx1"/>
                  </w14:solidFill>
                </w14:textFill>
              </w:rPr>
              <w:t>。</w:t>
            </w:r>
          </w:p>
        </w:tc>
        <w:tc>
          <w:tcPr>
            <w:tcW w:w="2304" w:type="dxa"/>
            <w:vAlign w:val="center"/>
          </w:tcPr>
          <w:p w14:paraId="4CA9FE4A">
            <w:pPr>
              <w:widowControl/>
              <w:spacing w:line="400" w:lineRule="exact"/>
              <w:ind w:firstLine="0" w:firstLineChars="0"/>
              <w:rPr>
                <w:rFonts w:hint="eastAsia" w:eastAsia="仿宋_GB2312"/>
                <w:kern w:val="0"/>
                <w:sz w:val="28"/>
                <w:szCs w:val="28"/>
                <w:lang w:eastAsia="zh-CN"/>
              </w:rPr>
            </w:pPr>
            <w:r>
              <w:rPr>
                <w:kern w:val="0"/>
                <w:sz w:val="28"/>
                <w:szCs w:val="28"/>
              </w:rPr>
              <w:t>漏电流超出允许值，导致人体感觉不舒服</w:t>
            </w:r>
            <w:r>
              <w:rPr>
                <w:rFonts w:hint="eastAsia"/>
                <w:kern w:val="0"/>
                <w:sz w:val="28"/>
                <w:szCs w:val="28"/>
                <w:lang w:eastAsia="zh-CN"/>
              </w:rPr>
              <w:t>。</w:t>
            </w:r>
          </w:p>
        </w:tc>
      </w:tr>
      <w:tr w14:paraId="1F04C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357" w:hRule="atLeast"/>
          <w:jc w:val="center"/>
        </w:trPr>
        <w:tc>
          <w:tcPr>
            <w:tcW w:w="1365" w:type="dxa"/>
            <w:vAlign w:val="center"/>
          </w:tcPr>
          <w:p w14:paraId="14E893B0">
            <w:pPr>
              <w:widowControl/>
              <w:spacing w:line="400" w:lineRule="exact"/>
              <w:ind w:firstLine="0" w:firstLineChars="0"/>
              <w:jc w:val="center"/>
              <w:rPr>
                <w:rFonts w:hint="eastAsia" w:eastAsia="仿宋_GB2312"/>
                <w:kern w:val="0"/>
                <w:sz w:val="28"/>
                <w:szCs w:val="28"/>
                <w:lang w:eastAsia="zh-CN"/>
              </w:rPr>
            </w:pPr>
            <w:r>
              <w:rPr>
                <w:kern w:val="0"/>
                <w:sz w:val="28"/>
                <w:szCs w:val="28"/>
              </w:rPr>
              <w:t>声能</w:t>
            </w:r>
            <w:r>
              <w:rPr>
                <w:rFonts w:hint="eastAsia"/>
                <w:kern w:val="0"/>
                <w:sz w:val="28"/>
                <w:szCs w:val="28"/>
                <w:lang w:eastAsia="zh-CN"/>
              </w:rPr>
              <w:t>危险</w:t>
            </w:r>
          </w:p>
        </w:tc>
        <w:tc>
          <w:tcPr>
            <w:tcW w:w="2622" w:type="dxa"/>
            <w:vAlign w:val="center"/>
          </w:tcPr>
          <w:p w14:paraId="5AA3D973">
            <w:pPr>
              <w:widowControl/>
              <w:spacing w:line="400" w:lineRule="exact"/>
              <w:ind w:firstLine="0" w:firstLineChars="0"/>
              <w:rPr>
                <w:kern w:val="0"/>
                <w:sz w:val="28"/>
                <w:szCs w:val="28"/>
              </w:rPr>
            </w:pPr>
            <w:r>
              <w:rPr>
                <w:kern w:val="0"/>
                <w:sz w:val="28"/>
                <w:szCs w:val="28"/>
              </w:rPr>
              <w:t>噪音超标</w:t>
            </w:r>
          </w:p>
        </w:tc>
        <w:tc>
          <w:tcPr>
            <w:tcW w:w="2753" w:type="dxa"/>
            <w:vAlign w:val="center"/>
          </w:tcPr>
          <w:p w14:paraId="62348AA4">
            <w:pPr>
              <w:widowControl/>
              <w:spacing w:line="400" w:lineRule="exact"/>
              <w:ind w:firstLine="0" w:firstLineChars="0"/>
              <w:rPr>
                <w:kern w:val="0"/>
                <w:sz w:val="28"/>
                <w:szCs w:val="28"/>
              </w:rPr>
            </w:pPr>
            <w:r>
              <w:rPr>
                <w:kern w:val="0"/>
                <w:sz w:val="28"/>
                <w:szCs w:val="28"/>
              </w:rPr>
              <w:t>操作人员注意力不集中操作失误。 造成患者或操作者不适</w:t>
            </w:r>
          </w:p>
        </w:tc>
        <w:tc>
          <w:tcPr>
            <w:tcW w:w="2304" w:type="dxa"/>
            <w:vAlign w:val="center"/>
          </w:tcPr>
          <w:p w14:paraId="6808FD9D">
            <w:pPr>
              <w:widowControl/>
              <w:spacing w:line="400" w:lineRule="exact"/>
              <w:ind w:firstLine="0" w:firstLineChars="0"/>
              <w:rPr>
                <w:rFonts w:hint="eastAsia" w:eastAsia="仿宋_GB2312"/>
                <w:kern w:val="0"/>
                <w:sz w:val="28"/>
                <w:szCs w:val="28"/>
                <w:lang w:eastAsia="zh-CN"/>
              </w:rPr>
            </w:pPr>
            <w:r>
              <w:rPr>
                <w:kern w:val="0"/>
                <w:sz w:val="28"/>
                <w:szCs w:val="28"/>
              </w:rPr>
              <w:t>导致人体感觉不舒服</w:t>
            </w:r>
            <w:r>
              <w:rPr>
                <w:rFonts w:hint="eastAsia"/>
                <w:kern w:val="0"/>
                <w:sz w:val="28"/>
                <w:szCs w:val="28"/>
                <w:lang w:eastAsia="zh-CN"/>
              </w:rPr>
              <w:t>。</w:t>
            </w:r>
          </w:p>
        </w:tc>
      </w:tr>
      <w:tr w14:paraId="25D4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jc w:val="center"/>
        </w:trPr>
        <w:tc>
          <w:tcPr>
            <w:tcW w:w="1365" w:type="dxa"/>
            <w:vAlign w:val="center"/>
          </w:tcPr>
          <w:p w14:paraId="7F25A456">
            <w:pPr>
              <w:widowControl/>
              <w:spacing w:line="400" w:lineRule="exact"/>
              <w:ind w:firstLine="0" w:firstLineChars="0"/>
              <w:jc w:val="center"/>
              <w:rPr>
                <w:rFonts w:hint="eastAsia" w:eastAsia="仿宋_GB2312"/>
                <w:kern w:val="0"/>
                <w:sz w:val="28"/>
                <w:szCs w:val="28"/>
                <w:lang w:eastAsia="zh-CN"/>
              </w:rPr>
            </w:pPr>
            <w:r>
              <w:rPr>
                <w:rFonts w:hint="eastAsia"/>
                <w:kern w:val="0"/>
                <w:sz w:val="28"/>
                <w:szCs w:val="28"/>
                <w:lang w:eastAsia="zh-CN"/>
              </w:rPr>
              <w:t>热能危险</w:t>
            </w:r>
          </w:p>
        </w:tc>
        <w:tc>
          <w:tcPr>
            <w:tcW w:w="2622" w:type="dxa"/>
            <w:vAlign w:val="center"/>
          </w:tcPr>
          <w:p w14:paraId="0CB33311">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泵温度过高</w:t>
            </w:r>
          </w:p>
        </w:tc>
        <w:tc>
          <w:tcPr>
            <w:tcW w:w="2753" w:type="dxa"/>
            <w:vAlign w:val="center"/>
          </w:tcPr>
          <w:p w14:paraId="543BB21A">
            <w:pPr>
              <w:widowControl/>
              <w:spacing w:line="400" w:lineRule="exact"/>
              <w:ind w:firstLine="0" w:firstLineChars="0"/>
              <w:rPr>
                <w:kern w:val="0"/>
                <w:sz w:val="28"/>
                <w:szCs w:val="28"/>
              </w:rPr>
            </w:pPr>
            <w:r>
              <w:rPr>
                <w:kern w:val="0"/>
                <w:sz w:val="28"/>
                <w:szCs w:val="28"/>
              </w:rPr>
              <w:t>散热装置失效或</w:t>
            </w:r>
            <w:r>
              <w:rPr>
                <w:rFonts w:hint="eastAsia"/>
                <w:kern w:val="0"/>
                <w:sz w:val="28"/>
                <w:szCs w:val="28"/>
                <w:lang w:eastAsia="zh-CN"/>
              </w:rPr>
              <w:t>元器件</w:t>
            </w:r>
            <w:r>
              <w:rPr>
                <w:kern w:val="0"/>
                <w:sz w:val="28"/>
                <w:szCs w:val="28"/>
              </w:rPr>
              <w:t>老化严重</w:t>
            </w:r>
          </w:p>
        </w:tc>
        <w:tc>
          <w:tcPr>
            <w:tcW w:w="2304" w:type="dxa"/>
            <w:vAlign w:val="center"/>
          </w:tcPr>
          <w:p w14:paraId="505AFF38">
            <w:pPr>
              <w:widowControl/>
              <w:spacing w:line="400" w:lineRule="exact"/>
              <w:ind w:firstLine="0" w:firstLineChars="0"/>
              <w:rPr>
                <w:rFonts w:hint="eastAsia" w:eastAsia="仿宋_GB2312"/>
                <w:kern w:val="0"/>
                <w:sz w:val="28"/>
                <w:szCs w:val="28"/>
                <w:lang w:eastAsia="zh-CN"/>
              </w:rPr>
            </w:pPr>
            <w:r>
              <w:rPr>
                <w:kern w:val="0"/>
                <w:sz w:val="28"/>
                <w:szCs w:val="28"/>
              </w:rPr>
              <w:t>产品损坏，严重时起火</w:t>
            </w:r>
            <w:r>
              <w:rPr>
                <w:rFonts w:hint="eastAsia"/>
                <w:kern w:val="0"/>
                <w:sz w:val="28"/>
                <w:szCs w:val="28"/>
                <w:lang w:eastAsia="zh-CN"/>
              </w:rPr>
              <w:t>，造成人员伤害。</w:t>
            </w:r>
          </w:p>
        </w:tc>
      </w:tr>
      <w:tr w14:paraId="50F8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68" w:hRule="atLeast"/>
          <w:jc w:val="center"/>
        </w:trPr>
        <w:tc>
          <w:tcPr>
            <w:tcW w:w="1365" w:type="dxa"/>
            <w:vMerge w:val="restart"/>
            <w:vAlign w:val="center"/>
          </w:tcPr>
          <w:p w14:paraId="4D307F47">
            <w:pPr>
              <w:widowControl/>
              <w:spacing w:line="400" w:lineRule="exact"/>
              <w:ind w:firstLine="0" w:firstLineChars="0"/>
              <w:jc w:val="center"/>
              <w:rPr>
                <w:rFonts w:hint="eastAsia" w:eastAsia="仿宋_GB2312"/>
                <w:kern w:val="0"/>
                <w:sz w:val="28"/>
                <w:szCs w:val="28"/>
                <w:lang w:eastAsia="zh-CN"/>
              </w:rPr>
            </w:pPr>
            <w:r>
              <w:rPr>
                <w:rFonts w:hint="eastAsia"/>
                <w:kern w:val="0"/>
                <w:sz w:val="28"/>
                <w:szCs w:val="28"/>
                <w:lang w:eastAsia="zh-CN"/>
              </w:rPr>
              <w:t>机械危险</w:t>
            </w:r>
          </w:p>
        </w:tc>
        <w:tc>
          <w:tcPr>
            <w:tcW w:w="2622" w:type="dxa"/>
            <w:vAlign w:val="center"/>
          </w:tcPr>
          <w:p w14:paraId="54A64B4A">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产品外表面质量存在加工缺陷，如边缘有毛刺。</w:t>
            </w:r>
          </w:p>
        </w:tc>
        <w:tc>
          <w:tcPr>
            <w:tcW w:w="2753" w:type="dxa"/>
            <w:vAlign w:val="center"/>
          </w:tcPr>
          <w:p w14:paraId="5313B733">
            <w:pPr>
              <w:widowControl/>
              <w:spacing w:line="400" w:lineRule="exact"/>
              <w:ind w:firstLine="0" w:firstLineChars="0"/>
              <w:rPr>
                <w:kern w:val="0"/>
                <w:sz w:val="28"/>
                <w:szCs w:val="28"/>
              </w:rPr>
            </w:pPr>
            <w:r>
              <w:rPr>
                <w:kern w:val="0"/>
                <w:sz w:val="28"/>
                <w:szCs w:val="28"/>
              </w:rPr>
              <w:t>操作者或患者接触到这些部位</w:t>
            </w:r>
          </w:p>
        </w:tc>
        <w:tc>
          <w:tcPr>
            <w:tcW w:w="2304" w:type="dxa"/>
            <w:vAlign w:val="center"/>
          </w:tcPr>
          <w:p w14:paraId="5FB6C39C">
            <w:pPr>
              <w:widowControl/>
              <w:spacing w:line="400" w:lineRule="exact"/>
              <w:ind w:firstLine="0" w:firstLineChars="0"/>
              <w:rPr>
                <w:kern w:val="0"/>
                <w:sz w:val="28"/>
                <w:szCs w:val="28"/>
              </w:rPr>
            </w:pPr>
            <w:r>
              <w:rPr>
                <w:kern w:val="0"/>
                <w:sz w:val="28"/>
                <w:szCs w:val="28"/>
              </w:rPr>
              <w:t>损伤可触及的操作者、患者</w:t>
            </w:r>
          </w:p>
        </w:tc>
      </w:tr>
      <w:tr w14:paraId="6503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855" w:hRule="atLeast"/>
          <w:jc w:val="center"/>
        </w:trPr>
        <w:tc>
          <w:tcPr>
            <w:tcW w:w="1365" w:type="dxa"/>
            <w:vMerge w:val="continue"/>
            <w:vAlign w:val="center"/>
          </w:tcPr>
          <w:p w14:paraId="2F07BE9A">
            <w:pPr>
              <w:widowControl/>
              <w:spacing w:line="400" w:lineRule="exact"/>
              <w:ind w:firstLine="0" w:firstLineChars="0"/>
              <w:jc w:val="center"/>
              <w:rPr>
                <w:kern w:val="0"/>
                <w:sz w:val="28"/>
                <w:szCs w:val="28"/>
              </w:rPr>
            </w:pPr>
          </w:p>
        </w:tc>
        <w:tc>
          <w:tcPr>
            <w:tcW w:w="2622" w:type="dxa"/>
            <w:vAlign w:val="center"/>
          </w:tcPr>
          <w:p w14:paraId="50A85660">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管路耐压性能不足、连接牢固度不够</w:t>
            </w:r>
          </w:p>
        </w:tc>
        <w:tc>
          <w:tcPr>
            <w:tcW w:w="2753" w:type="dxa"/>
            <w:vAlign w:val="center"/>
          </w:tcPr>
          <w:p w14:paraId="7970D73C">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管路破裂、断裂</w:t>
            </w:r>
          </w:p>
        </w:tc>
        <w:tc>
          <w:tcPr>
            <w:tcW w:w="2304" w:type="dxa"/>
            <w:vAlign w:val="center"/>
          </w:tcPr>
          <w:p w14:paraId="09D4B26D">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液体泄露，对使用者或患者造成污染</w:t>
            </w:r>
          </w:p>
        </w:tc>
      </w:tr>
      <w:tr w14:paraId="5435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412" w:hRule="atLeast"/>
          <w:jc w:val="center"/>
        </w:trPr>
        <w:tc>
          <w:tcPr>
            <w:tcW w:w="1365" w:type="dxa"/>
            <w:vMerge w:val="restart"/>
            <w:vAlign w:val="center"/>
          </w:tcPr>
          <w:p w14:paraId="0D5E7249">
            <w:pPr>
              <w:widowControl/>
              <w:spacing w:line="400" w:lineRule="exact"/>
              <w:ind w:firstLine="0" w:firstLineChars="0"/>
              <w:jc w:val="center"/>
              <w:rPr>
                <w:kern w:val="0"/>
                <w:sz w:val="28"/>
                <w:szCs w:val="28"/>
                <w:highlight w:val="cyan"/>
              </w:rPr>
            </w:pPr>
          </w:p>
          <w:p w14:paraId="06058BC1">
            <w:pPr>
              <w:widowControl/>
              <w:spacing w:line="400" w:lineRule="exact"/>
              <w:ind w:firstLine="0" w:firstLineChars="0"/>
              <w:jc w:val="center"/>
              <w:rPr>
                <w:rFonts w:hint="eastAsia" w:eastAsia="仿宋_GB2312"/>
                <w:kern w:val="0"/>
                <w:sz w:val="28"/>
                <w:szCs w:val="28"/>
                <w:lang w:eastAsia="zh-CN"/>
              </w:rPr>
            </w:pPr>
            <w:r>
              <w:rPr>
                <w:rFonts w:hint="eastAsia"/>
                <w:kern w:val="0"/>
                <w:sz w:val="28"/>
                <w:szCs w:val="28"/>
                <w:lang w:eastAsia="zh-CN"/>
              </w:rPr>
              <w:t>与使用有关的危险</w:t>
            </w:r>
          </w:p>
        </w:tc>
        <w:tc>
          <w:tcPr>
            <w:tcW w:w="2622" w:type="dxa"/>
            <w:tcBorders>
              <w:bottom w:val="single" w:color="auto" w:sz="4" w:space="0"/>
            </w:tcBorders>
            <w:vAlign w:val="center"/>
          </w:tcPr>
          <w:p w14:paraId="6D043BC5">
            <w:pPr>
              <w:widowControl/>
              <w:spacing w:line="400" w:lineRule="exact"/>
              <w:ind w:firstLine="0" w:firstLineChars="0"/>
              <w:rPr>
                <w:rFonts w:hint="eastAsia" w:eastAsia="仿宋_GB2312"/>
                <w:kern w:val="0"/>
                <w:sz w:val="28"/>
                <w:szCs w:val="28"/>
                <w:highlight w:val="none"/>
                <w:lang w:eastAsia="zh-CN"/>
              </w:rPr>
            </w:pPr>
            <w:r>
              <w:rPr>
                <w:rFonts w:hint="eastAsia"/>
                <w:kern w:val="0"/>
                <w:sz w:val="28"/>
                <w:szCs w:val="28"/>
                <w:highlight w:val="none"/>
                <w:lang w:eastAsia="zh-CN"/>
              </w:rPr>
              <w:t>管路</w:t>
            </w:r>
            <w:r>
              <w:rPr>
                <w:kern w:val="0"/>
                <w:sz w:val="28"/>
                <w:szCs w:val="28"/>
                <w:highlight w:val="none"/>
              </w:rPr>
              <w:t>未</w:t>
            </w:r>
            <w:r>
              <w:rPr>
                <w:rFonts w:hint="eastAsia"/>
                <w:kern w:val="0"/>
                <w:sz w:val="28"/>
                <w:szCs w:val="28"/>
                <w:highlight w:val="none"/>
                <w:lang w:eastAsia="zh-CN"/>
              </w:rPr>
              <w:t>安装到位</w:t>
            </w:r>
          </w:p>
        </w:tc>
        <w:tc>
          <w:tcPr>
            <w:tcW w:w="2753" w:type="dxa"/>
            <w:vAlign w:val="center"/>
          </w:tcPr>
          <w:p w14:paraId="25CDCFE3">
            <w:pPr>
              <w:widowControl/>
              <w:spacing w:line="400" w:lineRule="exact"/>
              <w:ind w:firstLine="0" w:firstLineChars="0"/>
              <w:rPr>
                <w:rFonts w:hint="eastAsia" w:eastAsia="仿宋_GB2312"/>
                <w:kern w:val="0"/>
                <w:sz w:val="28"/>
                <w:szCs w:val="28"/>
                <w:highlight w:val="none"/>
                <w:lang w:eastAsia="zh-CN"/>
              </w:rPr>
            </w:pPr>
            <w:r>
              <w:rPr>
                <w:rFonts w:hint="eastAsia"/>
                <w:kern w:val="0"/>
                <w:sz w:val="28"/>
                <w:szCs w:val="28"/>
                <w:highlight w:val="none"/>
                <w:lang w:eastAsia="zh-CN"/>
              </w:rPr>
              <w:t>泄露、压力和流量输出不稳定、负压不足、管路脱落</w:t>
            </w:r>
          </w:p>
        </w:tc>
        <w:tc>
          <w:tcPr>
            <w:tcW w:w="2304" w:type="dxa"/>
            <w:vAlign w:val="center"/>
          </w:tcPr>
          <w:p w14:paraId="3130EF9D">
            <w:pPr>
              <w:widowControl/>
              <w:spacing w:line="400" w:lineRule="exact"/>
              <w:ind w:firstLine="0" w:firstLineChars="0"/>
              <w:rPr>
                <w:rFonts w:hint="eastAsia" w:eastAsia="仿宋_GB2312"/>
                <w:kern w:val="0"/>
                <w:sz w:val="28"/>
                <w:szCs w:val="28"/>
                <w:highlight w:val="none"/>
                <w:lang w:eastAsia="zh-CN"/>
              </w:rPr>
            </w:pPr>
            <w:r>
              <w:rPr>
                <w:rFonts w:hint="eastAsia"/>
                <w:kern w:val="0"/>
                <w:sz w:val="28"/>
                <w:szCs w:val="28"/>
                <w:lang w:eastAsia="zh-CN"/>
              </w:rPr>
              <w:t>冲洗和吸引操作</w:t>
            </w:r>
            <w:r>
              <w:rPr>
                <w:kern w:val="0"/>
                <w:sz w:val="28"/>
                <w:szCs w:val="28"/>
              </w:rPr>
              <w:t>不能满足临床要求</w:t>
            </w:r>
            <w:r>
              <w:rPr>
                <w:rFonts w:hint="eastAsia"/>
                <w:kern w:val="0"/>
                <w:sz w:val="28"/>
                <w:szCs w:val="28"/>
                <w:lang w:eastAsia="zh-CN"/>
              </w:rPr>
              <w:t>。</w:t>
            </w:r>
          </w:p>
        </w:tc>
      </w:tr>
      <w:tr w14:paraId="0B6C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840" w:hRule="atLeast"/>
          <w:jc w:val="center"/>
        </w:trPr>
        <w:tc>
          <w:tcPr>
            <w:tcW w:w="1365" w:type="dxa"/>
            <w:vMerge w:val="continue"/>
            <w:vAlign w:val="center"/>
          </w:tcPr>
          <w:p w14:paraId="6FD6286C">
            <w:pPr>
              <w:widowControl/>
              <w:spacing w:line="400" w:lineRule="exact"/>
              <w:ind w:firstLine="0" w:firstLineChars="0"/>
              <w:jc w:val="center"/>
              <w:rPr>
                <w:kern w:val="0"/>
                <w:sz w:val="28"/>
                <w:szCs w:val="28"/>
              </w:rPr>
            </w:pPr>
          </w:p>
        </w:tc>
        <w:tc>
          <w:tcPr>
            <w:tcW w:w="2622" w:type="dxa"/>
            <w:tcBorders>
              <w:top w:val="single" w:color="auto" w:sz="4" w:space="0"/>
              <w:bottom w:val="single" w:color="auto" w:sz="4" w:space="0"/>
              <w:right w:val="single" w:color="auto" w:sz="4" w:space="0"/>
            </w:tcBorders>
            <w:vAlign w:val="center"/>
          </w:tcPr>
          <w:p w14:paraId="6792E179">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电源连接不到位或电池电量过低</w:t>
            </w:r>
          </w:p>
        </w:tc>
        <w:tc>
          <w:tcPr>
            <w:tcW w:w="2753" w:type="dxa"/>
            <w:tcBorders>
              <w:left w:val="single" w:color="auto" w:sz="4" w:space="0"/>
            </w:tcBorders>
            <w:vAlign w:val="center"/>
          </w:tcPr>
          <w:p w14:paraId="7988588D">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仪器无法正常工作</w:t>
            </w:r>
          </w:p>
        </w:tc>
        <w:tc>
          <w:tcPr>
            <w:tcW w:w="2304" w:type="dxa"/>
            <w:vAlign w:val="center"/>
          </w:tcPr>
          <w:p w14:paraId="4393F82C">
            <w:pPr>
              <w:widowControl/>
              <w:spacing w:line="400" w:lineRule="exact"/>
              <w:ind w:firstLine="0" w:firstLineChars="0"/>
              <w:rPr>
                <w:kern w:val="0"/>
                <w:sz w:val="28"/>
                <w:szCs w:val="28"/>
              </w:rPr>
            </w:pPr>
            <w:r>
              <w:rPr>
                <w:rFonts w:hint="eastAsia"/>
                <w:kern w:val="0"/>
                <w:sz w:val="28"/>
                <w:szCs w:val="28"/>
                <w:lang w:eastAsia="zh-CN"/>
              </w:rPr>
              <w:t>无法实现预期用途。</w:t>
            </w:r>
          </w:p>
        </w:tc>
      </w:tr>
      <w:tr w14:paraId="7617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929" w:hRule="atLeast"/>
          <w:jc w:val="center"/>
        </w:trPr>
        <w:tc>
          <w:tcPr>
            <w:tcW w:w="1365" w:type="dxa"/>
            <w:vMerge w:val="continue"/>
            <w:vAlign w:val="center"/>
          </w:tcPr>
          <w:p w14:paraId="0C4CF99B">
            <w:pPr>
              <w:widowControl/>
              <w:spacing w:line="400" w:lineRule="exact"/>
              <w:ind w:firstLine="0" w:firstLineChars="0"/>
              <w:rPr>
                <w:kern w:val="0"/>
                <w:sz w:val="28"/>
                <w:szCs w:val="28"/>
              </w:rPr>
            </w:pPr>
          </w:p>
        </w:tc>
        <w:tc>
          <w:tcPr>
            <w:tcW w:w="2622" w:type="dxa"/>
            <w:tcBorders>
              <w:top w:val="single" w:color="auto" w:sz="4" w:space="0"/>
            </w:tcBorders>
            <w:vAlign w:val="center"/>
          </w:tcPr>
          <w:p w14:paraId="0D6A7A9A">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由缺乏技术的或未经培训的人员使用</w:t>
            </w:r>
          </w:p>
        </w:tc>
        <w:tc>
          <w:tcPr>
            <w:tcW w:w="2753" w:type="dxa"/>
            <w:vAlign w:val="center"/>
          </w:tcPr>
          <w:p w14:paraId="30FECF8C">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操作不熟练、操作失误</w:t>
            </w:r>
          </w:p>
        </w:tc>
        <w:tc>
          <w:tcPr>
            <w:tcW w:w="2304" w:type="dxa"/>
            <w:vAlign w:val="center"/>
          </w:tcPr>
          <w:p w14:paraId="75359F17">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无法实现预期用途，设备损坏，患者受伤害</w:t>
            </w:r>
          </w:p>
        </w:tc>
      </w:tr>
      <w:tr w14:paraId="3347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24" w:hRule="atLeast"/>
          <w:jc w:val="center"/>
        </w:trPr>
        <w:tc>
          <w:tcPr>
            <w:tcW w:w="1365" w:type="dxa"/>
            <w:vMerge w:val="continue"/>
            <w:vAlign w:val="center"/>
          </w:tcPr>
          <w:p w14:paraId="6ABD8112">
            <w:pPr>
              <w:widowControl/>
              <w:spacing w:line="400" w:lineRule="exact"/>
              <w:ind w:firstLine="0" w:firstLineChars="0"/>
              <w:rPr>
                <w:kern w:val="0"/>
                <w:sz w:val="28"/>
                <w:szCs w:val="28"/>
              </w:rPr>
            </w:pPr>
          </w:p>
        </w:tc>
        <w:tc>
          <w:tcPr>
            <w:tcW w:w="2622" w:type="dxa"/>
            <w:tcBorders>
              <w:top w:val="single" w:color="auto" w:sz="4" w:space="0"/>
            </w:tcBorders>
            <w:vAlign w:val="center"/>
          </w:tcPr>
          <w:p w14:paraId="755086E7">
            <w:pPr>
              <w:widowControl/>
              <w:spacing w:line="400" w:lineRule="exact"/>
              <w:ind w:firstLine="0" w:firstLineChars="0"/>
              <w:rPr>
                <w:rFonts w:hint="eastAsia" w:eastAsia="仿宋_GB2312"/>
                <w:kern w:val="0"/>
                <w:sz w:val="28"/>
                <w:szCs w:val="28"/>
                <w:lang w:eastAsia="zh-CN"/>
              </w:rPr>
            </w:pPr>
            <w:r>
              <w:rPr>
                <w:rFonts w:hint="eastAsia"/>
                <w:kern w:val="0"/>
                <w:sz w:val="28"/>
                <w:szCs w:val="28"/>
              </w:rPr>
              <w:t>吸入较大组织碎屑、血凝块或异物</w:t>
            </w:r>
            <w:r>
              <w:rPr>
                <w:rFonts w:hint="eastAsia"/>
                <w:kern w:val="0"/>
                <w:sz w:val="28"/>
                <w:szCs w:val="28"/>
                <w:lang w:eastAsia="zh-CN"/>
              </w:rPr>
              <w:t>，未及时更换过滤装置</w:t>
            </w:r>
          </w:p>
        </w:tc>
        <w:tc>
          <w:tcPr>
            <w:tcW w:w="2753" w:type="dxa"/>
            <w:vAlign w:val="center"/>
          </w:tcPr>
          <w:p w14:paraId="6808758E">
            <w:pPr>
              <w:widowControl/>
              <w:spacing w:line="400" w:lineRule="exact"/>
              <w:ind w:firstLine="0" w:firstLineChars="0"/>
              <w:rPr>
                <w:kern w:val="0"/>
                <w:sz w:val="28"/>
                <w:szCs w:val="28"/>
              </w:rPr>
            </w:pPr>
            <w:r>
              <w:rPr>
                <w:rFonts w:hint="eastAsia"/>
                <w:kern w:val="0"/>
                <w:sz w:val="28"/>
                <w:szCs w:val="28"/>
              </w:rPr>
              <w:t>导致管路堵塞</w:t>
            </w:r>
          </w:p>
        </w:tc>
        <w:tc>
          <w:tcPr>
            <w:tcW w:w="2304" w:type="dxa"/>
            <w:vAlign w:val="center"/>
          </w:tcPr>
          <w:p w14:paraId="5B12AE17">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无法实现预期用途。</w:t>
            </w:r>
          </w:p>
        </w:tc>
      </w:tr>
      <w:tr w14:paraId="3DED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929" w:hRule="atLeast"/>
          <w:jc w:val="center"/>
        </w:trPr>
        <w:tc>
          <w:tcPr>
            <w:tcW w:w="1365" w:type="dxa"/>
            <w:vMerge w:val="continue"/>
            <w:vAlign w:val="center"/>
          </w:tcPr>
          <w:p w14:paraId="74EDA4AA">
            <w:pPr>
              <w:widowControl/>
              <w:spacing w:line="400" w:lineRule="exact"/>
              <w:ind w:firstLine="0" w:firstLineChars="0"/>
              <w:rPr>
                <w:kern w:val="0"/>
                <w:sz w:val="28"/>
                <w:szCs w:val="28"/>
              </w:rPr>
            </w:pPr>
          </w:p>
        </w:tc>
        <w:tc>
          <w:tcPr>
            <w:tcW w:w="2622" w:type="dxa"/>
            <w:tcBorders>
              <w:top w:val="single" w:color="auto" w:sz="4" w:space="0"/>
            </w:tcBorders>
            <w:vAlign w:val="center"/>
          </w:tcPr>
          <w:p w14:paraId="56F5C85D">
            <w:pPr>
              <w:widowControl/>
              <w:spacing w:line="400" w:lineRule="exact"/>
              <w:ind w:firstLine="0" w:firstLineChars="0"/>
              <w:rPr>
                <w:kern w:val="0"/>
                <w:sz w:val="28"/>
                <w:szCs w:val="28"/>
              </w:rPr>
            </w:pPr>
            <w:r>
              <w:rPr>
                <w:rFonts w:hint="eastAsia"/>
                <w:kern w:val="0"/>
                <w:sz w:val="28"/>
                <w:szCs w:val="28"/>
              </w:rPr>
              <w:t>未按设备说明书要求进行定期维护（如滤网更换、泵体保养、管路校准）</w:t>
            </w:r>
          </w:p>
        </w:tc>
        <w:tc>
          <w:tcPr>
            <w:tcW w:w="2753" w:type="dxa"/>
            <w:vAlign w:val="center"/>
          </w:tcPr>
          <w:p w14:paraId="7D911DAA">
            <w:pPr>
              <w:widowControl/>
              <w:spacing w:line="400" w:lineRule="exact"/>
              <w:ind w:firstLine="0" w:firstLineChars="0"/>
              <w:rPr>
                <w:kern w:val="0"/>
                <w:sz w:val="28"/>
                <w:szCs w:val="28"/>
              </w:rPr>
            </w:pPr>
            <w:r>
              <w:rPr>
                <w:kern w:val="0"/>
                <w:sz w:val="28"/>
                <w:szCs w:val="28"/>
              </w:rPr>
              <w:t>设备不能正常工作</w:t>
            </w:r>
          </w:p>
        </w:tc>
        <w:tc>
          <w:tcPr>
            <w:tcW w:w="2304" w:type="dxa"/>
            <w:vAlign w:val="center"/>
          </w:tcPr>
          <w:p w14:paraId="137338A6">
            <w:pPr>
              <w:widowControl/>
              <w:spacing w:line="400" w:lineRule="exact"/>
              <w:ind w:firstLine="0" w:firstLineChars="0"/>
              <w:rPr>
                <w:kern w:val="0"/>
                <w:sz w:val="28"/>
                <w:szCs w:val="28"/>
              </w:rPr>
            </w:pPr>
            <w:r>
              <w:rPr>
                <w:kern w:val="0"/>
                <w:sz w:val="28"/>
                <w:szCs w:val="28"/>
              </w:rPr>
              <w:t>损坏设备、使用者产生危险、伤害患者</w:t>
            </w:r>
          </w:p>
        </w:tc>
      </w:tr>
      <w:tr w14:paraId="7ED8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929" w:hRule="atLeast"/>
          <w:jc w:val="center"/>
        </w:trPr>
        <w:tc>
          <w:tcPr>
            <w:tcW w:w="1365" w:type="dxa"/>
            <w:vAlign w:val="center"/>
          </w:tcPr>
          <w:p w14:paraId="4B718A36">
            <w:pPr>
              <w:widowControl/>
              <w:spacing w:line="400" w:lineRule="exact"/>
              <w:ind w:firstLine="0" w:firstLineChars="0"/>
              <w:jc w:val="center"/>
              <w:rPr>
                <w:kern w:val="0"/>
                <w:sz w:val="28"/>
                <w:szCs w:val="28"/>
              </w:rPr>
            </w:pPr>
            <w:r>
              <w:rPr>
                <w:kern w:val="0"/>
                <w:sz w:val="28"/>
                <w:szCs w:val="28"/>
              </w:rPr>
              <w:t>标记</w:t>
            </w:r>
          </w:p>
        </w:tc>
        <w:tc>
          <w:tcPr>
            <w:tcW w:w="2622" w:type="dxa"/>
            <w:tcBorders>
              <w:top w:val="single" w:color="auto" w:sz="4" w:space="0"/>
            </w:tcBorders>
            <w:vAlign w:val="center"/>
          </w:tcPr>
          <w:p w14:paraId="592FBDE0">
            <w:pPr>
              <w:widowControl/>
              <w:spacing w:line="400" w:lineRule="exact"/>
              <w:ind w:firstLine="0" w:firstLineChars="0"/>
              <w:rPr>
                <w:kern w:val="0"/>
                <w:sz w:val="28"/>
                <w:szCs w:val="28"/>
              </w:rPr>
            </w:pPr>
            <w:r>
              <w:rPr>
                <w:kern w:val="0"/>
                <w:sz w:val="28"/>
                <w:szCs w:val="28"/>
              </w:rPr>
              <w:t>贴在设备上警告标识不清晰</w:t>
            </w:r>
          </w:p>
        </w:tc>
        <w:tc>
          <w:tcPr>
            <w:tcW w:w="2753" w:type="dxa"/>
            <w:vAlign w:val="center"/>
          </w:tcPr>
          <w:p w14:paraId="69B7C847">
            <w:pPr>
              <w:widowControl/>
              <w:spacing w:line="400" w:lineRule="exact"/>
              <w:ind w:firstLine="0" w:firstLineChars="0"/>
              <w:rPr>
                <w:kern w:val="0"/>
                <w:sz w:val="28"/>
                <w:szCs w:val="28"/>
              </w:rPr>
            </w:pPr>
            <w:r>
              <w:rPr>
                <w:kern w:val="0"/>
                <w:sz w:val="28"/>
                <w:szCs w:val="28"/>
              </w:rPr>
              <w:t>信息的显示不明确导致误操作； 贴示位置不对有可能引起误操作</w:t>
            </w:r>
          </w:p>
        </w:tc>
        <w:tc>
          <w:tcPr>
            <w:tcW w:w="2304" w:type="dxa"/>
            <w:vAlign w:val="center"/>
          </w:tcPr>
          <w:p w14:paraId="49DCA1B7">
            <w:pPr>
              <w:widowControl/>
              <w:spacing w:line="400" w:lineRule="exact"/>
              <w:ind w:firstLine="0" w:firstLineChars="0"/>
              <w:rPr>
                <w:kern w:val="0"/>
                <w:sz w:val="28"/>
                <w:szCs w:val="28"/>
              </w:rPr>
            </w:pPr>
            <w:r>
              <w:rPr>
                <w:kern w:val="0"/>
                <w:sz w:val="28"/>
                <w:szCs w:val="28"/>
              </w:rPr>
              <w:t>对患者、使用者造成伤害</w:t>
            </w:r>
          </w:p>
        </w:tc>
      </w:tr>
      <w:tr w14:paraId="4732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212" w:hRule="atLeast"/>
          <w:jc w:val="center"/>
        </w:trPr>
        <w:tc>
          <w:tcPr>
            <w:tcW w:w="1365" w:type="dxa"/>
            <w:vMerge w:val="restart"/>
            <w:vAlign w:val="center"/>
          </w:tcPr>
          <w:p w14:paraId="4911CD61">
            <w:pPr>
              <w:widowControl/>
              <w:spacing w:line="400" w:lineRule="exact"/>
              <w:ind w:firstLine="0" w:firstLineChars="0"/>
              <w:jc w:val="center"/>
              <w:rPr>
                <w:kern w:val="0"/>
                <w:sz w:val="28"/>
                <w:szCs w:val="28"/>
              </w:rPr>
            </w:pPr>
            <w:r>
              <w:rPr>
                <w:kern w:val="0"/>
                <w:sz w:val="28"/>
                <w:szCs w:val="28"/>
              </w:rPr>
              <w:t>不完整的说明书</w:t>
            </w:r>
          </w:p>
        </w:tc>
        <w:tc>
          <w:tcPr>
            <w:tcW w:w="2622" w:type="dxa"/>
            <w:tcBorders>
              <w:top w:val="single" w:color="auto" w:sz="4" w:space="0"/>
            </w:tcBorders>
            <w:vAlign w:val="center"/>
          </w:tcPr>
          <w:p w14:paraId="7F2167AB">
            <w:pPr>
              <w:widowControl/>
              <w:spacing w:line="400" w:lineRule="exact"/>
              <w:ind w:firstLine="0" w:firstLineChars="0"/>
              <w:rPr>
                <w:kern w:val="0"/>
                <w:sz w:val="28"/>
                <w:szCs w:val="28"/>
              </w:rPr>
            </w:pPr>
            <w:r>
              <w:rPr>
                <w:kern w:val="0"/>
                <w:sz w:val="28"/>
                <w:szCs w:val="28"/>
              </w:rPr>
              <w:t>未对清</w:t>
            </w:r>
            <w:r>
              <w:rPr>
                <w:rFonts w:hint="eastAsia"/>
                <w:kern w:val="0"/>
                <w:sz w:val="28"/>
                <w:szCs w:val="28"/>
                <w:lang w:eastAsia="zh-CN"/>
              </w:rPr>
              <w:t>洁</w:t>
            </w:r>
            <w:r>
              <w:rPr>
                <w:kern w:val="0"/>
                <w:sz w:val="28"/>
                <w:szCs w:val="28"/>
              </w:rPr>
              <w:t>、消毒</w:t>
            </w:r>
            <w:r>
              <w:rPr>
                <w:rFonts w:hint="eastAsia"/>
                <w:kern w:val="0"/>
                <w:sz w:val="28"/>
                <w:szCs w:val="28"/>
                <w:lang w:eastAsia="zh-CN"/>
              </w:rPr>
              <w:t>或灭菌</w:t>
            </w:r>
            <w:r>
              <w:rPr>
                <w:kern w:val="0"/>
                <w:sz w:val="28"/>
                <w:szCs w:val="28"/>
              </w:rPr>
              <w:t>程序作出详细说明</w:t>
            </w:r>
          </w:p>
        </w:tc>
        <w:tc>
          <w:tcPr>
            <w:tcW w:w="2753" w:type="dxa"/>
            <w:vAlign w:val="center"/>
          </w:tcPr>
          <w:p w14:paraId="31D6931D">
            <w:pPr>
              <w:widowControl/>
              <w:spacing w:line="400" w:lineRule="exact"/>
              <w:ind w:firstLine="0" w:firstLineChars="0"/>
              <w:rPr>
                <w:kern w:val="0"/>
                <w:sz w:val="28"/>
                <w:szCs w:val="28"/>
              </w:rPr>
            </w:pPr>
            <w:r>
              <w:rPr>
                <w:kern w:val="0"/>
                <w:sz w:val="28"/>
                <w:szCs w:val="28"/>
              </w:rPr>
              <w:t>使用有腐蚀性的</w:t>
            </w:r>
            <w:r>
              <w:rPr>
                <w:rFonts w:hint="eastAsia"/>
                <w:kern w:val="0"/>
                <w:sz w:val="28"/>
                <w:szCs w:val="28"/>
                <w:lang w:eastAsia="zh-CN"/>
              </w:rPr>
              <w:t>清洁</w:t>
            </w:r>
            <w:r>
              <w:rPr>
                <w:kern w:val="0"/>
                <w:sz w:val="28"/>
                <w:szCs w:val="28"/>
              </w:rPr>
              <w:t>剂、消毒剂</w:t>
            </w:r>
          </w:p>
        </w:tc>
        <w:tc>
          <w:tcPr>
            <w:tcW w:w="2304" w:type="dxa"/>
            <w:vAlign w:val="center"/>
          </w:tcPr>
          <w:p w14:paraId="39A75A22">
            <w:pPr>
              <w:widowControl/>
              <w:spacing w:line="400" w:lineRule="exact"/>
              <w:ind w:firstLine="0" w:firstLineChars="0"/>
              <w:rPr>
                <w:rFonts w:hint="eastAsia" w:eastAsia="仿宋_GB2312"/>
                <w:kern w:val="0"/>
                <w:sz w:val="28"/>
                <w:szCs w:val="28"/>
                <w:lang w:eastAsia="zh-CN"/>
              </w:rPr>
            </w:pPr>
            <w:r>
              <w:rPr>
                <w:kern w:val="0"/>
                <w:sz w:val="28"/>
                <w:szCs w:val="28"/>
              </w:rPr>
              <w:t>产品部件腐蚀，防护性能降低</w:t>
            </w:r>
            <w:r>
              <w:rPr>
                <w:rFonts w:hint="eastAsia"/>
                <w:kern w:val="0"/>
                <w:sz w:val="28"/>
                <w:szCs w:val="28"/>
                <w:lang w:eastAsia="zh-CN"/>
              </w:rPr>
              <w:t>，使用者或患者受伤。</w:t>
            </w:r>
          </w:p>
        </w:tc>
      </w:tr>
      <w:tr w14:paraId="6055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212" w:hRule="atLeast"/>
          <w:jc w:val="center"/>
        </w:trPr>
        <w:tc>
          <w:tcPr>
            <w:tcW w:w="1365" w:type="dxa"/>
            <w:vMerge w:val="continue"/>
            <w:vAlign w:val="center"/>
          </w:tcPr>
          <w:p w14:paraId="08560442">
            <w:pPr>
              <w:widowControl/>
              <w:spacing w:line="400" w:lineRule="exact"/>
              <w:ind w:firstLine="0" w:firstLineChars="0"/>
              <w:rPr>
                <w:kern w:val="0"/>
                <w:sz w:val="28"/>
                <w:szCs w:val="28"/>
              </w:rPr>
            </w:pPr>
          </w:p>
        </w:tc>
        <w:tc>
          <w:tcPr>
            <w:tcW w:w="2622" w:type="dxa"/>
            <w:tcBorders>
              <w:top w:val="single" w:color="auto" w:sz="4" w:space="0"/>
            </w:tcBorders>
            <w:vAlign w:val="center"/>
          </w:tcPr>
          <w:p w14:paraId="7BB81BBB">
            <w:pPr>
              <w:widowControl/>
              <w:spacing w:line="400" w:lineRule="exact"/>
              <w:ind w:firstLine="0" w:firstLineChars="0"/>
              <w:rPr>
                <w:kern w:val="0"/>
                <w:sz w:val="28"/>
                <w:szCs w:val="28"/>
              </w:rPr>
            </w:pPr>
            <w:r>
              <w:rPr>
                <w:kern w:val="0"/>
                <w:sz w:val="28"/>
                <w:szCs w:val="28"/>
              </w:rPr>
              <w:t>未对</w:t>
            </w:r>
            <w:r>
              <w:rPr>
                <w:rFonts w:hint="eastAsia"/>
                <w:kern w:val="0"/>
                <w:sz w:val="28"/>
                <w:szCs w:val="28"/>
                <w:lang w:eastAsia="zh-CN"/>
              </w:rPr>
              <w:t>配</w:t>
            </w:r>
            <w:r>
              <w:rPr>
                <w:kern w:val="0"/>
                <w:sz w:val="28"/>
                <w:szCs w:val="28"/>
              </w:rPr>
              <w:t>件/附件安装</w:t>
            </w:r>
            <w:r>
              <w:rPr>
                <w:rFonts w:hint="eastAsia"/>
                <w:kern w:val="0"/>
                <w:sz w:val="28"/>
                <w:szCs w:val="28"/>
                <w:lang w:eastAsia="zh-CN"/>
              </w:rPr>
              <w:t>、</w:t>
            </w:r>
            <w:r>
              <w:rPr>
                <w:kern w:val="0"/>
                <w:sz w:val="28"/>
                <w:szCs w:val="28"/>
              </w:rPr>
              <w:t xml:space="preserve">使用作出详细说明 </w:t>
            </w:r>
          </w:p>
        </w:tc>
        <w:tc>
          <w:tcPr>
            <w:tcW w:w="2753" w:type="dxa"/>
            <w:vAlign w:val="center"/>
          </w:tcPr>
          <w:p w14:paraId="610D6106">
            <w:pPr>
              <w:widowControl/>
              <w:spacing w:line="400" w:lineRule="exact"/>
              <w:ind w:firstLine="0" w:firstLineChars="0"/>
              <w:rPr>
                <w:kern w:val="0"/>
                <w:sz w:val="28"/>
                <w:szCs w:val="28"/>
              </w:rPr>
            </w:pPr>
            <w:r>
              <w:rPr>
                <w:kern w:val="0"/>
                <w:sz w:val="28"/>
                <w:szCs w:val="28"/>
              </w:rPr>
              <w:t>错误的安装、操作</w:t>
            </w:r>
            <w:r>
              <w:rPr>
                <w:rFonts w:hint="eastAsia"/>
                <w:kern w:val="0"/>
                <w:sz w:val="28"/>
                <w:szCs w:val="28"/>
                <w:lang w:eastAsia="zh-CN"/>
              </w:rPr>
              <w:t>，</w:t>
            </w:r>
            <w:r>
              <w:rPr>
                <w:kern w:val="0"/>
                <w:sz w:val="28"/>
                <w:szCs w:val="28"/>
              </w:rPr>
              <w:t xml:space="preserve">设备不能正常工作 </w:t>
            </w:r>
          </w:p>
        </w:tc>
        <w:tc>
          <w:tcPr>
            <w:tcW w:w="2304" w:type="dxa"/>
            <w:vAlign w:val="center"/>
          </w:tcPr>
          <w:p w14:paraId="4283B179">
            <w:pPr>
              <w:widowControl/>
              <w:spacing w:line="400" w:lineRule="exact"/>
              <w:ind w:firstLine="0" w:firstLineChars="0"/>
              <w:rPr>
                <w:kern w:val="0"/>
                <w:sz w:val="28"/>
                <w:szCs w:val="28"/>
              </w:rPr>
            </w:pPr>
            <w:r>
              <w:rPr>
                <w:kern w:val="0"/>
                <w:sz w:val="28"/>
                <w:szCs w:val="28"/>
              </w:rPr>
              <w:t>损坏设备、使用者产生危险、伤害患者</w:t>
            </w:r>
          </w:p>
        </w:tc>
      </w:tr>
      <w:tr w14:paraId="0EE2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15" w:hRule="atLeast"/>
          <w:jc w:val="center"/>
        </w:trPr>
        <w:tc>
          <w:tcPr>
            <w:tcW w:w="1365" w:type="dxa"/>
            <w:vMerge w:val="continue"/>
            <w:vAlign w:val="center"/>
          </w:tcPr>
          <w:p w14:paraId="66CB3D18">
            <w:pPr>
              <w:widowControl/>
              <w:spacing w:line="400" w:lineRule="exact"/>
              <w:ind w:firstLine="0" w:firstLineChars="0"/>
              <w:rPr>
                <w:kern w:val="0"/>
                <w:sz w:val="28"/>
                <w:szCs w:val="28"/>
              </w:rPr>
            </w:pPr>
          </w:p>
        </w:tc>
        <w:tc>
          <w:tcPr>
            <w:tcW w:w="2622" w:type="dxa"/>
            <w:tcBorders>
              <w:top w:val="single" w:color="auto" w:sz="4" w:space="0"/>
              <w:bottom w:val="single" w:color="auto" w:sz="4" w:space="0"/>
            </w:tcBorders>
            <w:vAlign w:val="center"/>
          </w:tcPr>
          <w:p w14:paraId="2E386362">
            <w:pPr>
              <w:widowControl/>
              <w:spacing w:line="400" w:lineRule="exact"/>
              <w:ind w:firstLine="0" w:firstLineChars="0"/>
              <w:rPr>
                <w:kern w:val="0"/>
                <w:sz w:val="28"/>
                <w:szCs w:val="28"/>
              </w:rPr>
            </w:pPr>
            <w:r>
              <w:rPr>
                <w:kern w:val="0"/>
                <w:sz w:val="28"/>
                <w:szCs w:val="28"/>
              </w:rPr>
              <w:t>不正确的产品贮存条件</w:t>
            </w:r>
          </w:p>
        </w:tc>
        <w:tc>
          <w:tcPr>
            <w:tcW w:w="2753" w:type="dxa"/>
            <w:vAlign w:val="center"/>
          </w:tcPr>
          <w:p w14:paraId="439821D9">
            <w:pPr>
              <w:widowControl/>
              <w:spacing w:line="400" w:lineRule="exact"/>
              <w:ind w:firstLine="0" w:firstLineChars="0"/>
              <w:rPr>
                <w:kern w:val="0"/>
                <w:sz w:val="28"/>
                <w:szCs w:val="28"/>
              </w:rPr>
            </w:pPr>
            <w:r>
              <w:rPr>
                <w:kern w:val="0"/>
                <w:sz w:val="28"/>
                <w:szCs w:val="28"/>
              </w:rPr>
              <w:t>器件老化，部件寿命降低</w:t>
            </w:r>
          </w:p>
        </w:tc>
        <w:tc>
          <w:tcPr>
            <w:tcW w:w="2304" w:type="dxa"/>
            <w:vAlign w:val="center"/>
          </w:tcPr>
          <w:p w14:paraId="0BFF0F69">
            <w:pPr>
              <w:widowControl/>
              <w:spacing w:line="400" w:lineRule="exact"/>
              <w:ind w:firstLine="0" w:firstLineChars="0"/>
              <w:rPr>
                <w:rFonts w:hint="eastAsia" w:eastAsia="仿宋_GB2312"/>
                <w:kern w:val="0"/>
                <w:sz w:val="28"/>
                <w:szCs w:val="28"/>
                <w:lang w:eastAsia="zh-CN"/>
              </w:rPr>
            </w:pPr>
            <w:r>
              <w:rPr>
                <w:kern w:val="0"/>
                <w:sz w:val="28"/>
                <w:szCs w:val="28"/>
              </w:rPr>
              <w:t>产品寿命降低，导致测量值误差过大</w:t>
            </w:r>
            <w:r>
              <w:rPr>
                <w:rFonts w:hint="eastAsia"/>
                <w:kern w:val="0"/>
                <w:sz w:val="28"/>
                <w:szCs w:val="28"/>
                <w:lang w:eastAsia="zh-CN"/>
              </w:rPr>
              <w:t>，</w:t>
            </w:r>
            <w:r>
              <w:rPr>
                <w:kern w:val="0"/>
                <w:sz w:val="28"/>
                <w:szCs w:val="28"/>
              </w:rPr>
              <w:t>使用者产生危险、伤害患者</w:t>
            </w:r>
            <w:r>
              <w:rPr>
                <w:rFonts w:hint="eastAsia"/>
                <w:kern w:val="0"/>
                <w:sz w:val="28"/>
                <w:szCs w:val="28"/>
                <w:lang w:eastAsia="zh-CN"/>
              </w:rPr>
              <w:t>。</w:t>
            </w:r>
          </w:p>
        </w:tc>
      </w:tr>
      <w:tr w14:paraId="00C64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15" w:hRule="atLeast"/>
          <w:jc w:val="center"/>
        </w:trPr>
        <w:tc>
          <w:tcPr>
            <w:tcW w:w="1365" w:type="dxa"/>
            <w:vMerge w:val="continue"/>
            <w:vAlign w:val="center"/>
          </w:tcPr>
          <w:p w14:paraId="4E41AC87">
            <w:pPr>
              <w:widowControl/>
              <w:spacing w:line="400" w:lineRule="exact"/>
              <w:ind w:firstLine="0" w:firstLineChars="0"/>
              <w:rPr>
                <w:kern w:val="0"/>
                <w:sz w:val="28"/>
                <w:szCs w:val="28"/>
              </w:rPr>
            </w:pPr>
          </w:p>
        </w:tc>
        <w:tc>
          <w:tcPr>
            <w:tcW w:w="2622" w:type="dxa"/>
            <w:tcBorders>
              <w:top w:val="single" w:color="auto" w:sz="4" w:space="0"/>
              <w:bottom w:val="single" w:color="auto" w:sz="4" w:space="0"/>
            </w:tcBorders>
            <w:vAlign w:val="center"/>
          </w:tcPr>
          <w:p w14:paraId="2ED01CEC">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未对维护、保养程序作出说明</w:t>
            </w:r>
          </w:p>
        </w:tc>
        <w:tc>
          <w:tcPr>
            <w:tcW w:w="2753" w:type="dxa"/>
            <w:vAlign w:val="center"/>
          </w:tcPr>
          <w:p w14:paraId="7A9723C2">
            <w:pPr>
              <w:widowControl/>
              <w:spacing w:line="400" w:lineRule="exact"/>
              <w:ind w:firstLine="0" w:firstLineChars="0"/>
              <w:rPr>
                <w:rFonts w:hint="eastAsia" w:eastAsia="仿宋_GB2312"/>
                <w:kern w:val="0"/>
                <w:sz w:val="28"/>
                <w:szCs w:val="28"/>
                <w:lang w:eastAsia="zh-CN"/>
              </w:rPr>
            </w:pPr>
            <w:r>
              <w:rPr>
                <w:rFonts w:hint="eastAsia"/>
                <w:kern w:val="0"/>
                <w:sz w:val="28"/>
                <w:szCs w:val="28"/>
                <w:lang w:eastAsia="zh-CN"/>
              </w:rPr>
              <w:t>维护、保养不当</w:t>
            </w:r>
          </w:p>
        </w:tc>
        <w:tc>
          <w:tcPr>
            <w:tcW w:w="2304" w:type="dxa"/>
            <w:vAlign w:val="center"/>
          </w:tcPr>
          <w:p w14:paraId="4084D28D">
            <w:pPr>
              <w:widowControl/>
              <w:spacing w:line="400" w:lineRule="exact"/>
              <w:ind w:firstLine="0" w:firstLineChars="0"/>
              <w:rPr>
                <w:kern w:val="0"/>
                <w:sz w:val="28"/>
                <w:szCs w:val="28"/>
              </w:rPr>
            </w:pPr>
            <w:r>
              <w:rPr>
                <w:kern w:val="0"/>
                <w:sz w:val="28"/>
                <w:szCs w:val="28"/>
              </w:rPr>
              <w:t>损坏设备、使用者产生危险、伤害患者</w:t>
            </w:r>
          </w:p>
        </w:tc>
      </w:tr>
      <w:tr w14:paraId="78F2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15" w:hRule="atLeast"/>
          <w:jc w:val="center"/>
        </w:trPr>
        <w:tc>
          <w:tcPr>
            <w:tcW w:w="1365" w:type="dxa"/>
            <w:vMerge w:val="restart"/>
            <w:vAlign w:val="center"/>
          </w:tcPr>
          <w:p w14:paraId="134268A0">
            <w:pPr>
              <w:spacing w:line="400" w:lineRule="exact"/>
              <w:ind w:left="0" w:leftChars="0" w:firstLine="0" w:firstLineChars="0"/>
              <w:jc w:val="both"/>
              <w:rPr>
                <w:rFonts w:hint="eastAsia" w:eastAsia="仿宋_GB2312"/>
                <w:kern w:val="0"/>
                <w:sz w:val="28"/>
                <w:szCs w:val="28"/>
                <w:lang w:eastAsia="zh-CN"/>
              </w:rPr>
            </w:pPr>
            <w:r>
              <w:rPr>
                <w:rFonts w:hint="eastAsia" w:ascii="Times New Roman" w:hAnsi="Times New Roman" w:eastAsia="仿宋_GB2312" w:cs="Times New Roman"/>
                <w:sz w:val="28"/>
                <w:szCs w:val="28"/>
                <w:lang w:eastAsia="zh-CN"/>
              </w:rPr>
              <w:t>功能失效、老化引起的危险</w:t>
            </w:r>
          </w:p>
        </w:tc>
        <w:tc>
          <w:tcPr>
            <w:tcW w:w="2622" w:type="dxa"/>
            <w:tcBorders>
              <w:top w:val="single" w:color="auto" w:sz="4" w:space="0"/>
              <w:bottom w:val="single" w:color="auto" w:sz="4" w:space="0"/>
            </w:tcBorders>
            <w:vAlign w:val="center"/>
          </w:tcPr>
          <w:p w14:paraId="46853235">
            <w:pPr>
              <w:widowControl/>
              <w:spacing w:line="400" w:lineRule="exact"/>
              <w:ind w:firstLine="0" w:firstLineChars="0"/>
              <w:rPr>
                <w:rFonts w:hint="eastAsia" w:eastAsia="仿宋_GB2312"/>
                <w:kern w:val="0"/>
                <w:sz w:val="28"/>
                <w:szCs w:val="28"/>
                <w:lang w:eastAsia="zh-CN"/>
              </w:rPr>
            </w:pPr>
            <w:r>
              <w:rPr>
                <w:rFonts w:ascii="Times New Roman" w:hAnsi="Times New Roman" w:eastAsia="仿宋_GB2312" w:cs="Times New Roman"/>
                <w:sz w:val="28"/>
                <w:szCs w:val="28"/>
              </w:rPr>
              <w:t>对医疗器械寿命终止缺少适当的决定</w:t>
            </w:r>
          </w:p>
        </w:tc>
        <w:tc>
          <w:tcPr>
            <w:tcW w:w="2753" w:type="dxa"/>
            <w:vAlign w:val="center"/>
          </w:tcPr>
          <w:p w14:paraId="336CB7CA">
            <w:pPr>
              <w:widowControl/>
              <w:spacing w:line="400" w:lineRule="exact"/>
              <w:ind w:firstLine="0" w:firstLineChars="0"/>
              <w:rPr>
                <w:rFonts w:hint="eastAsia"/>
                <w:kern w:val="0"/>
                <w:sz w:val="28"/>
                <w:szCs w:val="28"/>
                <w:lang w:eastAsia="zh-CN"/>
              </w:rPr>
            </w:pPr>
            <w:r>
              <w:rPr>
                <w:rFonts w:ascii="Times New Roman" w:hAnsi="Times New Roman" w:eastAsia="仿宋_GB2312" w:cs="Times New Roman"/>
                <w:sz w:val="28"/>
                <w:szCs w:val="28"/>
              </w:rPr>
              <w:t>超出有效期的产品被使用</w:t>
            </w:r>
          </w:p>
        </w:tc>
        <w:tc>
          <w:tcPr>
            <w:tcW w:w="2304" w:type="dxa"/>
            <w:vAlign w:val="center"/>
          </w:tcPr>
          <w:p w14:paraId="1D56773D">
            <w:pPr>
              <w:widowControl/>
              <w:spacing w:line="400" w:lineRule="exact"/>
              <w:ind w:firstLine="0" w:firstLineChars="0"/>
              <w:rPr>
                <w:rFonts w:hint="eastAsia"/>
                <w:kern w:val="0"/>
                <w:sz w:val="28"/>
                <w:szCs w:val="28"/>
                <w:lang w:eastAsia="zh-CN"/>
              </w:rPr>
            </w:pPr>
            <w:r>
              <w:rPr>
                <w:rFonts w:hint="eastAsia"/>
                <w:kern w:val="0"/>
                <w:sz w:val="28"/>
                <w:szCs w:val="28"/>
                <w:lang w:eastAsia="zh-CN"/>
              </w:rPr>
              <w:t>性能功能下降，无法实现预期用途，伤害患者。</w:t>
            </w:r>
          </w:p>
        </w:tc>
      </w:tr>
      <w:tr w14:paraId="6069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15" w:hRule="atLeast"/>
          <w:jc w:val="center"/>
        </w:trPr>
        <w:tc>
          <w:tcPr>
            <w:tcW w:w="1365" w:type="dxa"/>
            <w:vMerge w:val="continue"/>
            <w:vAlign w:val="center"/>
          </w:tcPr>
          <w:p w14:paraId="1FF0537C">
            <w:pPr>
              <w:widowControl/>
              <w:spacing w:line="400" w:lineRule="exact"/>
              <w:ind w:firstLine="0" w:firstLineChars="0"/>
              <w:rPr>
                <w:rFonts w:hint="eastAsia"/>
                <w:kern w:val="0"/>
                <w:sz w:val="28"/>
                <w:szCs w:val="28"/>
                <w:lang w:eastAsia="zh-CN"/>
              </w:rPr>
            </w:pPr>
          </w:p>
        </w:tc>
        <w:tc>
          <w:tcPr>
            <w:tcW w:w="2622" w:type="dxa"/>
            <w:tcBorders>
              <w:top w:val="single" w:color="auto" w:sz="4" w:space="0"/>
              <w:bottom w:val="single" w:color="auto" w:sz="4" w:space="0"/>
            </w:tcBorders>
            <w:vAlign w:val="center"/>
          </w:tcPr>
          <w:p w14:paraId="6C886039">
            <w:pPr>
              <w:widowControl/>
              <w:spacing w:line="400" w:lineRule="exact"/>
              <w:ind w:firstLine="0" w:firstLineChars="0"/>
              <w:jc w:val="center"/>
              <w:rPr>
                <w:rFonts w:hint="eastAsia"/>
                <w:kern w:val="0"/>
                <w:sz w:val="28"/>
                <w:szCs w:val="28"/>
                <w:lang w:eastAsia="zh-CN"/>
              </w:rPr>
            </w:pPr>
            <w:r>
              <w:rPr>
                <w:kern w:val="0"/>
                <w:sz w:val="28"/>
                <w:szCs w:val="28"/>
              </w:rPr>
              <w:t>不正确的测量</w:t>
            </w:r>
          </w:p>
        </w:tc>
        <w:tc>
          <w:tcPr>
            <w:tcW w:w="2753" w:type="dxa"/>
            <w:vAlign w:val="center"/>
          </w:tcPr>
          <w:p w14:paraId="5F0155CC">
            <w:pPr>
              <w:widowControl/>
              <w:spacing w:line="400" w:lineRule="exact"/>
              <w:ind w:firstLine="0" w:firstLineChars="0"/>
              <w:rPr>
                <w:rFonts w:hint="eastAsia"/>
                <w:kern w:val="0"/>
                <w:sz w:val="28"/>
                <w:szCs w:val="28"/>
                <w:lang w:eastAsia="zh-CN"/>
              </w:rPr>
            </w:pPr>
            <w:r>
              <w:rPr>
                <w:rFonts w:hint="eastAsia"/>
                <w:kern w:val="0"/>
                <w:sz w:val="28"/>
                <w:szCs w:val="28"/>
                <w:lang w:eastAsia="zh-CN"/>
              </w:rPr>
              <w:t>压力传感器故障、流量控制装置故障</w:t>
            </w:r>
          </w:p>
        </w:tc>
        <w:tc>
          <w:tcPr>
            <w:tcW w:w="2304" w:type="dxa"/>
            <w:vAlign w:val="center"/>
          </w:tcPr>
          <w:p w14:paraId="491928C4">
            <w:pPr>
              <w:widowControl/>
              <w:spacing w:line="400" w:lineRule="exact"/>
              <w:ind w:firstLine="0" w:firstLineChars="0"/>
              <w:rPr>
                <w:rFonts w:hint="eastAsia"/>
                <w:kern w:val="0"/>
                <w:sz w:val="28"/>
                <w:szCs w:val="28"/>
                <w:lang w:eastAsia="zh-CN"/>
              </w:rPr>
            </w:pPr>
            <w:r>
              <w:rPr>
                <w:rFonts w:hint="eastAsia"/>
                <w:kern w:val="0"/>
                <w:sz w:val="28"/>
                <w:szCs w:val="28"/>
                <w:lang w:eastAsia="zh-CN"/>
              </w:rPr>
              <w:t>不能正确的调节压力和流量输出，无法实现预期用途，伤害患者。</w:t>
            </w:r>
          </w:p>
        </w:tc>
      </w:tr>
    </w:tbl>
    <w:p w14:paraId="6D95710B">
      <w:pPr>
        <w:spacing w:line="520" w:lineRule="exact"/>
        <w:ind w:firstLine="640"/>
        <w:rPr>
          <w:szCs w:val="32"/>
        </w:rPr>
      </w:pPr>
    </w:p>
    <w:p w14:paraId="2FBB08AC">
      <w:pPr>
        <w:spacing w:line="520" w:lineRule="exact"/>
        <w:ind w:firstLine="0" w:firstLineChars="0"/>
        <w:outlineLvl w:val="0"/>
        <w:rPr>
          <w:rFonts w:eastAsia="黑体"/>
          <w:szCs w:val="32"/>
        </w:rPr>
      </w:pPr>
      <w:r>
        <w:rPr>
          <w:szCs w:val="32"/>
        </w:rPr>
        <w:br w:type="page"/>
      </w:r>
      <w:r>
        <w:rPr>
          <w:rFonts w:eastAsia="黑体"/>
          <w:szCs w:val="32"/>
        </w:rPr>
        <w:t xml:space="preserve">附件2 </w:t>
      </w:r>
    </w:p>
    <w:p w14:paraId="18DDAEE8">
      <w:pPr>
        <w:pStyle w:val="2"/>
        <w:spacing w:line="520" w:lineRule="exact"/>
        <w:rPr>
          <w:rFonts w:ascii="Times New Roman" w:hAnsi="Times New Roman"/>
        </w:rPr>
      </w:pPr>
    </w:p>
    <w:p w14:paraId="0BC1864F">
      <w:pPr>
        <w:spacing w:line="520" w:lineRule="exact"/>
        <w:ind w:firstLine="0" w:firstLineChars="0"/>
        <w:jc w:val="center"/>
        <w:rPr>
          <w:rFonts w:hint="eastAsia" w:eastAsia="方正小标宋简体"/>
          <w:sz w:val="44"/>
          <w:szCs w:val="44"/>
          <w:lang w:eastAsia="zh-CN"/>
        </w:rPr>
      </w:pPr>
      <w:r>
        <w:rPr>
          <w:rFonts w:hint="eastAsia" w:eastAsia="方正小标宋简体"/>
          <w:sz w:val="44"/>
          <w:szCs w:val="44"/>
          <w:lang w:eastAsia="zh-CN"/>
        </w:rPr>
        <w:t>医疗器械安全和性能的基本原则举例</w:t>
      </w:r>
    </w:p>
    <w:p w14:paraId="2BDACC11">
      <w:pPr>
        <w:pStyle w:val="2"/>
        <w:spacing w:line="520" w:lineRule="exact"/>
        <w:rPr>
          <w:rFonts w:ascii="Times New Roman" w:hAnsi="Times New Roman"/>
        </w:rPr>
      </w:pPr>
    </w:p>
    <w:tbl>
      <w:tblPr>
        <w:tblStyle w:val="19"/>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6662"/>
        <w:gridCol w:w="1134"/>
      </w:tblGrid>
      <w:tr w14:paraId="26F3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FA0F5AA">
            <w:pPr>
              <w:pStyle w:val="47"/>
              <w:spacing w:line="400" w:lineRule="exact"/>
              <w:jc w:val="center"/>
              <w:rPr>
                <w:rFonts w:ascii="Times New Roman" w:hAnsi="Times New Roman" w:eastAsia="仿宋_GB2312"/>
                <w:b/>
                <w:color w:val="auto"/>
                <w:sz w:val="28"/>
                <w:szCs w:val="28"/>
              </w:rPr>
            </w:pPr>
            <w:r>
              <w:rPr>
                <w:rFonts w:ascii="Times New Roman" w:hAnsi="Times New Roman" w:eastAsia="仿宋_GB2312"/>
                <w:b/>
                <w:color w:val="auto"/>
                <w:sz w:val="28"/>
                <w:szCs w:val="28"/>
              </w:rPr>
              <w:t>条款</w:t>
            </w:r>
          </w:p>
        </w:tc>
        <w:tc>
          <w:tcPr>
            <w:tcW w:w="6662" w:type="dxa"/>
            <w:tcBorders>
              <w:top w:val="single" w:color="auto" w:sz="4" w:space="0"/>
              <w:left w:val="single" w:color="auto" w:sz="4" w:space="0"/>
              <w:bottom w:val="single" w:color="auto" w:sz="4" w:space="0"/>
              <w:right w:val="single" w:color="auto" w:sz="4" w:space="0"/>
            </w:tcBorders>
            <w:vAlign w:val="center"/>
          </w:tcPr>
          <w:p w14:paraId="445E68AF">
            <w:pPr>
              <w:pStyle w:val="47"/>
              <w:spacing w:line="400" w:lineRule="exact"/>
              <w:ind w:firstLine="560"/>
              <w:jc w:val="center"/>
              <w:rPr>
                <w:rFonts w:ascii="Times New Roman" w:hAnsi="Times New Roman" w:eastAsia="仿宋_GB2312"/>
                <w:b/>
                <w:color w:val="auto"/>
                <w:sz w:val="28"/>
                <w:szCs w:val="28"/>
              </w:rPr>
            </w:pPr>
            <w:r>
              <w:rPr>
                <w:rFonts w:ascii="Times New Roman" w:hAnsi="Times New Roman" w:eastAsia="仿宋_GB2312"/>
                <w:b/>
                <w:color w:val="auto"/>
                <w:sz w:val="28"/>
                <w:szCs w:val="28"/>
              </w:rPr>
              <w:t>要求</w:t>
            </w:r>
          </w:p>
        </w:tc>
        <w:tc>
          <w:tcPr>
            <w:tcW w:w="1134" w:type="dxa"/>
            <w:tcBorders>
              <w:top w:val="single" w:color="auto" w:sz="4" w:space="0"/>
              <w:left w:val="single" w:color="auto" w:sz="4" w:space="0"/>
              <w:bottom w:val="single" w:color="auto" w:sz="4" w:space="0"/>
              <w:right w:val="single" w:color="auto" w:sz="4" w:space="0"/>
            </w:tcBorders>
            <w:vAlign w:val="center"/>
          </w:tcPr>
          <w:p w14:paraId="020DD4D0">
            <w:pPr>
              <w:pStyle w:val="48"/>
              <w:spacing w:line="400" w:lineRule="exact"/>
              <w:rPr>
                <w:rFonts w:ascii="Times New Roman" w:hAnsi="Times New Roman" w:eastAsia="仿宋_GB2312"/>
                <w:b/>
                <w:color w:val="auto"/>
                <w:sz w:val="28"/>
                <w:szCs w:val="28"/>
              </w:rPr>
            </w:pPr>
            <w:r>
              <w:rPr>
                <w:rFonts w:ascii="Times New Roman" w:hAnsi="Times New Roman" w:eastAsia="仿宋_GB2312"/>
                <w:b/>
                <w:color w:val="auto"/>
                <w:sz w:val="28"/>
                <w:szCs w:val="28"/>
              </w:rPr>
              <w:t>适用性</w:t>
            </w:r>
          </w:p>
        </w:tc>
      </w:tr>
      <w:tr w14:paraId="7D95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7D64A76">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08B4E4B9">
            <w:pPr>
              <w:spacing w:line="400" w:lineRule="exact"/>
              <w:ind w:firstLine="0" w:firstLineChars="0"/>
              <w:jc w:val="left"/>
              <w:rPr>
                <w:kern w:val="0"/>
                <w:sz w:val="28"/>
                <w:szCs w:val="28"/>
              </w:rPr>
            </w:pPr>
            <w:r>
              <w:rPr>
                <w:kern w:val="0"/>
                <w:sz w:val="28"/>
                <w:szCs w:val="28"/>
              </w:rPr>
              <w:t>安全和性能的通用基本原则</w:t>
            </w:r>
          </w:p>
        </w:tc>
      </w:tr>
      <w:tr w14:paraId="5AD6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0FE478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2B909A1D">
            <w:pPr>
              <w:spacing w:line="400" w:lineRule="exact"/>
              <w:ind w:firstLine="0" w:firstLineChars="0"/>
              <w:jc w:val="left"/>
              <w:rPr>
                <w:kern w:val="0"/>
                <w:sz w:val="28"/>
                <w:szCs w:val="28"/>
              </w:rPr>
            </w:pPr>
            <w:r>
              <w:rPr>
                <w:kern w:val="0"/>
                <w:sz w:val="28"/>
                <w:szCs w:val="28"/>
              </w:rPr>
              <w:t>一般原则</w:t>
            </w:r>
          </w:p>
        </w:tc>
      </w:tr>
      <w:tr w14:paraId="68F5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6649858">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w:t>
            </w:r>
          </w:p>
        </w:tc>
        <w:tc>
          <w:tcPr>
            <w:tcW w:w="6662" w:type="dxa"/>
            <w:tcBorders>
              <w:top w:val="single" w:color="auto" w:sz="4" w:space="0"/>
              <w:left w:val="single" w:color="auto" w:sz="4" w:space="0"/>
              <w:bottom w:val="single" w:color="auto" w:sz="4" w:space="0"/>
              <w:right w:val="single" w:color="auto" w:sz="4" w:space="0"/>
            </w:tcBorders>
            <w:vAlign w:val="center"/>
          </w:tcPr>
          <w:p w14:paraId="38399E0A">
            <w:pPr>
              <w:spacing w:line="400" w:lineRule="exact"/>
              <w:ind w:firstLine="0" w:firstLineChars="0"/>
              <w:jc w:val="left"/>
              <w:rPr>
                <w:kern w:val="0"/>
                <w:sz w:val="28"/>
                <w:szCs w:val="28"/>
              </w:rPr>
            </w:pPr>
            <w:r>
              <w:rPr>
                <w:kern w:val="0"/>
                <w:sz w:val="28"/>
                <w:szCs w:val="28"/>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1134" w:type="dxa"/>
            <w:tcBorders>
              <w:top w:val="single" w:color="auto" w:sz="4" w:space="0"/>
              <w:left w:val="single" w:color="auto" w:sz="4" w:space="0"/>
              <w:bottom w:val="single" w:color="auto" w:sz="4" w:space="0"/>
              <w:right w:val="single" w:color="auto" w:sz="4" w:space="0"/>
            </w:tcBorders>
            <w:vAlign w:val="center"/>
          </w:tcPr>
          <w:p w14:paraId="1684D7D6">
            <w:pPr>
              <w:pStyle w:val="47"/>
              <w:spacing w:line="400" w:lineRule="exact"/>
              <w:jc w:val="center"/>
              <w:rPr>
                <w:rFonts w:ascii="Times New Roman" w:hAnsi="Times New Roman"/>
                <w:color w:val="auto"/>
                <w:sz w:val="28"/>
                <w:szCs w:val="28"/>
              </w:rPr>
            </w:pPr>
            <w:r>
              <w:rPr>
                <w:rFonts w:ascii="Times New Roman" w:hAnsi="Times New Roman" w:eastAsia="仿宋_GB2312"/>
                <w:bCs w:val="0"/>
                <w:color w:val="auto"/>
                <w:sz w:val="28"/>
                <w:szCs w:val="28"/>
              </w:rPr>
              <w:t>适用</w:t>
            </w:r>
          </w:p>
        </w:tc>
      </w:tr>
      <w:tr w14:paraId="15E0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7979D68">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A1.2</w:t>
            </w:r>
          </w:p>
        </w:tc>
        <w:tc>
          <w:tcPr>
            <w:tcW w:w="6662" w:type="dxa"/>
            <w:tcBorders>
              <w:top w:val="single" w:color="auto" w:sz="4" w:space="0"/>
              <w:left w:val="single" w:color="auto" w:sz="4" w:space="0"/>
              <w:bottom w:val="single" w:color="auto" w:sz="4" w:space="0"/>
              <w:right w:val="single" w:color="auto" w:sz="4" w:space="0"/>
            </w:tcBorders>
            <w:vAlign w:val="center"/>
          </w:tcPr>
          <w:p w14:paraId="72E46D23">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p>
          <w:p w14:paraId="21CCE09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建立涵盖所有医疗器械风险管理计划并形成文件；</w:t>
            </w:r>
          </w:p>
          <w:p w14:paraId="7F547FC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识别并分析涵盖所有医疗器械的相关的已知和可预见的危险（源）；</w:t>
            </w:r>
          </w:p>
          <w:p w14:paraId="7DCA3A6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c)</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估计和评价在预期使用和可合理预见的误使用过程中，发生的相关风险；</w:t>
            </w:r>
          </w:p>
          <w:p w14:paraId="6CF5FC06">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d)</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依据A1.3和A1.4相关要求，消除或控制c）点所述的风险；</w:t>
            </w:r>
          </w:p>
          <w:p w14:paraId="62F72EED">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e)</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评价生产和生产后阶段信息对综合风险、风险受益判定和风险可接受性的影响。上述评价应当包括先前未识别的危险（源）或危险情况，由危险情况导致的一个或多个风险对可接受性的影响，以及对先进技术水平的改变等。f)</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基于对e）点所述信息影响的评价，必要时修改控制措施以符合A1.3和A1.4相关要求。</w:t>
            </w:r>
          </w:p>
        </w:tc>
        <w:tc>
          <w:tcPr>
            <w:tcW w:w="1134" w:type="dxa"/>
            <w:tcBorders>
              <w:top w:val="single" w:color="auto" w:sz="4" w:space="0"/>
              <w:left w:val="single" w:color="auto" w:sz="4" w:space="0"/>
              <w:bottom w:val="single" w:color="auto" w:sz="4" w:space="0"/>
              <w:right w:val="single" w:color="auto" w:sz="4" w:space="0"/>
            </w:tcBorders>
            <w:vAlign w:val="center"/>
          </w:tcPr>
          <w:p w14:paraId="426E1DF4">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4785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7"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70D37DD">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A1.3</w:t>
            </w:r>
          </w:p>
        </w:tc>
        <w:tc>
          <w:tcPr>
            <w:tcW w:w="6662" w:type="dxa"/>
            <w:tcBorders>
              <w:top w:val="single" w:color="auto" w:sz="4" w:space="0"/>
              <w:left w:val="single" w:color="auto" w:sz="4" w:space="0"/>
              <w:bottom w:val="single" w:color="auto" w:sz="4" w:space="0"/>
              <w:right w:val="single" w:color="auto" w:sz="4" w:space="0"/>
            </w:tcBorders>
            <w:vAlign w:val="center"/>
          </w:tcPr>
          <w:p w14:paraId="488F95D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申请人在设计和生产过程中采取的风险控制措施，应当遵循安全原则，采用先进技术。需要降低风险时，申请人应当控制风险，确保每个危险（源）相关的剩余风险和总体剩余风险是可接受的。在选择最合适的解决方案时，申请人应当按以下优先顺序进行：</w:t>
            </w:r>
          </w:p>
          <w:p w14:paraId="27885E73">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通过安全设计和生产消除或适当降低风险；</w:t>
            </w:r>
          </w:p>
          <w:p w14:paraId="383E57B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适用时，对无法消除的风险采取充分的防护措施，包括必要的警报；</w:t>
            </w:r>
          </w:p>
          <w:p w14:paraId="4424779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c)</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提供安全信息（警告/预防措施/禁忌证），适当时，向使用者提供培训。</w:t>
            </w:r>
          </w:p>
        </w:tc>
        <w:tc>
          <w:tcPr>
            <w:tcW w:w="1134" w:type="dxa"/>
            <w:tcBorders>
              <w:top w:val="single" w:color="auto" w:sz="4" w:space="0"/>
              <w:left w:val="single" w:color="auto" w:sz="4" w:space="0"/>
              <w:bottom w:val="single" w:color="auto" w:sz="4" w:space="0"/>
              <w:right w:val="single" w:color="auto" w:sz="4" w:space="0"/>
            </w:tcBorders>
            <w:vAlign w:val="center"/>
          </w:tcPr>
          <w:p w14:paraId="32FE5B9B">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164D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9802EDA">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A1.4</w:t>
            </w:r>
          </w:p>
        </w:tc>
        <w:tc>
          <w:tcPr>
            <w:tcW w:w="6662" w:type="dxa"/>
            <w:tcBorders>
              <w:top w:val="single" w:color="auto" w:sz="4" w:space="0"/>
              <w:left w:val="single" w:color="auto" w:sz="4" w:space="0"/>
              <w:bottom w:val="single" w:color="auto" w:sz="4" w:space="0"/>
              <w:right w:val="single" w:color="auto" w:sz="4" w:space="0"/>
            </w:tcBorders>
            <w:vAlign w:val="center"/>
          </w:tcPr>
          <w:p w14:paraId="593B2D5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申请人应当告知使用者所有相关的剩余风险。</w:t>
            </w:r>
          </w:p>
        </w:tc>
        <w:tc>
          <w:tcPr>
            <w:tcW w:w="1134" w:type="dxa"/>
            <w:tcBorders>
              <w:top w:val="single" w:color="auto" w:sz="4" w:space="0"/>
              <w:left w:val="single" w:color="auto" w:sz="4" w:space="0"/>
              <w:bottom w:val="single" w:color="auto" w:sz="4" w:space="0"/>
              <w:right w:val="single" w:color="auto" w:sz="4" w:space="0"/>
            </w:tcBorders>
            <w:vAlign w:val="center"/>
          </w:tcPr>
          <w:p w14:paraId="4F38CBAC">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31D75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1C339D4">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A1.5</w:t>
            </w:r>
          </w:p>
        </w:tc>
        <w:tc>
          <w:tcPr>
            <w:tcW w:w="6662" w:type="dxa"/>
            <w:tcBorders>
              <w:top w:val="single" w:color="auto" w:sz="4" w:space="0"/>
              <w:left w:val="single" w:color="auto" w:sz="4" w:space="0"/>
              <w:bottom w:val="single" w:color="auto" w:sz="4" w:space="0"/>
              <w:right w:val="single" w:color="auto" w:sz="4" w:space="0"/>
            </w:tcBorders>
            <w:vAlign w:val="center"/>
          </w:tcPr>
          <w:p w14:paraId="6C34A864">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在消除或降低与使用有关的风险时，申请人应该：</w:t>
            </w:r>
          </w:p>
          <w:p w14:paraId="73F814D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适当降低医疗器械的特性（如人体工程学/可用性）和预期使用环境（如灰尘和湿度）可能带来的风险；</w:t>
            </w:r>
          </w:p>
          <w:p w14:paraId="482DBAC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考虑预期使用者的技术知识、经验、教育背景、培训、身体状况（如适用）以及使用环境。</w:t>
            </w:r>
          </w:p>
        </w:tc>
        <w:tc>
          <w:tcPr>
            <w:tcW w:w="1134" w:type="dxa"/>
            <w:tcBorders>
              <w:top w:val="single" w:color="auto" w:sz="4" w:space="0"/>
              <w:left w:val="single" w:color="auto" w:sz="4" w:space="0"/>
              <w:bottom w:val="single" w:color="auto" w:sz="4" w:space="0"/>
              <w:right w:val="single" w:color="auto" w:sz="4" w:space="0"/>
            </w:tcBorders>
            <w:vAlign w:val="center"/>
          </w:tcPr>
          <w:p w14:paraId="7A03BA1F">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60236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D8F5C84">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A1.6</w:t>
            </w:r>
          </w:p>
        </w:tc>
        <w:tc>
          <w:tcPr>
            <w:tcW w:w="6662" w:type="dxa"/>
            <w:tcBorders>
              <w:top w:val="single" w:color="auto" w:sz="4" w:space="0"/>
              <w:left w:val="single" w:color="auto" w:sz="4" w:space="0"/>
              <w:bottom w:val="single" w:color="auto" w:sz="4" w:space="0"/>
              <w:right w:val="single" w:color="auto" w:sz="4" w:space="0"/>
            </w:tcBorders>
            <w:vAlign w:val="center"/>
          </w:tcPr>
          <w:p w14:paraId="5FC66E5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在申请人规定的生命周期内，在正常使用、维护和校准（如适用）情况下，外力不应对医疗器械的特性和性能造成不利影响，以致损害患者、使用者及他人的健康和安全。</w:t>
            </w:r>
          </w:p>
        </w:tc>
        <w:tc>
          <w:tcPr>
            <w:tcW w:w="1134" w:type="dxa"/>
            <w:tcBorders>
              <w:top w:val="single" w:color="auto" w:sz="4" w:space="0"/>
              <w:left w:val="single" w:color="auto" w:sz="4" w:space="0"/>
              <w:bottom w:val="single" w:color="auto" w:sz="4" w:space="0"/>
              <w:right w:val="single" w:color="auto" w:sz="4" w:space="0"/>
            </w:tcBorders>
            <w:vAlign w:val="center"/>
          </w:tcPr>
          <w:p w14:paraId="09F48AC7">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36A3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72EDBD1">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A1.7</w:t>
            </w:r>
          </w:p>
        </w:tc>
        <w:tc>
          <w:tcPr>
            <w:tcW w:w="6662" w:type="dxa"/>
            <w:tcBorders>
              <w:top w:val="single" w:color="auto" w:sz="4" w:space="0"/>
              <w:left w:val="single" w:color="auto" w:sz="4" w:space="0"/>
              <w:bottom w:val="single" w:color="auto" w:sz="4" w:space="0"/>
              <w:right w:val="single" w:color="auto" w:sz="4" w:space="0"/>
            </w:tcBorders>
            <w:vAlign w:val="center"/>
          </w:tcPr>
          <w:p w14:paraId="02C220A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生产和包装，包括申请人所提供的说明和信息，应当确保在按照预期用途使用时，运输和贮存条件（例如：震动、振动、温度和湿度的波动）不会对医疗器械的特性和性能，包括完整性和清洁度，造成不利影响。申请人应能确保有效期内医疗器械的性能、安全和无菌保证水平。</w:t>
            </w:r>
          </w:p>
        </w:tc>
        <w:tc>
          <w:tcPr>
            <w:tcW w:w="1134" w:type="dxa"/>
            <w:tcBorders>
              <w:top w:val="single" w:color="auto" w:sz="4" w:space="0"/>
              <w:left w:val="single" w:color="auto" w:sz="4" w:space="0"/>
              <w:bottom w:val="single" w:color="auto" w:sz="4" w:space="0"/>
              <w:right w:val="single" w:color="auto" w:sz="4" w:space="0"/>
            </w:tcBorders>
            <w:vAlign w:val="center"/>
          </w:tcPr>
          <w:p w14:paraId="7515F75E">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5250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D0CC79D">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A1.8</w:t>
            </w:r>
          </w:p>
        </w:tc>
        <w:tc>
          <w:tcPr>
            <w:tcW w:w="6662" w:type="dxa"/>
            <w:tcBorders>
              <w:top w:val="single" w:color="auto" w:sz="4" w:space="0"/>
              <w:left w:val="single" w:color="auto" w:sz="4" w:space="0"/>
              <w:bottom w:val="single" w:color="auto" w:sz="4" w:space="0"/>
              <w:right w:val="single" w:color="auto" w:sz="4" w:space="0"/>
            </w:tcBorders>
            <w:vAlign w:val="center"/>
          </w:tcPr>
          <w:p w14:paraId="2AA75B2B">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在货架有效期内、开封后的使用期间，以及运输或送货期间，医疗器械应具有可接受的稳定性。</w:t>
            </w:r>
          </w:p>
        </w:tc>
        <w:tc>
          <w:tcPr>
            <w:tcW w:w="1134" w:type="dxa"/>
            <w:tcBorders>
              <w:top w:val="single" w:color="auto" w:sz="4" w:space="0"/>
              <w:left w:val="single" w:color="auto" w:sz="4" w:space="0"/>
              <w:bottom w:val="single" w:color="auto" w:sz="4" w:space="0"/>
              <w:right w:val="single" w:color="auto" w:sz="4" w:space="0"/>
            </w:tcBorders>
            <w:vAlign w:val="center"/>
          </w:tcPr>
          <w:p w14:paraId="59A12C29">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2038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53E12C79">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A1.9</w:t>
            </w:r>
          </w:p>
        </w:tc>
        <w:tc>
          <w:tcPr>
            <w:tcW w:w="6662" w:type="dxa"/>
            <w:tcBorders>
              <w:top w:val="single" w:color="auto" w:sz="4" w:space="0"/>
              <w:left w:val="single" w:color="auto" w:sz="4" w:space="0"/>
              <w:bottom w:val="single" w:color="auto" w:sz="4" w:space="0"/>
              <w:right w:val="single" w:color="auto" w:sz="4" w:space="0"/>
            </w:tcBorders>
            <w:vAlign w:val="center"/>
          </w:tcPr>
          <w:p w14:paraId="6FEEB96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在正常使用条件下，基于当前先进技术水平，比较医疗器械性能带来的受益，所有已知的、可预见的风险以及任何不良副作用应最小化且可接受。</w:t>
            </w:r>
          </w:p>
        </w:tc>
        <w:tc>
          <w:tcPr>
            <w:tcW w:w="1134" w:type="dxa"/>
            <w:tcBorders>
              <w:top w:val="single" w:color="auto" w:sz="4" w:space="0"/>
              <w:left w:val="single" w:color="auto" w:sz="4" w:space="0"/>
              <w:bottom w:val="single" w:color="auto" w:sz="4" w:space="0"/>
              <w:right w:val="single" w:color="auto" w:sz="4" w:space="0"/>
            </w:tcBorders>
            <w:vAlign w:val="center"/>
          </w:tcPr>
          <w:p w14:paraId="34DFB088">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5C78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5505650">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A2</w:t>
            </w:r>
          </w:p>
        </w:tc>
        <w:tc>
          <w:tcPr>
            <w:tcW w:w="6662" w:type="dxa"/>
            <w:tcBorders>
              <w:top w:val="single" w:color="auto" w:sz="4" w:space="0"/>
              <w:left w:val="single" w:color="auto" w:sz="4" w:space="0"/>
              <w:bottom w:val="single" w:color="auto" w:sz="4" w:space="0"/>
              <w:right w:val="single" w:color="auto" w:sz="4" w:space="0"/>
            </w:tcBorders>
            <w:vAlign w:val="center"/>
          </w:tcPr>
          <w:p w14:paraId="506128E5">
            <w:pPr>
              <w:spacing w:line="400" w:lineRule="exact"/>
              <w:ind w:firstLine="0" w:firstLineChars="0"/>
              <w:jc w:val="left"/>
              <w:rPr>
                <w:kern w:val="0"/>
                <w:sz w:val="28"/>
                <w:szCs w:val="28"/>
              </w:rPr>
            </w:pPr>
            <w:r>
              <w:rPr>
                <w:kern w:val="0"/>
                <w:sz w:val="28"/>
                <w:szCs w:val="28"/>
              </w:rPr>
              <w:t>临床评价</w:t>
            </w:r>
          </w:p>
        </w:tc>
        <w:tc>
          <w:tcPr>
            <w:tcW w:w="1134" w:type="dxa"/>
            <w:tcBorders>
              <w:top w:val="single" w:color="auto" w:sz="4" w:space="0"/>
              <w:left w:val="single" w:color="auto" w:sz="4" w:space="0"/>
              <w:bottom w:val="single" w:color="auto" w:sz="4" w:space="0"/>
              <w:right w:val="single" w:color="auto" w:sz="4" w:space="0"/>
            </w:tcBorders>
            <w:vAlign w:val="center"/>
          </w:tcPr>
          <w:p w14:paraId="1BDF8327">
            <w:pPr>
              <w:spacing w:line="400" w:lineRule="exact"/>
              <w:ind w:firstLine="0" w:firstLineChars="0"/>
              <w:jc w:val="center"/>
              <w:rPr>
                <w:kern w:val="0"/>
                <w:sz w:val="28"/>
                <w:szCs w:val="28"/>
              </w:rPr>
            </w:pPr>
            <w:r>
              <w:rPr>
                <w:kern w:val="0"/>
                <w:sz w:val="28"/>
                <w:szCs w:val="28"/>
              </w:rPr>
              <w:t>视情况</w:t>
            </w:r>
          </w:p>
        </w:tc>
      </w:tr>
      <w:tr w14:paraId="441F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75BDF23F">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A3</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48592C8D">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化学、物理和生物学特性</w:t>
            </w:r>
          </w:p>
        </w:tc>
      </w:tr>
      <w:tr w14:paraId="40D3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12D43BFE">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A3.1</w:t>
            </w:r>
          </w:p>
        </w:tc>
        <w:tc>
          <w:tcPr>
            <w:tcW w:w="6662" w:type="dxa"/>
            <w:tcBorders>
              <w:top w:val="single" w:color="auto" w:sz="4" w:space="0"/>
              <w:left w:val="single" w:color="auto" w:sz="4" w:space="0"/>
              <w:bottom w:val="single" w:color="auto" w:sz="4" w:space="0"/>
              <w:right w:val="single" w:color="auto" w:sz="4" w:space="0"/>
            </w:tcBorders>
            <w:vAlign w:val="center"/>
          </w:tcPr>
          <w:p w14:paraId="0B430B1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关于医疗器械的化学、物理和生物学特性，应当特别注意以下几点：</w:t>
            </w:r>
          </w:p>
          <w:p w14:paraId="36909673">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所用材料和组成成分的选择，需特别考虑：</w:t>
            </w:r>
          </w:p>
          <w:p w14:paraId="193A660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-毒性；</w:t>
            </w:r>
          </w:p>
          <w:p w14:paraId="0AE912A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-生物相容性；</w:t>
            </w:r>
          </w:p>
          <w:p w14:paraId="404E04A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-易燃性；</w:t>
            </w:r>
          </w:p>
          <w:p w14:paraId="6A79AD04">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工艺对材料性能的影响；</w:t>
            </w:r>
          </w:p>
          <w:p w14:paraId="3A612C23">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c)</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生物物理学或者建模研究结果应当事先进行验证（如适用）；</w:t>
            </w:r>
          </w:p>
          <w:p w14:paraId="4E575E0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d)</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所用材料的机械性能，如适用，应当考虑强度、延展性、断裂强度、耐磨性和抗疲劳性等属性；</w:t>
            </w:r>
          </w:p>
          <w:p w14:paraId="580933F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e)</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表面特性；</w:t>
            </w:r>
          </w:p>
          <w:p w14:paraId="50DC4F9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f)</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器械与已规定化学和/或物理性能的符合性。</w:t>
            </w:r>
          </w:p>
        </w:tc>
        <w:tc>
          <w:tcPr>
            <w:tcW w:w="1134" w:type="dxa"/>
            <w:tcBorders>
              <w:top w:val="single" w:color="auto" w:sz="4" w:space="0"/>
              <w:left w:val="single" w:color="auto" w:sz="4" w:space="0"/>
              <w:bottom w:val="single" w:color="auto" w:sz="4" w:space="0"/>
              <w:right w:val="single" w:color="auto" w:sz="4" w:space="0"/>
            </w:tcBorders>
            <w:vAlign w:val="center"/>
          </w:tcPr>
          <w:p w14:paraId="392E9F31">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16D0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1A9E366">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A3.2</w:t>
            </w:r>
          </w:p>
        </w:tc>
        <w:tc>
          <w:tcPr>
            <w:tcW w:w="6662" w:type="dxa"/>
            <w:tcBorders>
              <w:top w:val="single" w:color="auto" w:sz="4" w:space="0"/>
              <w:left w:val="single" w:color="auto" w:sz="4" w:space="0"/>
              <w:bottom w:val="single" w:color="auto" w:sz="4" w:space="0"/>
              <w:right w:val="single" w:color="auto" w:sz="4" w:space="0"/>
            </w:tcBorders>
            <w:vAlign w:val="center"/>
          </w:tcPr>
          <w:p w14:paraId="4060C490">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基于医疗器械的预期用途，医疗器械的设计、生产和包装，应当尽可能减少污染物和残留物对使用者和患者，以及对从事医疗器械运输、贮存及其他相关人员造成的风险。特别要注意与使用者和患者暴露组织接触的时间和频次。</w:t>
            </w:r>
          </w:p>
        </w:tc>
        <w:tc>
          <w:tcPr>
            <w:tcW w:w="1134" w:type="dxa"/>
            <w:tcBorders>
              <w:top w:val="single" w:color="auto" w:sz="4" w:space="0"/>
              <w:left w:val="single" w:color="auto" w:sz="4" w:space="0"/>
              <w:bottom w:val="single" w:color="auto" w:sz="4" w:space="0"/>
              <w:right w:val="single" w:color="auto" w:sz="4" w:space="0"/>
            </w:tcBorders>
            <w:vAlign w:val="center"/>
          </w:tcPr>
          <w:p w14:paraId="5191AB5B">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5D00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2267820">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A3.3</w:t>
            </w:r>
          </w:p>
        </w:tc>
        <w:tc>
          <w:tcPr>
            <w:tcW w:w="6662" w:type="dxa"/>
            <w:tcBorders>
              <w:top w:val="single" w:color="auto" w:sz="4" w:space="0"/>
              <w:left w:val="single" w:color="auto" w:sz="4" w:space="0"/>
              <w:bottom w:val="single" w:color="auto" w:sz="4" w:space="0"/>
              <w:right w:val="single" w:color="auto" w:sz="4" w:space="0"/>
            </w:tcBorders>
            <w:vAlign w:val="center"/>
          </w:tcPr>
          <w:p w14:paraId="3D57188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医疗器械的设计和生产应当适当降低析出物（包括滤沥物和/或蒸发物）、降解产物、加工残留物等造成的风险。应当特别注意致癌、致突变或有生殖毒性的泄漏物或滤沥物。</w:t>
            </w:r>
          </w:p>
        </w:tc>
        <w:tc>
          <w:tcPr>
            <w:tcW w:w="1134" w:type="dxa"/>
            <w:tcBorders>
              <w:top w:val="single" w:color="auto" w:sz="4" w:space="0"/>
              <w:left w:val="single" w:color="auto" w:sz="4" w:space="0"/>
              <w:bottom w:val="single" w:color="auto" w:sz="4" w:space="0"/>
              <w:right w:val="single" w:color="auto" w:sz="4" w:space="0"/>
            </w:tcBorders>
            <w:vAlign w:val="center"/>
          </w:tcPr>
          <w:p w14:paraId="4FB7E205">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6502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CEBB654">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A3.4</w:t>
            </w:r>
          </w:p>
        </w:tc>
        <w:tc>
          <w:tcPr>
            <w:tcW w:w="6662" w:type="dxa"/>
            <w:tcBorders>
              <w:top w:val="single" w:color="auto" w:sz="4" w:space="0"/>
              <w:left w:val="single" w:color="auto" w:sz="4" w:space="0"/>
              <w:bottom w:val="single" w:color="auto" w:sz="4" w:space="0"/>
              <w:right w:val="single" w:color="auto" w:sz="4" w:space="0"/>
            </w:tcBorders>
            <w:vAlign w:val="center"/>
          </w:tcPr>
          <w:p w14:paraId="3C99EB1D">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医疗器械的设计和生产应当考虑到医疗器械及其预期使用环境的性质，适当降低物质意外进入器械所带来的风险。</w:t>
            </w:r>
          </w:p>
        </w:tc>
        <w:tc>
          <w:tcPr>
            <w:tcW w:w="1134" w:type="dxa"/>
            <w:tcBorders>
              <w:top w:val="single" w:color="auto" w:sz="4" w:space="0"/>
              <w:left w:val="single" w:color="auto" w:sz="4" w:space="0"/>
              <w:bottom w:val="single" w:color="auto" w:sz="4" w:space="0"/>
              <w:right w:val="single" w:color="auto" w:sz="4" w:space="0"/>
            </w:tcBorders>
            <w:vAlign w:val="center"/>
          </w:tcPr>
          <w:p w14:paraId="4BD5D6DD">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5CDA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5CD1A97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A3.5</w:t>
            </w:r>
          </w:p>
        </w:tc>
        <w:tc>
          <w:tcPr>
            <w:tcW w:w="6662" w:type="dxa"/>
            <w:tcBorders>
              <w:top w:val="single" w:color="auto" w:sz="4" w:space="0"/>
              <w:left w:val="single" w:color="auto" w:sz="4" w:space="0"/>
              <w:bottom w:val="single" w:color="auto" w:sz="4" w:space="0"/>
              <w:right w:val="single" w:color="auto" w:sz="4" w:space="0"/>
            </w:tcBorders>
            <w:vAlign w:val="center"/>
          </w:tcPr>
          <w:p w14:paraId="0B83930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医疗器械及其生产工艺的设计应当能消除或适当降低对使用者和其他可能接触者的感染风险。设计应当：</w:t>
            </w:r>
          </w:p>
          <w:p w14:paraId="0F46812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操作安全，易于处理；</w:t>
            </w:r>
          </w:p>
          <w:p w14:paraId="290A50E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尽量减少医疗器械的微生物泄漏和/或使用过程中的感染风险；</w:t>
            </w:r>
          </w:p>
          <w:p w14:paraId="40583B9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c)</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防止医疗器械或其内容物（例如：标本）的微生物污染；</w:t>
            </w:r>
          </w:p>
          <w:p w14:paraId="168FA84D">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d)</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尽量减少意外风险（例如：割伤和刺伤（如针刺伤）、意外物质溅入眼睛等）。</w:t>
            </w:r>
          </w:p>
        </w:tc>
        <w:tc>
          <w:tcPr>
            <w:tcW w:w="1134" w:type="dxa"/>
            <w:tcBorders>
              <w:top w:val="single" w:color="auto" w:sz="4" w:space="0"/>
              <w:left w:val="single" w:color="auto" w:sz="4" w:space="0"/>
              <w:bottom w:val="single" w:color="auto" w:sz="4" w:space="0"/>
              <w:right w:val="single" w:color="auto" w:sz="4" w:space="0"/>
            </w:tcBorders>
            <w:vAlign w:val="center"/>
          </w:tcPr>
          <w:p w14:paraId="60232EC4">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665E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0C3FB982">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43FB8F6C">
            <w:pPr>
              <w:spacing w:line="400" w:lineRule="exact"/>
              <w:ind w:firstLine="0" w:firstLineChars="0"/>
              <w:jc w:val="left"/>
              <w:rPr>
                <w:kern w:val="0"/>
                <w:sz w:val="28"/>
                <w:szCs w:val="28"/>
              </w:rPr>
            </w:pPr>
            <w:r>
              <w:rPr>
                <w:kern w:val="0"/>
                <w:sz w:val="28"/>
                <w:szCs w:val="28"/>
              </w:rPr>
              <w:t>灭菌和微生物污染</w:t>
            </w:r>
          </w:p>
        </w:tc>
      </w:tr>
      <w:tr w14:paraId="3CDD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4AD5670A">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A4.1</w:t>
            </w:r>
          </w:p>
        </w:tc>
        <w:tc>
          <w:tcPr>
            <w:tcW w:w="6662" w:type="dxa"/>
            <w:tcBorders>
              <w:top w:val="single" w:color="auto" w:sz="4" w:space="0"/>
              <w:left w:val="single" w:color="auto" w:sz="4" w:space="0"/>
              <w:bottom w:val="single" w:color="auto" w:sz="4" w:space="0"/>
              <w:right w:val="single" w:color="auto" w:sz="4" w:space="0"/>
            </w:tcBorders>
            <w:vAlign w:val="center"/>
          </w:tcPr>
          <w:p w14:paraId="27C66EA5">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医疗器械其设计应当方便使用者对其进行安全</w:t>
            </w:r>
            <w:r>
              <w:rPr>
                <w:rFonts w:hint="eastAsia" w:ascii="Times New Roman" w:hAnsi="Times New Roman" w:eastAsia="仿宋_GB2312"/>
                <w:bCs w:val="0"/>
                <w:color w:val="auto"/>
                <w:sz w:val="28"/>
                <w:szCs w:val="28"/>
                <w:lang w:eastAsia="zh-CN"/>
              </w:rPr>
              <w:t>清洁</w:t>
            </w:r>
            <w:r>
              <w:rPr>
                <w:rFonts w:ascii="Times New Roman" w:hAnsi="Times New Roman" w:eastAsia="仿宋_GB2312"/>
                <w:bCs w:val="0"/>
                <w:color w:val="auto"/>
                <w:sz w:val="28"/>
                <w:szCs w:val="28"/>
              </w:rPr>
              <w:t>、消毒、灭菌和/或重复灭菌（必要时）。</w:t>
            </w:r>
          </w:p>
        </w:tc>
        <w:tc>
          <w:tcPr>
            <w:tcW w:w="1134" w:type="dxa"/>
            <w:tcBorders>
              <w:top w:val="single" w:color="auto" w:sz="4" w:space="0"/>
              <w:left w:val="single" w:color="auto" w:sz="4" w:space="0"/>
              <w:bottom w:val="single" w:color="auto" w:sz="4" w:space="0"/>
              <w:right w:val="single" w:color="auto" w:sz="4" w:space="0"/>
            </w:tcBorders>
            <w:vAlign w:val="center"/>
          </w:tcPr>
          <w:p w14:paraId="38DA0663">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714A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33B462D0">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A4.2</w:t>
            </w:r>
          </w:p>
        </w:tc>
        <w:tc>
          <w:tcPr>
            <w:tcW w:w="6662" w:type="dxa"/>
            <w:tcBorders>
              <w:top w:val="single" w:color="auto" w:sz="4" w:space="0"/>
              <w:left w:val="single" w:color="auto" w:sz="4" w:space="0"/>
              <w:bottom w:val="single" w:color="auto" w:sz="4" w:space="0"/>
              <w:right w:val="single" w:color="auto" w:sz="4" w:space="0"/>
            </w:tcBorders>
            <w:vAlign w:val="center"/>
          </w:tcPr>
          <w:p w14:paraId="5126452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具有微生物限度要求的医疗器械，其设计、生产和包装应当确保在出厂后，按照申请人规定的条件运输和贮存，符合微生物限度要求。</w:t>
            </w:r>
          </w:p>
        </w:tc>
        <w:tc>
          <w:tcPr>
            <w:tcW w:w="1134" w:type="dxa"/>
            <w:tcBorders>
              <w:top w:val="single" w:color="auto" w:sz="4" w:space="0"/>
              <w:left w:val="single" w:color="auto" w:sz="4" w:space="0"/>
              <w:bottom w:val="single" w:color="auto" w:sz="4" w:space="0"/>
              <w:right w:val="single" w:color="auto" w:sz="4" w:space="0"/>
            </w:tcBorders>
            <w:vAlign w:val="center"/>
          </w:tcPr>
          <w:p w14:paraId="2217E05A">
            <w:pPr>
              <w:pStyle w:val="47"/>
              <w:spacing w:line="400" w:lineRule="exact"/>
              <w:jc w:val="center"/>
              <w:rPr>
                <w:rFonts w:hint="eastAsia" w:ascii="Times New Roman" w:hAnsi="Times New Roman" w:eastAsia="仿宋_GB2312"/>
                <w:bCs w:val="0"/>
                <w:color w:val="auto"/>
                <w:sz w:val="28"/>
                <w:szCs w:val="28"/>
                <w:lang w:eastAsia="zh-CN"/>
              </w:rPr>
            </w:pPr>
            <w:r>
              <w:rPr>
                <w:rFonts w:hint="eastAsia" w:ascii="Times New Roman" w:hAnsi="Times New Roman" w:eastAsia="仿宋_GB2312"/>
                <w:bCs w:val="0"/>
                <w:color w:val="auto"/>
                <w:sz w:val="28"/>
                <w:szCs w:val="28"/>
                <w:lang w:eastAsia="zh-CN"/>
              </w:rPr>
              <w:t>视情况</w:t>
            </w:r>
          </w:p>
        </w:tc>
      </w:tr>
      <w:tr w14:paraId="18F9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7B34D98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A4.3</w:t>
            </w:r>
          </w:p>
        </w:tc>
        <w:tc>
          <w:tcPr>
            <w:tcW w:w="6662" w:type="dxa"/>
            <w:tcBorders>
              <w:top w:val="single" w:color="auto" w:sz="4" w:space="0"/>
              <w:left w:val="single" w:color="auto" w:sz="4" w:space="0"/>
              <w:bottom w:val="single" w:color="auto" w:sz="4" w:space="0"/>
              <w:right w:val="single" w:color="auto" w:sz="4" w:space="0"/>
            </w:tcBorders>
            <w:vAlign w:val="center"/>
          </w:tcPr>
          <w:p w14:paraId="66DD6145">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以无菌状态交付的医疗器械，其设计、生产和包装应按照适当的程序进行，以确保在出厂时无菌。在申请人规定的条件下运输和贮存的未破损无菌包装，打开前都应当保持无菌状态。应确保最终使用者可清晰地辨识包装的完整性（例如：防篡改包装）。</w:t>
            </w:r>
          </w:p>
        </w:tc>
        <w:tc>
          <w:tcPr>
            <w:tcW w:w="1134" w:type="dxa"/>
            <w:tcBorders>
              <w:top w:val="single" w:color="auto" w:sz="4" w:space="0"/>
              <w:left w:val="single" w:color="auto" w:sz="4" w:space="0"/>
              <w:bottom w:val="single" w:color="auto" w:sz="4" w:space="0"/>
              <w:right w:val="single" w:color="auto" w:sz="4" w:space="0"/>
            </w:tcBorders>
            <w:vAlign w:val="center"/>
          </w:tcPr>
          <w:p w14:paraId="030D68F4">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无菌包装部件适用</w:t>
            </w:r>
          </w:p>
        </w:tc>
      </w:tr>
      <w:tr w14:paraId="1178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8D2E951">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A4.4</w:t>
            </w:r>
          </w:p>
        </w:tc>
        <w:tc>
          <w:tcPr>
            <w:tcW w:w="6662" w:type="dxa"/>
            <w:tcBorders>
              <w:top w:val="single" w:color="auto" w:sz="4" w:space="0"/>
              <w:left w:val="single" w:color="auto" w:sz="4" w:space="0"/>
              <w:bottom w:val="single" w:color="auto" w:sz="4" w:space="0"/>
              <w:right w:val="single" w:color="auto" w:sz="4" w:space="0"/>
            </w:tcBorders>
            <w:vAlign w:val="center"/>
          </w:tcPr>
          <w:p w14:paraId="6BF1656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无菌医疗器械应按照经验证的方法进行加工、生产、包装和灭菌，其货架有效期应按照经验证的方法确定。</w:t>
            </w:r>
          </w:p>
        </w:tc>
        <w:tc>
          <w:tcPr>
            <w:tcW w:w="1134" w:type="dxa"/>
            <w:tcBorders>
              <w:top w:val="single" w:color="auto" w:sz="4" w:space="0"/>
              <w:left w:val="single" w:color="auto" w:sz="4" w:space="0"/>
              <w:bottom w:val="single" w:color="auto" w:sz="4" w:space="0"/>
              <w:right w:val="single" w:color="auto" w:sz="4" w:space="0"/>
            </w:tcBorders>
          </w:tcPr>
          <w:p w14:paraId="7332AB2A">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无菌包装部件适用</w:t>
            </w:r>
          </w:p>
        </w:tc>
      </w:tr>
      <w:tr w14:paraId="2015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0E776B45">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A4.5</w:t>
            </w:r>
          </w:p>
        </w:tc>
        <w:tc>
          <w:tcPr>
            <w:tcW w:w="6662" w:type="dxa"/>
            <w:tcBorders>
              <w:top w:val="single" w:color="auto" w:sz="4" w:space="0"/>
              <w:left w:val="single" w:color="auto" w:sz="4" w:space="0"/>
              <w:bottom w:val="single" w:color="auto" w:sz="4" w:space="0"/>
              <w:right w:val="single" w:color="auto" w:sz="4" w:space="0"/>
            </w:tcBorders>
            <w:vAlign w:val="center"/>
          </w:tcPr>
          <w:p w14:paraId="05C85087">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预期无菌使用的医疗器械（申请人灭菌或使用者灭菌），均应在适当且受控的条件和设施下生产和包装。</w:t>
            </w:r>
          </w:p>
        </w:tc>
        <w:tc>
          <w:tcPr>
            <w:tcW w:w="1134" w:type="dxa"/>
            <w:tcBorders>
              <w:top w:val="single" w:color="auto" w:sz="4" w:space="0"/>
              <w:left w:val="single" w:color="auto" w:sz="4" w:space="0"/>
              <w:bottom w:val="single" w:color="auto" w:sz="4" w:space="0"/>
              <w:right w:val="single" w:color="auto" w:sz="4" w:space="0"/>
            </w:tcBorders>
          </w:tcPr>
          <w:p w14:paraId="258E4969">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无菌包装部件适用</w:t>
            </w:r>
          </w:p>
        </w:tc>
      </w:tr>
      <w:tr w14:paraId="23657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4FEFC581">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A4.6</w:t>
            </w:r>
          </w:p>
        </w:tc>
        <w:tc>
          <w:tcPr>
            <w:tcW w:w="6662" w:type="dxa"/>
            <w:tcBorders>
              <w:top w:val="single" w:color="auto" w:sz="4" w:space="0"/>
              <w:left w:val="single" w:color="auto" w:sz="4" w:space="0"/>
              <w:bottom w:val="single" w:color="auto" w:sz="4" w:space="0"/>
              <w:right w:val="single" w:color="auto" w:sz="4" w:space="0"/>
            </w:tcBorders>
            <w:vAlign w:val="center"/>
          </w:tcPr>
          <w:p w14:paraId="3A71AEF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以非无菌状态交付，且使用前灭菌的医疗器械：</w:t>
            </w:r>
          </w:p>
          <w:p w14:paraId="6618AE1C">
            <w:pPr>
              <w:spacing w:line="400" w:lineRule="exact"/>
              <w:ind w:firstLine="0" w:firstLineChars="0"/>
              <w:rPr>
                <w:kern w:val="0"/>
                <w:sz w:val="28"/>
                <w:szCs w:val="28"/>
              </w:rPr>
            </w:pPr>
            <w:r>
              <w:rPr>
                <w:kern w:val="0"/>
                <w:sz w:val="28"/>
                <w:szCs w:val="28"/>
              </w:rPr>
              <w:t>a)</w:t>
            </w:r>
            <w:r>
              <w:rPr>
                <w:kern w:val="0"/>
                <w:sz w:val="28"/>
                <w:szCs w:val="28"/>
              </w:rPr>
              <w:tab/>
            </w:r>
            <w:r>
              <w:rPr>
                <w:kern w:val="0"/>
                <w:sz w:val="28"/>
                <w:szCs w:val="28"/>
              </w:rPr>
              <w:t>包装应尽量减少产品受到微生物污染的风险，且应适用于申请人规定的灭菌方法；</w:t>
            </w:r>
          </w:p>
          <w:p w14:paraId="0DC4C637">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申请人规定的灭菌方法应当经过验证。</w:t>
            </w:r>
          </w:p>
          <w:p w14:paraId="4CF2EA59">
            <w:pPr>
              <w:pStyle w:val="47"/>
              <w:spacing w:line="400" w:lineRule="exact"/>
              <w:outlineLvl w:val="9"/>
              <w:rPr>
                <w:rFonts w:ascii="Times New Roman" w:hAnsi="Times New Roman" w:eastAsia="仿宋_GB2312"/>
                <w:bCs w:val="0"/>
                <w:color w:val="auto"/>
                <w:sz w:val="28"/>
                <w:szCs w:val="28"/>
              </w:rPr>
            </w:pPr>
          </w:p>
        </w:tc>
        <w:tc>
          <w:tcPr>
            <w:tcW w:w="1134" w:type="dxa"/>
            <w:tcBorders>
              <w:top w:val="single" w:color="auto" w:sz="4" w:space="0"/>
              <w:left w:val="single" w:color="auto" w:sz="4" w:space="0"/>
              <w:bottom w:val="single" w:color="auto" w:sz="4" w:space="0"/>
              <w:right w:val="single" w:color="auto" w:sz="4" w:space="0"/>
            </w:tcBorders>
            <w:vAlign w:val="center"/>
          </w:tcPr>
          <w:p w14:paraId="7222F201">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5D520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14C1845F">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A4.7</w:t>
            </w:r>
          </w:p>
        </w:tc>
        <w:tc>
          <w:tcPr>
            <w:tcW w:w="6662" w:type="dxa"/>
            <w:tcBorders>
              <w:top w:val="single" w:color="auto" w:sz="4" w:space="0"/>
              <w:left w:val="single" w:color="auto" w:sz="4" w:space="0"/>
              <w:bottom w:val="single" w:color="auto" w:sz="4" w:space="0"/>
              <w:right w:val="single" w:color="auto" w:sz="4" w:space="0"/>
            </w:tcBorders>
            <w:vAlign w:val="center"/>
          </w:tcPr>
          <w:p w14:paraId="49C148D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若医疗器械可以无菌和非无菌状态交付使用，应明确标识其交付状态。</w:t>
            </w:r>
          </w:p>
        </w:tc>
        <w:tc>
          <w:tcPr>
            <w:tcW w:w="1134" w:type="dxa"/>
            <w:tcBorders>
              <w:top w:val="single" w:color="auto" w:sz="4" w:space="0"/>
              <w:left w:val="single" w:color="auto" w:sz="4" w:space="0"/>
              <w:bottom w:val="single" w:color="auto" w:sz="4" w:space="0"/>
              <w:right w:val="single" w:color="auto" w:sz="4" w:space="0"/>
            </w:tcBorders>
            <w:vAlign w:val="center"/>
          </w:tcPr>
          <w:p w14:paraId="1DCD4E67">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68C9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7CAD4503">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40918D1F">
            <w:pPr>
              <w:spacing w:line="400" w:lineRule="exact"/>
              <w:ind w:firstLine="0" w:firstLineChars="0"/>
              <w:jc w:val="left"/>
              <w:rPr>
                <w:kern w:val="0"/>
                <w:sz w:val="28"/>
                <w:szCs w:val="28"/>
              </w:rPr>
            </w:pPr>
            <w:r>
              <w:rPr>
                <w:kern w:val="0"/>
                <w:sz w:val="28"/>
                <w:szCs w:val="28"/>
              </w:rPr>
              <w:t>环境和使用条件</w:t>
            </w:r>
          </w:p>
        </w:tc>
      </w:tr>
      <w:tr w14:paraId="07C3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488AB3EA">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A5.1</w:t>
            </w:r>
          </w:p>
        </w:tc>
        <w:tc>
          <w:tcPr>
            <w:tcW w:w="6662" w:type="dxa"/>
            <w:tcBorders>
              <w:top w:val="single" w:color="auto" w:sz="4" w:space="0"/>
              <w:left w:val="single" w:color="auto" w:sz="4" w:space="0"/>
              <w:bottom w:val="single" w:color="auto" w:sz="4" w:space="0"/>
              <w:right w:val="single" w:color="auto" w:sz="4" w:space="0"/>
            </w:tcBorders>
            <w:vAlign w:val="center"/>
          </w:tcPr>
          <w:p w14:paraId="62B8062B">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如医疗器械预期与其他医疗器械或设备整合使用，应确保整合使用后的系统，包括连接系统，整体的安全性，且不影响器械本身的性能。整合使用上的限制应明确标识和/或在使用说明书中明确。对于需要使用者处理的连接，如液体、气体传输、电耦合或机械耦合等，在设计和生产过程中尽可能消除或降低所有可能的风险，包括错误连接或安全危害。</w:t>
            </w:r>
          </w:p>
        </w:tc>
        <w:tc>
          <w:tcPr>
            <w:tcW w:w="1134" w:type="dxa"/>
            <w:tcBorders>
              <w:top w:val="single" w:color="auto" w:sz="4" w:space="0"/>
              <w:left w:val="single" w:color="auto" w:sz="4" w:space="0"/>
              <w:bottom w:val="single" w:color="auto" w:sz="4" w:space="0"/>
              <w:right w:val="single" w:color="auto" w:sz="4" w:space="0"/>
            </w:tcBorders>
            <w:vAlign w:val="center"/>
          </w:tcPr>
          <w:p w14:paraId="7377EDDD">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3BAB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5F40A00">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A5.2</w:t>
            </w:r>
          </w:p>
        </w:tc>
        <w:tc>
          <w:tcPr>
            <w:tcW w:w="6662" w:type="dxa"/>
            <w:tcBorders>
              <w:top w:val="single" w:color="auto" w:sz="4" w:space="0"/>
              <w:left w:val="single" w:color="auto" w:sz="4" w:space="0"/>
              <w:bottom w:val="single" w:color="auto" w:sz="4" w:space="0"/>
              <w:right w:val="single" w:color="auto" w:sz="4" w:space="0"/>
            </w:tcBorders>
            <w:vAlign w:val="center"/>
          </w:tcPr>
          <w:p w14:paraId="0AB0C8B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医疗器械的设计和生产应当考虑预期的使用环境和使用条件，以消除或降低下列风险：</w:t>
            </w:r>
          </w:p>
          <w:p w14:paraId="47C6A47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与物理和人体工程学/可用性的特性有关，对使用者或他人造成损伤的风险；</w:t>
            </w:r>
          </w:p>
          <w:p w14:paraId="2B2B5E4D">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由于用户界面设计、人体工程学/可用性的特性以及预期使用环境导致的错误操作的风险；</w:t>
            </w:r>
          </w:p>
          <w:p w14:paraId="00914667">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c)</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与合理可预期的外部因素或环境条件有关的风险，如磁场、外部电磁效应、静电释放、诊断和治疗带来的辐射、压力、湿度、温度和/或压力和加速度的变化；</w:t>
            </w:r>
          </w:p>
          <w:p w14:paraId="489CD5B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d)</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正常使用条件下与固体材料、液体和其他物质，包括气体，接触而产生的风险；</w:t>
            </w:r>
          </w:p>
          <w:p w14:paraId="7BF1969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e)</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软件与信息技术（IT）运行环境的兼容性造成的风险；</w:t>
            </w:r>
          </w:p>
          <w:p w14:paraId="06015017">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f)</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正常使用过程中，医疗器械非预期析出物导致的环境风险；</w:t>
            </w:r>
          </w:p>
          <w:p w14:paraId="2F13E6F3">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g)</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样本/样品/数据不正确识别和错误结果导致的风险，比如用于分析、测试或检测的样本容器、可拆卸部件和/或附件，其颜色和/或数字编码混淆；</w:t>
            </w:r>
          </w:p>
          <w:p w14:paraId="4F28E59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h)</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与其他用于诊断、监测或治疗的医疗器械互相干扰导致的风险。</w:t>
            </w:r>
          </w:p>
        </w:tc>
        <w:tc>
          <w:tcPr>
            <w:tcW w:w="1134" w:type="dxa"/>
            <w:tcBorders>
              <w:top w:val="single" w:color="auto" w:sz="4" w:space="0"/>
              <w:left w:val="single" w:color="auto" w:sz="4" w:space="0"/>
              <w:bottom w:val="single" w:color="auto" w:sz="4" w:space="0"/>
              <w:right w:val="single" w:color="auto" w:sz="4" w:space="0"/>
            </w:tcBorders>
            <w:vAlign w:val="center"/>
          </w:tcPr>
          <w:p w14:paraId="0301DB85">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72F1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317880A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A5.3</w:t>
            </w:r>
          </w:p>
        </w:tc>
        <w:tc>
          <w:tcPr>
            <w:tcW w:w="6662" w:type="dxa"/>
            <w:tcBorders>
              <w:top w:val="single" w:color="auto" w:sz="4" w:space="0"/>
              <w:left w:val="single" w:color="auto" w:sz="4" w:space="0"/>
              <w:bottom w:val="single" w:color="auto" w:sz="4" w:space="0"/>
              <w:right w:val="single" w:color="auto" w:sz="4" w:space="0"/>
            </w:tcBorders>
            <w:vAlign w:val="center"/>
          </w:tcPr>
          <w:p w14:paraId="3008BEB6">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医疗器械的设计和生产应当消除或降低在正常状态及单一故障状态下燃烧和爆炸的风险，尤其是预期用途包括暴露于易燃、易爆物质或其他可致燃物相关的器械联用。</w:t>
            </w:r>
          </w:p>
        </w:tc>
        <w:tc>
          <w:tcPr>
            <w:tcW w:w="1134" w:type="dxa"/>
            <w:tcBorders>
              <w:top w:val="single" w:color="auto" w:sz="4" w:space="0"/>
              <w:left w:val="single" w:color="auto" w:sz="4" w:space="0"/>
              <w:bottom w:val="single" w:color="auto" w:sz="4" w:space="0"/>
              <w:right w:val="single" w:color="auto" w:sz="4" w:space="0"/>
            </w:tcBorders>
            <w:vAlign w:val="center"/>
          </w:tcPr>
          <w:p w14:paraId="2996C0BC">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636B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5017738E">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A5.4</w:t>
            </w:r>
          </w:p>
        </w:tc>
        <w:tc>
          <w:tcPr>
            <w:tcW w:w="6662" w:type="dxa"/>
            <w:tcBorders>
              <w:top w:val="single" w:color="auto" w:sz="4" w:space="0"/>
              <w:left w:val="single" w:color="auto" w:sz="4" w:space="0"/>
              <w:bottom w:val="single" w:color="auto" w:sz="4" w:space="0"/>
              <w:right w:val="single" w:color="auto" w:sz="4" w:space="0"/>
            </w:tcBorders>
            <w:vAlign w:val="center"/>
          </w:tcPr>
          <w:p w14:paraId="790AD80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医疗器械的设计和生产应能确保调整、校准和维护过程能够安全有效的完成。</w:t>
            </w:r>
          </w:p>
          <w:p w14:paraId="559771F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对无法进行维护的医疗器械，如植入物，应尽量降低材料老化等风险；</w:t>
            </w:r>
          </w:p>
          <w:p w14:paraId="79D3E1E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对无法进行调整和校准的医疗器械，如某些类型的温度计，应尽量降低测量或控制机制精度的损失风险。</w:t>
            </w:r>
          </w:p>
        </w:tc>
        <w:tc>
          <w:tcPr>
            <w:tcW w:w="1134" w:type="dxa"/>
            <w:tcBorders>
              <w:top w:val="single" w:color="auto" w:sz="4" w:space="0"/>
              <w:left w:val="single" w:color="auto" w:sz="4" w:space="0"/>
              <w:bottom w:val="single" w:color="auto" w:sz="4" w:space="0"/>
              <w:right w:val="single" w:color="auto" w:sz="4" w:space="0"/>
            </w:tcBorders>
            <w:vAlign w:val="center"/>
          </w:tcPr>
          <w:p w14:paraId="103BF44B">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113A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89209FA">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A5.5</w:t>
            </w:r>
          </w:p>
        </w:tc>
        <w:tc>
          <w:tcPr>
            <w:tcW w:w="6662" w:type="dxa"/>
            <w:tcBorders>
              <w:top w:val="single" w:color="auto" w:sz="4" w:space="0"/>
              <w:left w:val="single" w:color="auto" w:sz="4" w:space="0"/>
              <w:bottom w:val="single" w:color="auto" w:sz="4" w:space="0"/>
              <w:right w:val="single" w:color="auto" w:sz="4" w:space="0"/>
            </w:tcBorders>
            <w:vAlign w:val="center"/>
          </w:tcPr>
          <w:p w14:paraId="77CFEB0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与其他医疗器械或产品联合使用的医疗器械，其设计和生产应能保证互操作性和兼容性可靠且安全。</w:t>
            </w:r>
          </w:p>
        </w:tc>
        <w:tc>
          <w:tcPr>
            <w:tcW w:w="1134" w:type="dxa"/>
            <w:tcBorders>
              <w:top w:val="single" w:color="auto" w:sz="4" w:space="0"/>
              <w:left w:val="single" w:color="auto" w:sz="4" w:space="0"/>
              <w:bottom w:val="single" w:color="auto" w:sz="4" w:space="0"/>
              <w:right w:val="single" w:color="auto" w:sz="4" w:space="0"/>
            </w:tcBorders>
            <w:vAlign w:val="center"/>
          </w:tcPr>
          <w:p w14:paraId="581FD28C">
            <w:pPr>
              <w:pStyle w:val="47"/>
              <w:spacing w:line="400" w:lineRule="exact"/>
              <w:jc w:val="center"/>
              <w:rPr>
                <w:rFonts w:hint="eastAsia" w:ascii="Times New Roman" w:hAnsi="Times New Roman" w:eastAsia="仿宋_GB2312"/>
                <w:bCs w:val="0"/>
                <w:color w:val="auto"/>
                <w:sz w:val="28"/>
                <w:szCs w:val="28"/>
                <w:lang w:eastAsia="zh-CN"/>
              </w:rPr>
            </w:pPr>
            <w:r>
              <w:rPr>
                <w:rFonts w:hint="eastAsia" w:ascii="Times New Roman" w:hAnsi="Times New Roman" w:eastAsia="仿宋_GB2312"/>
                <w:bCs w:val="0"/>
                <w:color w:val="auto"/>
                <w:sz w:val="28"/>
                <w:szCs w:val="28"/>
                <w:lang w:eastAsia="zh-CN"/>
              </w:rPr>
              <w:t>不适用</w:t>
            </w:r>
          </w:p>
        </w:tc>
      </w:tr>
      <w:tr w14:paraId="54E7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952724E">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A5.6</w:t>
            </w:r>
          </w:p>
        </w:tc>
        <w:tc>
          <w:tcPr>
            <w:tcW w:w="6662" w:type="dxa"/>
            <w:tcBorders>
              <w:top w:val="single" w:color="auto" w:sz="4" w:space="0"/>
              <w:left w:val="single" w:color="auto" w:sz="4" w:space="0"/>
              <w:bottom w:val="single" w:color="auto" w:sz="4" w:space="0"/>
              <w:right w:val="single" w:color="auto" w:sz="4" w:space="0"/>
            </w:tcBorders>
            <w:vAlign w:val="center"/>
          </w:tcPr>
          <w:p w14:paraId="6E045AC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医疗器械的设计和生产应能降低未经授权的访问风险，这种访问可能会妨碍器械正常运行，或造成安全隐患。</w:t>
            </w:r>
          </w:p>
        </w:tc>
        <w:tc>
          <w:tcPr>
            <w:tcW w:w="1134" w:type="dxa"/>
            <w:tcBorders>
              <w:top w:val="single" w:color="auto" w:sz="4" w:space="0"/>
              <w:left w:val="single" w:color="auto" w:sz="4" w:space="0"/>
              <w:bottom w:val="single" w:color="auto" w:sz="4" w:space="0"/>
              <w:right w:val="single" w:color="auto" w:sz="4" w:space="0"/>
            </w:tcBorders>
            <w:vAlign w:val="center"/>
          </w:tcPr>
          <w:p w14:paraId="385C57DE">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296D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F834064">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A5.7</w:t>
            </w:r>
          </w:p>
        </w:tc>
        <w:tc>
          <w:tcPr>
            <w:tcW w:w="6662" w:type="dxa"/>
            <w:tcBorders>
              <w:top w:val="single" w:color="auto" w:sz="4" w:space="0"/>
              <w:left w:val="single" w:color="auto" w:sz="4" w:space="0"/>
              <w:bottom w:val="single" w:color="auto" w:sz="4" w:space="0"/>
              <w:right w:val="single" w:color="auto" w:sz="4" w:space="0"/>
            </w:tcBorders>
            <w:vAlign w:val="center"/>
          </w:tcPr>
          <w:p w14:paraId="4A0C364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具有测量、监视或有数值显示功能的医疗器械，其设计和生产应当符合人体工程学/可用性原则，并应顾及器械预期用途、预期使用者、使用环境。</w:t>
            </w:r>
          </w:p>
        </w:tc>
        <w:tc>
          <w:tcPr>
            <w:tcW w:w="1134" w:type="dxa"/>
            <w:tcBorders>
              <w:top w:val="single" w:color="auto" w:sz="4" w:space="0"/>
              <w:left w:val="single" w:color="auto" w:sz="4" w:space="0"/>
              <w:bottom w:val="single" w:color="auto" w:sz="4" w:space="0"/>
              <w:right w:val="single" w:color="auto" w:sz="4" w:space="0"/>
            </w:tcBorders>
            <w:vAlign w:val="center"/>
          </w:tcPr>
          <w:p w14:paraId="13C587D3">
            <w:pPr>
              <w:pStyle w:val="47"/>
              <w:spacing w:line="400" w:lineRule="exact"/>
              <w:jc w:val="center"/>
              <w:rPr>
                <w:rFonts w:hint="eastAsia" w:ascii="Times New Roman" w:hAnsi="Times New Roman" w:eastAsia="仿宋_GB2312"/>
                <w:bCs w:val="0"/>
                <w:color w:val="auto"/>
                <w:sz w:val="28"/>
                <w:szCs w:val="28"/>
                <w:lang w:eastAsia="zh-CN"/>
              </w:rPr>
            </w:pPr>
            <w:r>
              <w:rPr>
                <w:rFonts w:hint="eastAsia" w:ascii="Times New Roman" w:hAnsi="Times New Roman" w:eastAsia="仿宋_GB2312"/>
                <w:bCs w:val="0"/>
                <w:color w:val="auto"/>
                <w:sz w:val="28"/>
                <w:szCs w:val="28"/>
                <w:lang w:eastAsia="zh-CN"/>
              </w:rPr>
              <w:t>适用</w:t>
            </w:r>
          </w:p>
        </w:tc>
      </w:tr>
      <w:tr w14:paraId="0EFD0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5FD8F2EE">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A5.8</w:t>
            </w:r>
          </w:p>
        </w:tc>
        <w:tc>
          <w:tcPr>
            <w:tcW w:w="6662" w:type="dxa"/>
            <w:tcBorders>
              <w:top w:val="single" w:color="auto" w:sz="4" w:space="0"/>
              <w:left w:val="single" w:color="auto" w:sz="4" w:space="0"/>
              <w:bottom w:val="single" w:color="auto" w:sz="4" w:space="0"/>
              <w:right w:val="single" w:color="auto" w:sz="4" w:space="0"/>
            </w:tcBorders>
            <w:vAlign w:val="center"/>
          </w:tcPr>
          <w:p w14:paraId="0A5F7E16">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医疗器械的设计和生产应便于使用者、患者或其他人员对其以及相关废弃物的安全处置或再利用。使用说明书应明确安全处置或回收的程序和方法。</w:t>
            </w:r>
          </w:p>
        </w:tc>
        <w:tc>
          <w:tcPr>
            <w:tcW w:w="1134" w:type="dxa"/>
            <w:tcBorders>
              <w:top w:val="single" w:color="auto" w:sz="4" w:space="0"/>
              <w:left w:val="single" w:color="auto" w:sz="4" w:space="0"/>
              <w:bottom w:val="single" w:color="auto" w:sz="4" w:space="0"/>
              <w:right w:val="single" w:color="auto" w:sz="4" w:space="0"/>
            </w:tcBorders>
            <w:vAlign w:val="center"/>
          </w:tcPr>
          <w:p w14:paraId="732E8B44">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7ECD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3E9A0EF4">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A6</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45E1FA13">
            <w:pPr>
              <w:spacing w:line="400" w:lineRule="exact"/>
              <w:ind w:firstLine="0" w:firstLineChars="0"/>
              <w:jc w:val="left"/>
              <w:rPr>
                <w:kern w:val="0"/>
                <w:sz w:val="28"/>
                <w:szCs w:val="28"/>
              </w:rPr>
            </w:pPr>
            <w:r>
              <w:rPr>
                <w:kern w:val="0"/>
                <w:sz w:val="28"/>
                <w:szCs w:val="28"/>
              </w:rPr>
              <w:t>对电气、机械和热风险的防护</w:t>
            </w:r>
          </w:p>
        </w:tc>
      </w:tr>
      <w:tr w14:paraId="39DF2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1230BA8">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A6.1</w:t>
            </w:r>
          </w:p>
        </w:tc>
        <w:tc>
          <w:tcPr>
            <w:tcW w:w="6662" w:type="dxa"/>
            <w:tcBorders>
              <w:top w:val="single" w:color="auto" w:sz="4" w:space="0"/>
              <w:left w:val="single" w:color="auto" w:sz="4" w:space="0"/>
              <w:bottom w:val="single" w:color="auto" w:sz="4" w:space="0"/>
              <w:right w:val="single" w:color="auto" w:sz="4" w:space="0"/>
            </w:tcBorders>
            <w:vAlign w:val="center"/>
          </w:tcPr>
          <w:p w14:paraId="798F9A4B">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医疗器械的设计和生产应具有机械相关的防护，保护使用者免于承受由诸如运动阻力、不稳定性和活动部件等引起的机械风险。</w:t>
            </w:r>
          </w:p>
        </w:tc>
        <w:tc>
          <w:tcPr>
            <w:tcW w:w="1134" w:type="dxa"/>
            <w:tcBorders>
              <w:top w:val="single" w:color="auto" w:sz="4" w:space="0"/>
              <w:left w:val="single" w:color="auto" w:sz="4" w:space="0"/>
              <w:bottom w:val="single" w:color="auto" w:sz="4" w:space="0"/>
              <w:right w:val="single" w:color="auto" w:sz="4" w:space="0"/>
            </w:tcBorders>
            <w:vAlign w:val="center"/>
          </w:tcPr>
          <w:p w14:paraId="7A8FD0FA">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7558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0BDD76">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A6.2</w:t>
            </w:r>
          </w:p>
        </w:tc>
        <w:tc>
          <w:tcPr>
            <w:tcW w:w="6662" w:type="dxa"/>
            <w:tcBorders>
              <w:top w:val="single" w:color="auto" w:sz="4" w:space="0"/>
              <w:left w:val="single" w:color="auto" w:sz="4" w:space="0"/>
              <w:bottom w:val="single" w:color="auto" w:sz="4" w:space="0"/>
              <w:right w:val="single" w:color="auto" w:sz="4" w:space="0"/>
            </w:tcBorders>
            <w:vAlign w:val="center"/>
          </w:tcPr>
          <w:p w14:paraId="1C742B6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除非振动是器械特定性能的一部分，否则医疗器械的设计和生产应当将产品振动导致的风险降到最低，应尽量采用限制振动（特别是振动源）的方法。</w:t>
            </w:r>
          </w:p>
        </w:tc>
        <w:tc>
          <w:tcPr>
            <w:tcW w:w="1134" w:type="dxa"/>
            <w:tcBorders>
              <w:top w:val="single" w:color="auto" w:sz="4" w:space="0"/>
              <w:left w:val="single" w:color="auto" w:sz="4" w:space="0"/>
              <w:bottom w:val="single" w:color="auto" w:sz="4" w:space="0"/>
              <w:right w:val="single" w:color="auto" w:sz="4" w:space="0"/>
            </w:tcBorders>
            <w:vAlign w:val="center"/>
          </w:tcPr>
          <w:p w14:paraId="6020D3DD">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1B2A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32A72F0">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A6.3</w:t>
            </w:r>
          </w:p>
        </w:tc>
        <w:tc>
          <w:tcPr>
            <w:tcW w:w="6662" w:type="dxa"/>
            <w:tcBorders>
              <w:top w:val="single" w:color="auto" w:sz="4" w:space="0"/>
              <w:left w:val="single" w:color="auto" w:sz="4" w:space="0"/>
              <w:bottom w:val="single" w:color="auto" w:sz="4" w:space="0"/>
              <w:right w:val="single" w:color="auto" w:sz="4" w:space="0"/>
            </w:tcBorders>
            <w:vAlign w:val="center"/>
          </w:tcPr>
          <w:p w14:paraId="3CD8AC5B">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除非噪声是器械特定性能的一部分，否则医疗器械设计和生产应将产品噪声导致的风险降到最低，应尽量采用限制噪声（特别是噪声源）的方法。</w:t>
            </w:r>
          </w:p>
        </w:tc>
        <w:tc>
          <w:tcPr>
            <w:tcW w:w="1134" w:type="dxa"/>
            <w:tcBorders>
              <w:top w:val="single" w:color="auto" w:sz="4" w:space="0"/>
              <w:left w:val="single" w:color="auto" w:sz="4" w:space="0"/>
              <w:bottom w:val="single" w:color="auto" w:sz="4" w:space="0"/>
              <w:right w:val="single" w:color="auto" w:sz="4" w:space="0"/>
            </w:tcBorders>
            <w:vAlign w:val="center"/>
          </w:tcPr>
          <w:p w14:paraId="0BF549D8">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2F6F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AECACE0">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A6.4</w:t>
            </w:r>
          </w:p>
        </w:tc>
        <w:tc>
          <w:tcPr>
            <w:tcW w:w="6662" w:type="dxa"/>
            <w:tcBorders>
              <w:top w:val="single" w:color="auto" w:sz="4" w:space="0"/>
              <w:left w:val="single" w:color="auto" w:sz="4" w:space="0"/>
              <w:bottom w:val="single" w:color="auto" w:sz="4" w:space="0"/>
              <w:right w:val="single" w:color="auto" w:sz="4" w:space="0"/>
            </w:tcBorders>
            <w:vAlign w:val="center"/>
          </w:tcPr>
          <w:p w14:paraId="46F4F316">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如果医疗器械的部件在使用前或使用中需要进行连接或重新连接，其设计和生产应当降低这些部件间的连接故障风险。</w:t>
            </w:r>
          </w:p>
        </w:tc>
        <w:tc>
          <w:tcPr>
            <w:tcW w:w="1134" w:type="dxa"/>
            <w:tcBorders>
              <w:top w:val="single" w:color="auto" w:sz="4" w:space="0"/>
              <w:left w:val="single" w:color="auto" w:sz="4" w:space="0"/>
              <w:bottom w:val="single" w:color="auto" w:sz="4" w:space="0"/>
              <w:right w:val="single" w:color="auto" w:sz="4" w:space="0"/>
            </w:tcBorders>
            <w:vAlign w:val="center"/>
          </w:tcPr>
          <w:p w14:paraId="1488BAA7">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60F8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0885976A">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A6.5</w:t>
            </w:r>
          </w:p>
        </w:tc>
        <w:tc>
          <w:tcPr>
            <w:tcW w:w="6662" w:type="dxa"/>
            <w:tcBorders>
              <w:top w:val="single" w:color="auto" w:sz="4" w:space="0"/>
              <w:left w:val="single" w:color="auto" w:sz="4" w:space="0"/>
              <w:bottom w:val="single" w:color="auto" w:sz="4" w:space="0"/>
              <w:right w:val="single" w:color="auto" w:sz="4" w:space="0"/>
            </w:tcBorders>
            <w:vAlign w:val="center"/>
          </w:tcPr>
          <w:p w14:paraId="683EDFA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医疗器械的可接触部件（不包括用于供热或既定温度设置部位）及其周围环境，在正常使用时不应存在过热风险。</w:t>
            </w:r>
          </w:p>
        </w:tc>
        <w:tc>
          <w:tcPr>
            <w:tcW w:w="1134" w:type="dxa"/>
            <w:tcBorders>
              <w:top w:val="single" w:color="auto" w:sz="4" w:space="0"/>
              <w:left w:val="single" w:color="auto" w:sz="4" w:space="0"/>
              <w:bottom w:val="single" w:color="auto" w:sz="4" w:space="0"/>
              <w:right w:val="single" w:color="auto" w:sz="4" w:space="0"/>
            </w:tcBorders>
            <w:vAlign w:val="center"/>
          </w:tcPr>
          <w:p w14:paraId="1442FCE6">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3242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0E3EF7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2EFB75A0">
            <w:pPr>
              <w:spacing w:line="400" w:lineRule="exact"/>
              <w:ind w:firstLine="0" w:firstLineChars="0"/>
              <w:jc w:val="left"/>
              <w:rPr>
                <w:kern w:val="0"/>
                <w:sz w:val="28"/>
                <w:szCs w:val="28"/>
              </w:rPr>
            </w:pPr>
            <w:r>
              <w:rPr>
                <w:kern w:val="0"/>
                <w:sz w:val="28"/>
                <w:szCs w:val="28"/>
              </w:rPr>
              <w:t>有源医疗器械及与其连接的医疗器械</w:t>
            </w:r>
          </w:p>
        </w:tc>
      </w:tr>
      <w:tr w14:paraId="1FDB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386D08D5">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A7.1</w:t>
            </w:r>
          </w:p>
        </w:tc>
        <w:tc>
          <w:tcPr>
            <w:tcW w:w="6662" w:type="dxa"/>
            <w:tcBorders>
              <w:top w:val="single" w:color="auto" w:sz="4" w:space="0"/>
              <w:left w:val="single" w:color="auto" w:sz="4" w:space="0"/>
              <w:bottom w:val="single" w:color="auto" w:sz="4" w:space="0"/>
              <w:right w:val="single" w:color="auto" w:sz="4" w:space="0"/>
            </w:tcBorders>
            <w:vAlign w:val="center"/>
          </w:tcPr>
          <w:p w14:paraId="33F8100D">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当有源医疗器械发生单一故障时，应当采取适当的措施消除或降低因此而产生的风险。</w:t>
            </w:r>
          </w:p>
        </w:tc>
        <w:tc>
          <w:tcPr>
            <w:tcW w:w="1134" w:type="dxa"/>
            <w:tcBorders>
              <w:top w:val="single" w:color="auto" w:sz="4" w:space="0"/>
              <w:left w:val="single" w:color="auto" w:sz="4" w:space="0"/>
              <w:bottom w:val="single" w:color="auto" w:sz="4" w:space="0"/>
              <w:right w:val="single" w:color="auto" w:sz="4" w:space="0"/>
            </w:tcBorders>
            <w:vAlign w:val="center"/>
          </w:tcPr>
          <w:p w14:paraId="547AA3CC">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3D1E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6BD6742">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A7.2</w:t>
            </w:r>
          </w:p>
        </w:tc>
        <w:tc>
          <w:tcPr>
            <w:tcW w:w="6662" w:type="dxa"/>
            <w:tcBorders>
              <w:top w:val="single" w:color="auto" w:sz="4" w:space="0"/>
              <w:left w:val="single" w:color="auto" w:sz="4" w:space="0"/>
              <w:bottom w:val="single" w:color="auto" w:sz="4" w:space="0"/>
              <w:right w:val="single" w:color="auto" w:sz="4" w:space="0"/>
            </w:tcBorders>
            <w:vAlign w:val="center"/>
          </w:tcPr>
          <w:p w14:paraId="46F1C534">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患者的安全依赖于内部电源供电的医疗器械，应当具有检测供电状态的功能，并在电源容量不足时提供适当的提示或警告。</w:t>
            </w:r>
          </w:p>
        </w:tc>
        <w:tc>
          <w:tcPr>
            <w:tcW w:w="1134" w:type="dxa"/>
            <w:tcBorders>
              <w:top w:val="single" w:color="auto" w:sz="4" w:space="0"/>
              <w:left w:val="single" w:color="auto" w:sz="4" w:space="0"/>
              <w:bottom w:val="single" w:color="auto" w:sz="4" w:space="0"/>
              <w:right w:val="single" w:color="auto" w:sz="4" w:space="0"/>
            </w:tcBorders>
            <w:vAlign w:val="center"/>
          </w:tcPr>
          <w:p w14:paraId="3133FBA2">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72AC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75C62E86">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A7.3</w:t>
            </w:r>
          </w:p>
        </w:tc>
        <w:tc>
          <w:tcPr>
            <w:tcW w:w="6662" w:type="dxa"/>
            <w:tcBorders>
              <w:top w:val="single" w:color="auto" w:sz="4" w:space="0"/>
              <w:left w:val="single" w:color="auto" w:sz="4" w:space="0"/>
              <w:bottom w:val="single" w:color="auto" w:sz="4" w:space="0"/>
              <w:right w:val="single" w:color="auto" w:sz="4" w:space="0"/>
            </w:tcBorders>
            <w:vAlign w:val="center"/>
          </w:tcPr>
          <w:p w14:paraId="6489D30B">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患者的安全取决于外部电源供电状态的医疗器械，应当包括可显示任何电源故障的报警系统。</w:t>
            </w:r>
          </w:p>
        </w:tc>
        <w:tc>
          <w:tcPr>
            <w:tcW w:w="1134" w:type="dxa"/>
            <w:tcBorders>
              <w:top w:val="single" w:color="auto" w:sz="4" w:space="0"/>
              <w:left w:val="single" w:color="auto" w:sz="4" w:space="0"/>
              <w:bottom w:val="single" w:color="auto" w:sz="4" w:space="0"/>
              <w:right w:val="single" w:color="auto" w:sz="4" w:space="0"/>
            </w:tcBorders>
            <w:vAlign w:val="center"/>
          </w:tcPr>
          <w:p w14:paraId="1C34C1DA">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2DE06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C6987C4">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A7.4</w:t>
            </w:r>
          </w:p>
        </w:tc>
        <w:tc>
          <w:tcPr>
            <w:tcW w:w="6662" w:type="dxa"/>
            <w:tcBorders>
              <w:top w:val="single" w:color="auto" w:sz="4" w:space="0"/>
              <w:left w:val="single" w:color="auto" w:sz="4" w:space="0"/>
              <w:bottom w:val="single" w:color="auto" w:sz="4" w:space="0"/>
              <w:right w:val="single" w:color="auto" w:sz="4" w:space="0"/>
            </w:tcBorders>
            <w:vAlign w:val="center"/>
          </w:tcPr>
          <w:p w14:paraId="0AFE612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用于监视患者一个或多个临床指标的医疗器械，必须配备适当报警系统，在患者健康状况恶化或危及生命时，向使用者发出警报。</w:t>
            </w:r>
          </w:p>
        </w:tc>
        <w:tc>
          <w:tcPr>
            <w:tcW w:w="1134" w:type="dxa"/>
            <w:tcBorders>
              <w:top w:val="single" w:color="auto" w:sz="4" w:space="0"/>
              <w:left w:val="single" w:color="auto" w:sz="4" w:space="0"/>
              <w:bottom w:val="single" w:color="auto" w:sz="4" w:space="0"/>
              <w:right w:val="single" w:color="auto" w:sz="4" w:space="0"/>
            </w:tcBorders>
            <w:vAlign w:val="center"/>
          </w:tcPr>
          <w:p w14:paraId="66E1CA5A">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不适用</w:t>
            </w:r>
          </w:p>
        </w:tc>
      </w:tr>
      <w:tr w14:paraId="15C3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133077D1">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A7.5</w:t>
            </w:r>
          </w:p>
        </w:tc>
        <w:tc>
          <w:tcPr>
            <w:tcW w:w="6662" w:type="dxa"/>
            <w:tcBorders>
              <w:top w:val="single" w:color="auto" w:sz="4" w:space="0"/>
              <w:left w:val="single" w:color="auto" w:sz="4" w:space="0"/>
              <w:bottom w:val="single" w:color="auto" w:sz="4" w:space="0"/>
              <w:right w:val="single" w:color="auto" w:sz="4" w:space="0"/>
            </w:tcBorders>
            <w:vAlign w:val="center"/>
          </w:tcPr>
          <w:p w14:paraId="008FCAE1">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鉴于电磁干扰可能会损害正常运行的装置或设备，医疗器械的设计和生产应降低产生电磁干扰的风险。</w:t>
            </w:r>
          </w:p>
        </w:tc>
        <w:tc>
          <w:tcPr>
            <w:tcW w:w="1134" w:type="dxa"/>
            <w:tcBorders>
              <w:top w:val="single" w:color="auto" w:sz="4" w:space="0"/>
              <w:left w:val="single" w:color="auto" w:sz="4" w:space="0"/>
              <w:bottom w:val="single" w:color="auto" w:sz="4" w:space="0"/>
              <w:right w:val="single" w:color="auto" w:sz="4" w:space="0"/>
            </w:tcBorders>
            <w:vAlign w:val="center"/>
          </w:tcPr>
          <w:p w14:paraId="703AB342">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70DA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BA594BF">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A7.6</w:t>
            </w:r>
          </w:p>
        </w:tc>
        <w:tc>
          <w:tcPr>
            <w:tcW w:w="6662" w:type="dxa"/>
            <w:tcBorders>
              <w:top w:val="single" w:color="auto" w:sz="4" w:space="0"/>
              <w:left w:val="single" w:color="auto" w:sz="4" w:space="0"/>
              <w:bottom w:val="single" w:color="auto" w:sz="4" w:space="0"/>
              <w:right w:val="single" w:color="auto" w:sz="4" w:space="0"/>
            </w:tcBorders>
            <w:vAlign w:val="center"/>
          </w:tcPr>
          <w:p w14:paraId="374673C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医疗器械的设计和生产，应确保产品具有足够的抗电磁干扰能力，以确保产品的正常运行。</w:t>
            </w:r>
          </w:p>
        </w:tc>
        <w:tc>
          <w:tcPr>
            <w:tcW w:w="1134" w:type="dxa"/>
            <w:tcBorders>
              <w:top w:val="single" w:color="auto" w:sz="4" w:space="0"/>
              <w:left w:val="single" w:color="auto" w:sz="4" w:space="0"/>
              <w:bottom w:val="single" w:color="auto" w:sz="4" w:space="0"/>
              <w:right w:val="single" w:color="auto" w:sz="4" w:space="0"/>
            </w:tcBorders>
            <w:vAlign w:val="center"/>
          </w:tcPr>
          <w:p w14:paraId="3090CAD0">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2628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C4EFD1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A7.7</w:t>
            </w:r>
          </w:p>
        </w:tc>
        <w:tc>
          <w:tcPr>
            <w:tcW w:w="6662" w:type="dxa"/>
            <w:tcBorders>
              <w:top w:val="single" w:color="auto" w:sz="4" w:space="0"/>
              <w:left w:val="single" w:color="auto" w:sz="4" w:space="0"/>
              <w:bottom w:val="single" w:color="auto" w:sz="4" w:space="0"/>
              <w:right w:val="single" w:color="auto" w:sz="4" w:space="0"/>
            </w:tcBorders>
            <w:vAlign w:val="center"/>
          </w:tcPr>
          <w:p w14:paraId="443856D7">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当产品按申请人的说明进行安装和维护，在正常状态和单一故障状态时，医疗器械的设计和生产应减少使用者和他人免于遭受意外电击的风险。</w:t>
            </w:r>
          </w:p>
        </w:tc>
        <w:tc>
          <w:tcPr>
            <w:tcW w:w="1134" w:type="dxa"/>
            <w:tcBorders>
              <w:top w:val="single" w:color="auto" w:sz="4" w:space="0"/>
              <w:left w:val="single" w:color="auto" w:sz="4" w:space="0"/>
              <w:bottom w:val="single" w:color="auto" w:sz="4" w:space="0"/>
              <w:right w:val="single" w:color="auto" w:sz="4" w:space="0"/>
            </w:tcBorders>
            <w:vAlign w:val="center"/>
          </w:tcPr>
          <w:p w14:paraId="628DB4D7">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6FD0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391567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A8</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52E27CAF">
            <w:pPr>
              <w:spacing w:line="400" w:lineRule="exact"/>
              <w:ind w:firstLine="0" w:firstLineChars="0"/>
              <w:jc w:val="left"/>
              <w:rPr>
                <w:kern w:val="0"/>
                <w:sz w:val="28"/>
                <w:szCs w:val="28"/>
              </w:rPr>
            </w:pPr>
            <w:r>
              <w:rPr>
                <w:kern w:val="0"/>
                <w:sz w:val="28"/>
                <w:szCs w:val="28"/>
              </w:rPr>
              <w:t>含有软件的医疗器械以及独立软件</w:t>
            </w:r>
          </w:p>
        </w:tc>
      </w:tr>
      <w:tr w14:paraId="467AC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BE33C75">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A8.1</w:t>
            </w:r>
          </w:p>
        </w:tc>
        <w:tc>
          <w:tcPr>
            <w:tcW w:w="6662" w:type="dxa"/>
            <w:tcBorders>
              <w:top w:val="single" w:color="auto" w:sz="4" w:space="0"/>
              <w:left w:val="single" w:color="auto" w:sz="4" w:space="0"/>
              <w:bottom w:val="single" w:color="auto" w:sz="4" w:space="0"/>
              <w:right w:val="single" w:color="auto" w:sz="4" w:space="0"/>
            </w:tcBorders>
            <w:vAlign w:val="center"/>
          </w:tcPr>
          <w:p w14:paraId="204A6C8B">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1134" w:type="dxa"/>
            <w:tcBorders>
              <w:top w:val="single" w:color="auto" w:sz="4" w:space="0"/>
              <w:left w:val="single" w:color="auto" w:sz="4" w:space="0"/>
              <w:bottom w:val="single" w:color="auto" w:sz="4" w:space="0"/>
              <w:right w:val="single" w:color="auto" w:sz="4" w:space="0"/>
            </w:tcBorders>
            <w:vAlign w:val="center"/>
          </w:tcPr>
          <w:p w14:paraId="63D9120E">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5978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A4FEC1C">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A8.2</w:t>
            </w:r>
          </w:p>
        </w:tc>
        <w:tc>
          <w:tcPr>
            <w:tcW w:w="6662" w:type="dxa"/>
            <w:tcBorders>
              <w:top w:val="single" w:color="auto" w:sz="4" w:space="0"/>
              <w:left w:val="single" w:color="auto" w:sz="4" w:space="0"/>
              <w:bottom w:val="single" w:color="auto" w:sz="4" w:space="0"/>
              <w:right w:val="single" w:color="auto" w:sz="4" w:space="0"/>
            </w:tcBorders>
            <w:vAlign w:val="center"/>
          </w:tcPr>
          <w:p w14:paraId="26BA125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含有软件组件的医疗器械或独立软件，应根据先进技术进行开发、生产和维护，同时应当考虑开发生存周期（如快速迭代开发、频繁更新、更新的累积效应）、风险管理（如系统、环境和数据的变化）等原则，包括信息安全（如安全地进行更新）、验证和确认（如更新管理过程）的要求。</w:t>
            </w:r>
          </w:p>
        </w:tc>
        <w:tc>
          <w:tcPr>
            <w:tcW w:w="1134" w:type="dxa"/>
            <w:tcBorders>
              <w:top w:val="single" w:color="auto" w:sz="4" w:space="0"/>
              <w:left w:val="single" w:color="auto" w:sz="4" w:space="0"/>
              <w:bottom w:val="single" w:color="auto" w:sz="4" w:space="0"/>
              <w:right w:val="single" w:color="auto" w:sz="4" w:space="0"/>
            </w:tcBorders>
            <w:vAlign w:val="center"/>
          </w:tcPr>
          <w:p w14:paraId="5208A383">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0FA5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434516B7">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A8.3</w:t>
            </w:r>
          </w:p>
        </w:tc>
        <w:tc>
          <w:tcPr>
            <w:tcW w:w="6662" w:type="dxa"/>
            <w:tcBorders>
              <w:top w:val="single" w:color="auto" w:sz="4" w:space="0"/>
              <w:left w:val="single" w:color="auto" w:sz="4" w:space="0"/>
              <w:bottom w:val="single" w:color="auto" w:sz="4" w:space="0"/>
              <w:right w:val="single" w:color="auto" w:sz="4" w:space="0"/>
            </w:tcBorders>
            <w:vAlign w:val="center"/>
          </w:tcPr>
          <w:p w14:paraId="361E577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预期与移动计算平台整合使用的软件，其设计和开发，应当考虑平台本身（如屏幕尺寸和对比度、联通性、内存等）以及与其使用相关的外部因素（不同环境下的照明或噪声水平）。</w:t>
            </w:r>
          </w:p>
        </w:tc>
        <w:tc>
          <w:tcPr>
            <w:tcW w:w="1134" w:type="dxa"/>
            <w:tcBorders>
              <w:top w:val="single" w:color="auto" w:sz="4" w:space="0"/>
              <w:left w:val="single" w:color="auto" w:sz="4" w:space="0"/>
              <w:bottom w:val="single" w:color="auto" w:sz="4" w:space="0"/>
              <w:right w:val="single" w:color="auto" w:sz="4" w:space="0"/>
            </w:tcBorders>
            <w:vAlign w:val="center"/>
          </w:tcPr>
          <w:p w14:paraId="40F4ED78">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165E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4B99829A">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A8.4</w:t>
            </w:r>
          </w:p>
        </w:tc>
        <w:tc>
          <w:tcPr>
            <w:tcW w:w="6662" w:type="dxa"/>
            <w:tcBorders>
              <w:top w:val="single" w:color="auto" w:sz="4" w:space="0"/>
              <w:left w:val="single" w:color="auto" w:sz="4" w:space="0"/>
              <w:bottom w:val="single" w:color="auto" w:sz="4" w:space="0"/>
              <w:right w:val="single" w:color="auto" w:sz="4" w:space="0"/>
            </w:tcBorders>
            <w:vAlign w:val="center"/>
          </w:tcPr>
          <w:p w14:paraId="57DFA38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申请人应规定软件按照预期正常运行所必须的最低要求，如硬件、IT网络特性和IT网络安全措施，包括未经授权的访问。</w:t>
            </w:r>
          </w:p>
        </w:tc>
        <w:tc>
          <w:tcPr>
            <w:tcW w:w="1134" w:type="dxa"/>
            <w:tcBorders>
              <w:top w:val="single" w:color="auto" w:sz="4" w:space="0"/>
              <w:left w:val="single" w:color="auto" w:sz="4" w:space="0"/>
              <w:bottom w:val="single" w:color="auto" w:sz="4" w:space="0"/>
              <w:right w:val="single" w:color="auto" w:sz="4" w:space="0"/>
            </w:tcBorders>
            <w:vAlign w:val="center"/>
          </w:tcPr>
          <w:p w14:paraId="34614B2B">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13D9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6B711E79">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A8.5</w:t>
            </w:r>
          </w:p>
        </w:tc>
        <w:tc>
          <w:tcPr>
            <w:tcW w:w="6662" w:type="dxa"/>
            <w:tcBorders>
              <w:top w:val="single" w:color="auto" w:sz="4" w:space="0"/>
              <w:left w:val="single" w:color="auto" w:sz="4" w:space="0"/>
              <w:bottom w:val="single" w:color="auto" w:sz="4" w:space="0"/>
              <w:right w:val="single" w:color="auto" w:sz="4" w:space="0"/>
            </w:tcBorders>
            <w:vAlign w:val="center"/>
          </w:tcPr>
          <w:p w14:paraId="5860D41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医疗器械的设计、生产和维护应能提供足够的网络安全水平，以防止未经授权的访问。</w:t>
            </w:r>
          </w:p>
        </w:tc>
        <w:tc>
          <w:tcPr>
            <w:tcW w:w="1134" w:type="dxa"/>
            <w:tcBorders>
              <w:top w:val="single" w:color="auto" w:sz="4" w:space="0"/>
              <w:left w:val="single" w:color="auto" w:sz="4" w:space="0"/>
              <w:bottom w:val="single" w:color="auto" w:sz="4" w:space="0"/>
              <w:right w:val="single" w:color="auto" w:sz="4" w:space="0"/>
            </w:tcBorders>
            <w:vAlign w:val="center"/>
          </w:tcPr>
          <w:p w14:paraId="6512EFE4">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视情况</w:t>
            </w:r>
          </w:p>
        </w:tc>
      </w:tr>
      <w:tr w14:paraId="508D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E2BC09C">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A9</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6F04928B">
            <w:pPr>
              <w:spacing w:line="400" w:lineRule="exact"/>
              <w:ind w:firstLine="0" w:firstLineChars="0"/>
              <w:jc w:val="left"/>
              <w:rPr>
                <w:kern w:val="0"/>
                <w:sz w:val="28"/>
                <w:szCs w:val="28"/>
              </w:rPr>
            </w:pPr>
            <w:r>
              <w:rPr>
                <w:kern w:val="0"/>
                <w:sz w:val="28"/>
                <w:szCs w:val="28"/>
              </w:rPr>
              <w:t>具有诊断或测量功能的医疗器械</w:t>
            </w:r>
          </w:p>
        </w:tc>
      </w:tr>
      <w:tr w14:paraId="15D9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5"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9CDC96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A9.1</w:t>
            </w:r>
          </w:p>
        </w:tc>
        <w:tc>
          <w:tcPr>
            <w:tcW w:w="6662" w:type="dxa"/>
            <w:tcBorders>
              <w:top w:val="single" w:color="auto" w:sz="4" w:space="0"/>
              <w:left w:val="single" w:color="auto" w:sz="4" w:space="0"/>
              <w:bottom w:val="single" w:color="auto" w:sz="4" w:space="0"/>
              <w:right w:val="single" w:color="auto" w:sz="4" w:space="0"/>
            </w:tcBorders>
            <w:vAlign w:val="center"/>
          </w:tcPr>
          <w:p w14:paraId="7BA031C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具有诊断或测量（包括监测）功能的医疗器械的设计和生产，应当基于适当的科技方法，除其他性能外，还应确保相应的准确度、精密度和稳定性，以实现其预期目的。</w:t>
            </w:r>
          </w:p>
          <w:p w14:paraId="5E93D6D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申请人应规定准确度限值（如适用）。</w:t>
            </w:r>
          </w:p>
          <w:p w14:paraId="4B07F486">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为便于使用者理解和接受，数字化测量值应以标准化单位表示（如可能），推荐使用国际通用的标准计量单位，考虑到安全、使用者的熟悉程度和既往的临床实践，也可使用其他公认的计量单位。</w:t>
            </w:r>
          </w:p>
          <w:p w14:paraId="07048FF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c)</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医疗器械导示器和控制器的功能应有详细的说明，若器械通过可视化系统提供与操作、操作指示或调整参数有关的说明，该类信息应能够被使用者和患者（适用时）理解。</w:t>
            </w:r>
          </w:p>
        </w:tc>
        <w:tc>
          <w:tcPr>
            <w:tcW w:w="1134" w:type="dxa"/>
            <w:tcBorders>
              <w:top w:val="single" w:color="auto" w:sz="4" w:space="0"/>
              <w:left w:val="single" w:color="auto" w:sz="4" w:space="0"/>
              <w:bottom w:val="single" w:color="auto" w:sz="4" w:space="0"/>
              <w:right w:val="single" w:color="auto" w:sz="4" w:space="0"/>
            </w:tcBorders>
            <w:vAlign w:val="center"/>
          </w:tcPr>
          <w:p w14:paraId="32D19939">
            <w:pPr>
              <w:pStyle w:val="47"/>
              <w:spacing w:line="400" w:lineRule="exact"/>
              <w:jc w:val="center"/>
              <w:rPr>
                <w:rFonts w:hint="eastAsia" w:ascii="Times New Roman" w:hAnsi="Times New Roman" w:eastAsia="仿宋_GB2312"/>
                <w:bCs w:val="0"/>
                <w:color w:val="auto"/>
                <w:sz w:val="28"/>
                <w:szCs w:val="28"/>
                <w:lang w:eastAsia="zh-CN"/>
              </w:rPr>
            </w:pPr>
            <w:r>
              <w:rPr>
                <w:rFonts w:hint="eastAsia" w:ascii="Times New Roman" w:hAnsi="Times New Roman" w:eastAsia="仿宋_GB2312"/>
                <w:bCs w:val="0"/>
                <w:color w:val="auto"/>
                <w:sz w:val="28"/>
                <w:szCs w:val="28"/>
                <w:lang w:eastAsia="zh-CN"/>
              </w:rPr>
              <w:t>不适用</w:t>
            </w:r>
          </w:p>
        </w:tc>
      </w:tr>
      <w:tr w14:paraId="13A6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4D6646F">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A10</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2C3798B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说明书和标签</w:t>
            </w:r>
          </w:p>
        </w:tc>
      </w:tr>
      <w:tr w14:paraId="6A89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E2D4361">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A10.1</w:t>
            </w:r>
          </w:p>
        </w:tc>
        <w:tc>
          <w:tcPr>
            <w:tcW w:w="6662" w:type="dxa"/>
            <w:tcBorders>
              <w:top w:val="single" w:color="auto" w:sz="4" w:space="0"/>
              <w:left w:val="single" w:color="auto" w:sz="4" w:space="0"/>
              <w:bottom w:val="single" w:color="auto" w:sz="4" w:space="0"/>
              <w:right w:val="single" w:color="auto" w:sz="4" w:space="0"/>
            </w:tcBorders>
            <w:vAlign w:val="center"/>
          </w:tcPr>
          <w:p w14:paraId="32B40D1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1134" w:type="dxa"/>
            <w:tcBorders>
              <w:top w:val="single" w:color="auto" w:sz="4" w:space="0"/>
              <w:left w:val="single" w:color="auto" w:sz="4" w:space="0"/>
              <w:bottom w:val="single" w:color="auto" w:sz="4" w:space="0"/>
              <w:right w:val="single" w:color="auto" w:sz="4" w:space="0"/>
            </w:tcBorders>
            <w:vAlign w:val="center"/>
          </w:tcPr>
          <w:p w14:paraId="1E84C8A8">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15FA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E6A2040">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687864C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辐射防护</w:t>
            </w:r>
          </w:p>
        </w:tc>
      </w:tr>
      <w:tr w14:paraId="409C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741646AD">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A11.1</w:t>
            </w:r>
          </w:p>
        </w:tc>
        <w:tc>
          <w:tcPr>
            <w:tcW w:w="6662" w:type="dxa"/>
            <w:tcBorders>
              <w:top w:val="single" w:color="auto" w:sz="4" w:space="0"/>
              <w:left w:val="single" w:color="auto" w:sz="4" w:space="0"/>
              <w:bottom w:val="single" w:color="auto" w:sz="4" w:space="0"/>
              <w:right w:val="single" w:color="auto" w:sz="4" w:space="0"/>
            </w:tcBorders>
            <w:vAlign w:val="center"/>
          </w:tcPr>
          <w:p w14:paraId="1254576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医疗器械的设计、生产和包装应当考虑尽量减少使用者、他人和患者（如适用）的辐射吸收剂量，同时不影响其诊断或治疗功能。</w:t>
            </w:r>
          </w:p>
        </w:tc>
        <w:tc>
          <w:tcPr>
            <w:tcW w:w="1134" w:type="dxa"/>
            <w:tcBorders>
              <w:top w:val="single" w:color="auto" w:sz="4" w:space="0"/>
              <w:left w:val="single" w:color="auto" w:sz="4" w:space="0"/>
              <w:bottom w:val="single" w:color="auto" w:sz="4" w:space="0"/>
              <w:right w:val="single" w:color="auto" w:sz="4" w:space="0"/>
            </w:tcBorders>
            <w:vAlign w:val="center"/>
          </w:tcPr>
          <w:p w14:paraId="79DE7698">
            <w:pPr>
              <w:pStyle w:val="47"/>
              <w:spacing w:line="400" w:lineRule="exact"/>
              <w:jc w:val="center"/>
              <w:rPr>
                <w:rFonts w:ascii="Times New Roman" w:hAnsi="Times New Roman" w:eastAsia="仿宋_GB2312"/>
                <w:bCs w:val="0"/>
                <w:color w:val="auto"/>
                <w:sz w:val="28"/>
                <w:szCs w:val="28"/>
              </w:rPr>
            </w:pPr>
            <w:r>
              <w:rPr>
                <w:rFonts w:hint="eastAsia" w:ascii="Times New Roman" w:hAnsi="Times New Roman" w:eastAsia="仿宋_GB2312"/>
                <w:bCs w:val="0"/>
                <w:color w:val="auto"/>
                <w:sz w:val="28"/>
                <w:szCs w:val="28"/>
                <w:lang w:eastAsia="zh-CN"/>
              </w:rPr>
              <w:t>不适用</w:t>
            </w:r>
          </w:p>
        </w:tc>
      </w:tr>
      <w:tr w14:paraId="4580E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AA38927">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A11.2</w:t>
            </w:r>
          </w:p>
        </w:tc>
        <w:tc>
          <w:tcPr>
            <w:tcW w:w="6662" w:type="dxa"/>
            <w:tcBorders>
              <w:top w:val="single" w:color="auto" w:sz="4" w:space="0"/>
              <w:left w:val="single" w:color="auto" w:sz="4" w:space="0"/>
              <w:bottom w:val="single" w:color="auto" w:sz="4" w:space="0"/>
              <w:right w:val="single" w:color="auto" w:sz="4" w:space="0"/>
            </w:tcBorders>
            <w:vAlign w:val="center"/>
          </w:tcPr>
          <w:p w14:paraId="7C9BA4D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具有辐射或潜在辐射危害的医疗器械，其操作说明应详细说明辐射的性质，对使用者、他人或患者（若适用）的防护措施，避免误用的方法，降低运输、贮存和安装的风险。</w:t>
            </w:r>
          </w:p>
        </w:tc>
        <w:tc>
          <w:tcPr>
            <w:tcW w:w="1134" w:type="dxa"/>
            <w:tcBorders>
              <w:top w:val="single" w:color="auto" w:sz="4" w:space="0"/>
              <w:left w:val="single" w:color="auto" w:sz="4" w:space="0"/>
              <w:bottom w:val="single" w:color="auto" w:sz="4" w:space="0"/>
              <w:right w:val="single" w:color="auto" w:sz="4" w:space="0"/>
            </w:tcBorders>
            <w:vAlign w:val="center"/>
          </w:tcPr>
          <w:p w14:paraId="68005A51">
            <w:pPr>
              <w:pStyle w:val="47"/>
              <w:spacing w:line="400" w:lineRule="exact"/>
              <w:jc w:val="center"/>
              <w:rPr>
                <w:rFonts w:ascii="Times New Roman" w:hAnsi="Times New Roman" w:eastAsia="仿宋_GB2312"/>
                <w:bCs w:val="0"/>
                <w:color w:val="auto"/>
                <w:sz w:val="28"/>
                <w:szCs w:val="28"/>
              </w:rPr>
            </w:pPr>
            <w:r>
              <w:rPr>
                <w:rFonts w:hint="eastAsia" w:ascii="Times New Roman" w:hAnsi="Times New Roman" w:eastAsia="仿宋_GB2312"/>
                <w:bCs w:val="0"/>
                <w:color w:val="auto"/>
                <w:sz w:val="28"/>
                <w:szCs w:val="28"/>
                <w:lang w:eastAsia="zh-CN"/>
              </w:rPr>
              <w:t>不</w:t>
            </w:r>
            <w:r>
              <w:rPr>
                <w:rFonts w:ascii="Times New Roman" w:hAnsi="Times New Roman" w:eastAsia="仿宋_GB2312"/>
                <w:bCs w:val="0"/>
                <w:color w:val="auto"/>
                <w:sz w:val="28"/>
                <w:szCs w:val="28"/>
              </w:rPr>
              <w:t>适用</w:t>
            </w:r>
          </w:p>
        </w:tc>
      </w:tr>
      <w:tr w14:paraId="103A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9CEB2A8">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A11.3</w:t>
            </w:r>
          </w:p>
        </w:tc>
        <w:tc>
          <w:tcPr>
            <w:tcW w:w="6662" w:type="dxa"/>
            <w:tcBorders>
              <w:top w:val="single" w:color="auto" w:sz="4" w:space="0"/>
              <w:left w:val="single" w:color="auto" w:sz="4" w:space="0"/>
              <w:bottom w:val="single" w:color="auto" w:sz="4" w:space="0"/>
              <w:right w:val="single" w:color="auto" w:sz="4" w:space="0"/>
            </w:tcBorders>
            <w:vAlign w:val="center"/>
          </w:tcPr>
          <w:p w14:paraId="2D704E0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若医疗器械有辐射或有潜在辐射危害，应当具备辐射泄漏声光报警功能（如可行）。</w:t>
            </w:r>
          </w:p>
        </w:tc>
        <w:tc>
          <w:tcPr>
            <w:tcW w:w="1134" w:type="dxa"/>
            <w:tcBorders>
              <w:top w:val="single" w:color="auto" w:sz="4" w:space="0"/>
              <w:left w:val="single" w:color="auto" w:sz="4" w:space="0"/>
              <w:bottom w:val="single" w:color="auto" w:sz="4" w:space="0"/>
              <w:right w:val="single" w:color="auto" w:sz="4" w:space="0"/>
            </w:tcBorders>
            <w:vAlign w:val="center"/>
          </w:tcPr>
          <w:p w14:paraId="116DF47A">
            <w:pPr>
              <w:pStyle w:val="47"/>
              <w:spacing w:line="400" w:lineRule="exact"/>
              <w:jc w:val="center"/>
              <w:rPr>
                <w:rFonts w:ascii="Times New Roman" w:hAnsi="Times New Roman" w:eastAsia="仿宋_GB2312"/>
                <w:bCs w:val="0"/>
                <w:color w:val="auto"/>
                <w:sz w:val="28"/>
                <w:szCs w:val="28"/>
              </w:rPr>
            </w:pPr>
            <w:r>
              <w:rPr>
                <w:rFonts w:hint="eastAsia" w:ascii="Times New Roman" w:hAnsi="Times New Roman" w:eastAsia="仿宋_GB2312"/>
                <w:bCs w:val="0"/>
                <w:color w:val="auto"/>
                <w:sz w:val="28"/>
                <w:szCs w:val="28"/>
                <w:lang w:eastAsia="zh-CN"/>
              </w:rPr>
              <w:t>不</w:t>
            </w:r>
            <w:r>
              <w:rPr>
                <w:rFonts w:ascii="Times New Roman" w:hAnsi="Times New Roman" w:eastAsia="仿宋_GB2312"/>
                <w:bCs w:val="0"/>
                <w:color w:val="auto"/>
                <w:sz w:val="28"/>
                <w:szCs w:val="28"/>
              </w:rPr>
              <w:t>适用</w:t>
            </w:r>
          </w:p>
        </w:tc>
      </w:tr>
      <w:tr w14:paraId="588A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CE73193">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A11.4</w:t>
            </w:r>
          </w:p>
        </w:tc>
        <w:tc>
          <w:tcPr>
            <w:tcW w:w="6662" w:type="dxa"/>
            <w:tcBorders>
              <w:top w:val="single" w:color="auto" w:sz="4" w:space="0"/>
              <w:left w:val="single" w:color="auto" w:sz="4" w:space="0"/>
              <w:bottom w:val="single" w:color="auto" w:sz="4" w:space="0"/>
              <w:right w:val="single" w:color="auto" w:sz="4" w:space="0"/>
            </w:tcBorders>
            <w:vAlign w:val="center"/>
          </w:tcPr>
          <w:p w14:paraId="7F71F818">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1134" w:type="dxa"/>
            <w:tcBorders>
              <w:top w:val="single" w:color="auto" w:sz="4" w:space="0"/>
              <w:left w:val="single" w:color="auto" w:sz="4" w:space="0"/>
              <w:bottom w:val="single" w:color="auto" w:sz="4" w:space="0"/>
              <w:right w:val="single" w:color="auto" w:sz="4" w:space="0"/>
            </w:tcBorders>
            <w:vAlign w:val="center"/>
          </w:tcPr>
          <w:p w14:paraId="26699CC1">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2B36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9471786">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A11.5</w:t>
            </w:r>
          </w:p>
        </w:tc>
        <w:tc>
          <w:tcPr>
            <w:tcW w:w="6662" w:type="dxa"/>
            <w:tcBorders>
              <w:top w:val="single" w:color="auto" w:sz="4" w:space="0"/>
              <w:left w:val="single" w:color="auto" w:sz="4" w:space="0"/>
              <w:bottom w:val="single" w:color="auto" w:sz="4" w:space="0"/>
              <w:right w:val="single" w:color="auto" w:sz="4" w:space="0"/>
            </w:tcBorders>
            <w:vAlign w:val="center"/>
          </w:tcPr>
          <w:p w14:paraId="748D9DD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具有辐射或潜在辐射危害且需要安装的医疗器械，应当在操作说明中明确有关验收和性能测试、验收标准及维护程序的信息。</w:t>
            </w:r>
          </w:p>
        </w:tc>
        <w:tc>
          <w:tcPr>
            <w:tcW w:w="1134" w:type="dxa"/>
            <w:tcBorders>
              <w:top w:val="single" w:color="auto" w:sz="4" w:space="0"/>
              <w:left w:val="single" w:color="auto" w:sz="4" w:space="0"/>
              <w:bottom w:val="single" w:color="auto" w:sz="4" w:space="0"/>
              <w:right w:val="single" w:color="auto" w:sz="4" w:space="0"/>
            </w:tcBorders>
            <w:vAlign w:val="center"/>
          </w:tcPr>
          <w:p w14:paraId="29E53319">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0FDE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ECC5DC3">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A11.6</w:t>
            </w:r>
          </w:p>
        </w:tc>
        <w:tc>
          <w:tcPr>
            <w:tcW w:w="6662" w:type="dxa"/>
            <w:tcBorders>
              <w:top w:val="single" w:color="auto" w:sz="4" w:space="0"/>
              <w:left w:val="single" w:color="auto" w:sz="4" w:space="0"/>
              <w:bottom w:val="single" w:color="auto" w:sz="4" w:space="0"/>
              <w:right w:val="single" w:color="auto" w:sz="4" w:space="0"/>
            </w:tcBorders>
            <w:vAlign w:val="center"/>
          </w:tcPr>
          <w:p w14:paraId="63B14AA3">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若医疗器械对使用者有辐射或潜在辐射危害，其设计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1134" w:type="dxa"/>
            <w:tcBorders>
              <w:top w:val="single" w:color="auto" w:sz="4" w:space="0"/>
              <w:left w:val="single" w:color="auto" w:sz="4" w:space="0"/>
              <w:bottom w:val="single" w:color="auto" w:sz="4" w:space="0"/>
              <w:right w:val="single" w:color="auto" w:sz="4" w:space="0"/>
            </w:tcBorders>
            <w:vAlign w:val="center"/>
          </w:tcPr>
          <w:p w14:paraId="1FBC72D3">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适用</w:t>
            </w:r>
          </w:p>
        </w:tc>
      </w:tr>
      <w:tr w14:paraId="618E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411F59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A12</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7C5844CF">
            <w:pPr>
              <w:spacing w:line="400" w:lineRule="exact"/>
              <w:ind w:firstLine="0" w:firstLineChars="0"/>
              <w:jc w:val="left"/>
              <w:rPr>
                <w:kern w:val="0"/>
                <w:sz w:val="28"/>
                <w:szCs w:val="28"/>
              </w:rPr>
            </w:pPr>
            <w:r>
              <w:rPr>
                <w:kern w:val="0"/>
                <w:sz w:val="28"/>
                <w:szCs w:val="28"/>
              </w:rPr>
              <w:t>对非专业用户使用风险的防护</w:t>
            </w:r>
          </w:p>
        </w:tc>
      </w:tr>
      <w:tr w14:paraId="2482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A37665B">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A12.1</w:t>
            </w:r>
          </w:p>
        </w:tc>
        <w:tc>
          <w:tcPr>
            <w:tcW w:w="6662" w:type="dxa"/>
            <w:tcBorders>
              <w:top w:val="single" w:color="auto" w:sz="4" w:space="0"/>
              <w:left w:val="single" w:color="auto" w:sz="4" w:space="0"/>
              <w:bottom w:val="single" w:color="auto" w:sz="4" w:space="0"/>
              <w:right w:val="single" w:color="auto" w:sz="4" w:space="0"/>
            </w:tcBorders>
            <w:vAlign w:val="center"/>
          </w:tcPr>
          <w:p w14:paraId="49F3AEEB">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对于非专业用户使用的医疗器械（如自测或近患者检测），为保证医疗器械的正常使用，其设计和生产应当考虑非专业用户的操作技能，以及因非专业用户技术和使用环境的不同对结果的影响。申请人提供的信息和说明应易于理解和使用，并可对结果做出解释。</w:t>
            </w:r>
          </w:p>
        </w:tc>
        <w:tc>
          <w:tcPr>
            <w:tcW w:w="1134" w:type="dxa"/>
            <w:tcBorders>
              <w:top w:val="single" w:color="auto" w:sz="4" w:space="0"/>
              <w:left w:val="single" w:color="auto" w:sz="4" w:space="0"/>
              <w:bottom w:val="single" w:color="auto" w:sz="4" w:space="0"/>
              <w:right w:val="single" w:color="auto" w:sz="4" w:space="0"/>
            </w:tcBorders>
            <w:vAlign w:val="center"/>
          </w:tcPr>
          <w:p w14:paraId="747B00CC">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不适用</w:t>
            </w:r>
          </w:p>
        </w:tc>
      </w:tr>
      <w:tr w14:paraId="7B4B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2EF712B8">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A12.2</w:t>
            </w:r>
          </w:p>
        </w:tc>
        <w:tc>
          <w:tcPr>
            <w:tcW w:w="6662" w:type="dxa"/>
            <w:tcBorders>
              <w:top w:val="single" w:color="auto" w:sz="4" w:space="0"/>
              <w:left w:val="single" w:color="auto" w:sz="4" w:space="0"/>
              <w:bottom w:val="single" w:color="auto" w:sz="4" w:space="0"/>
              <w:right w:val="single" w:color="auto" w:sz="4" w:space="0"/>
            </w:tcBorders>
            <w:vAlign w:val="center"/>
          </w:tcPr>
          <w:p w14:paraId="0C70442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供非专业用户使用的医疗器械（如自测或近患者检测）的设计和生产应当：</w:t>
            </w:r>
          </w:p>
          <w:p w14:paraId="1611D3F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确保使用者可以按照使用说明书的规定安全准确的使用。当无法将与说明书相关的风险降低到适当水平时，可以通过培训来降低此类风险；</w:t>
            </w:r>
          </w:p>
          <w:p w14:paraId="33F3A06C">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尽可能减少非专业用户因错误操作和错误解释结果导致的风险。</w:t>
            </w:r>
          </w:p>
        </w:tc>
        <w:tc>
          <w:tcPr>
            <w:tcW w:w="1134" w:type="dxa"/>
            <w:tcBorders>
              <w:top w:val="single" w:color="auto" w:sz="4" w:space="0"/>
              <w:left w:val="single" w:color="auto" w:sz="4" w:space="0"/>
              <w:bottom w:val="single" w:color="auto" w:sz="4" w:space="0"/>
              <w:right w:val="single" w:color="auto" w:sz="4" w:space="0"/>
            </w:tcBorders>
            <w:vAlign w:val="center"/>
          </w:tcPr>
          <w:p w14:paraId="28716277">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不适用</w:t>
            </w:r>
          </w:p>
        </w:tc>
      </w:tr>
      <w:tr w14:paraId="177D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8A05B77">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A12.3</w:t>
            </w:r>
          </w:p>
        </w:tc>
        <w:tc>
          <w:tcPr>
            <w:tcW w:w="6662" w:type="dxa"/>
            <w:tcBorders>
              <w:top w:val="single" w:color="auto" w:sz="4" w:space="0"/>
              <w:left w:val="single" w:color="auto" w:sz="4" w:space="0"/>
              <w:bottom w:val="single" w:color="auto" w:sz="4" w:space="0"/>
              <w:right w:val="single" w:color="auto" w:sz="4" w:space="0"/>
            </w:tcBorders>
            <w:vAlign w:val="center"/>
          </w:tcPr>
          <w:p w14:paraId="5800B6FF">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供非专业用户使用的医疗器械可通过以下措施方便用户：</w:t>
            </w:r>
          </w:p>
          <w:p w14:paraId="6E96E4B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在使用时，可以验证器械的正常运行；</w:t>
            </w:r>
          </w:p>
          <w:p w14:paraId="7AE44CB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当器械不能正常运行或提供无效结果时，会发出警告。</w:t>
            </w:r>
          </w:p>
        </w:tc>
        <w:tc>
          <w:tcPr>
            <w:tcW w:w="1134" w:type="dxa"/>
            <w:tcBorders>
              <w:top w:val="single" w:color="auto" w:sz="4" w:space="0"/>
              <w:left w:val="single" w:color="auto" w:sz="4" w:space="0"/>
              <w:bottom w:val="single" w:color="auto" w:sz="4" w:space="0"/>
              <w:right w:val="single" w:color="auto" w:sz="4" w:space="0"/>
            </w:tcBorders>
            <w:vAlign w:val="center"/>
          </w:tcPr>
          <w:p w14:paraId="4E5E92E3">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不适用</w:t>
            </w:r>
          </w:p>
        </w:tc>
      </w:tr>
      <w:tr w14:paraId="6E08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3C82BEAE">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A13</w:t>
            </w:r>
          </w:p>
        </w:tc>
        <w:tc>
          <w:tcPr>
            <w:tcW w:w="7796" w:type="dxa"/>
            <w:gridSpan w:val="2"/>
            <w:tcBorders>
              <w:top w:val="single" w:color="auto" w:sz="4" w:space="0"/>
              <w:left w:val="single" w:color="auto" w:sz="4" w:space="0"/>
              <w:bottom w:val="single" w:color="auto" w:sz="4" w:space="0"/>
              <w:right w:val="single" w:color="auto" w:sz="4" w:space="0"/>
            </w:tcBorders>
            <w:vAlign w:val="center"/>
          </w:tcPr>
          <w:p w14:paraId="155DAF5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含有生物源材料的医疗器械</w:t>
            </w:r>
          </w:p>
        </w:tc>
      </w:tr>
      <w:tr w14:paraId="7769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AC3B309">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A13.1</w:t>
            </w:r>
          </w:p>
        </w:tc>
        <w:tc>
          <w:tcPr>
            <w:tcW w:w="6662" w:type="dxa"/>
            <w:tcBorders>
              <w:top w:val="single" w:color="auto" w:sz="4" w:space="0"/>
              <w:left w:val="single" w:color="auto" w:sz="4" w:space="0"/>
              <w:bottom w:val="single" w:color="auto" w:sz="4" w:space="0"/>
              <w:right w:val="single" w:color="auto" w:sz="4" w:space="0"/>
            </w:tcBorders>
            <w:vAlign w:val="center"/>
          </w:tcPr>
          <w:p w14:paraId="5068DE2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对于含有动植物组织、细胞或其它物质，细菌来源物质或衍生物的医疗器械，若无活性或以非活性状态交付，应当：</w:t>
            </w:r>
          </w:p>
          <w:p w14:paraId="127305C2">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组织、细胞及其衍生物应来源于已受控且符合预期用途的动物种属。动物的地理来源信息应根据相关法规要求予以保留。</w:t>
            </w:r>
          </w:p>
          <w:p w14:paraId="095EF43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1134" w:type="dxa"/>
            <w:tcBorders>
              <w:top w:val="single" w:color="auto" w:sz="4" w:space="0"/>
              <w:left w:val="single" w:color="auto" w:sz="4" w:space="0"/>
              <w:bottom w:val="single" w:color="auto" w:sz="4" w:space="0"/>
              <w:right w:val="single" w:color="auto" w:sz="4" w:space="0"/>
            </w:tcBorders>
            <w:vAlign w:val="center"/>
          </w:tcPr>
          <w:p w14:paraId="6D173114">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不适用</w:t>
            </w:r>
          </w:p>
        </w:tc>
      </w:tr>
      <w:tr w14:paraId="6370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5"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44BD7E7">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A13.2</w:t>
            </w:r>
          </w:p>
        </w:tc>
        <w:tc>
          <w:tcPr>
            <w:tcW w:w="6662" w:type="dxa"/>
            <w:tcBorders>
              <w:top w:val="single" w:color="auto" w:sz="4" w:space="0"/>
              <w:left w:val="single" w:color="auto" w:sz="4" w:space="0"/>
              <w:bottom w:val="single" w:color="auto" w:sz="4" w:space="0"/>
              <w:right w:val="single" w:color="auto" w:sz="4" w:space="0"/>
            </w:tcBorders>
            <w:vAlign w:val="center"/>
          </w:tcPr>
          <w:p w14:paraId="6720350A">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对于监管部门而言，当医疗器械由人体来源的组织、细胞、物质或其衍生物生产时，应当采取以下措施：</w:t>
            </w:r>
          </w:p>
          <w:p w14:paraId="4D64F659">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a)</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组织、细胞的捐赠、获取和检测应依据相关法规的要求进行；</w:t>
            </w:r>
          </w:p>
          <w:p w14:paraId="6BE41823">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b)</w:t>
            </w:r>
            <w:r>
              <w:rPr>
                <w:rFonts w:ascii="Times New Roman" w:hAnsi="Times New Roman" w:eastAsia="仿宋_GB2312"/>
                <w:bCs w:val="0"/>
                <w:color w:val="auto"/>
                <w:sz w:val="28"/>
                <w:szCs w:val="28"/>
              </w:rPr>
              <w:tab/>
            </w:r>
            <w:r>
              <w:rPr>
                <w:rFonts w:ascii="Times New Roman" w:hAnsi="Times New Roman" w:eastAsia="仿宋_GB2312"/>
                <w:bCs w:val="0"/>
                <w:color w:val="auto"/>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1134" w:type="dxa"/>
            <w:tcBorders>
              <w:top w:val="single" w:color="auto" w:sz="4" w:space="0"/>
              <w:left w:val="single" w:color="auto" w:sz="4" w:space="0"/>
              <w:bottom w:val="single" w:color="auto" w:sz="4" w:space="0"/>
              <w:right w:val="single" w:color="auto" w:sz="4" w:space="0"/>
            </w:tcBorders>
            <w:vAlign w:val="center"/>
          </w:tcPr>
          <w:p w14:paraId="12D13BA5">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不适用</w:t>
            </w:r>
          </w:p>
        </w:tc>
      </w:tr>
      <w:tr w14:paraId="45B0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vAlign w:val="center"/>
          </w:tcPr>
          <w:p w14:paraId="4A2C8AED">
            <w:pPr>
              <w:pStyle w:val="47"/>
              <w:spacing w:line="400" w:lineRule="exact"/>
              <w:jc w:val="center"/>
              <w:rPr>
                <w:rFonts w:ascii="Times New Roman" w:hAnsi="Times New Roman"/>
                <w:color w:val="auto"/>
                <w:sz w:val="28"/>
                <w:szCs w:val="28"/>
              </w:rPr>
            </w:pPr>
            <w:r>
              <w:rPr>
                <w:rFonts w:ascii="Times New Roman" w:hAnsi="Times New Roman"/>
                <w:color w:val="auto"/>
                <w:sz w:val="28"/>
                <w:szCs w:val="28"/>
              </w:rPr>
              <w:t>A13.3</w:t>
            </w:r>
          </w:p>
        </w:tc>
        <w:tc>
          <w:tcPr>
            <w:tcW w:w="6662" w:type="dxa"/>
            <w:tcBorders>
              <w:top w:val="single" w:color="auto" w:sz="4" w:space="0"/>
              <w:left w:val="single" w:color="auto" w:sz="4" w:space="0"/>
              <w:bottom w:val="single" w:color="auto" w:sz="4" w:space="0"/>
              <w:right w:val="single" w:color="auto" w:sz="4" w:space="0"/>
            </w:tcBorders>
            <w:vAlign w:val="center"/>
          </w:tcPr>
          <w:p w14:paraId="3C5D15CE">
            <w:pPr>
              <w:pStyle w:val="47"/>
              <w:spacing w:line="400" w:lineRule="exact"/>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当医疗器械使用A13.1、A13.2以外的生物物质（例如植物或细菌来源的材料）生产时，其加工、保存、检测和处理应确保患者、用户以及其他人员（如废弃物处置人员等）的安全。对于病毒和其他传染源，为确保安全，应通过源头控制，或在生产过程中通过经验证的先进技术消除或灭活。</w:t>
            </w:r>
          </w:p>
        </w:tc>
        <w:tc>
          <w:tcPr>
            <w:tcW w:w="1134" w:type="dxa"/>
            <w:tcBorders>
              <w:top w:val="single" w:color="auto" w:sz="4" w:space="0"/>
              <w:left w:val="single" w:color="auto" w:sz="4" w:space="0"/>
              <w:bottom w:val="single" w:color="auto" w:sz="4" w:space="0"/>
              <w:right w:val="single" w:color="auto" w:sz="4" w:space="0"/>
            </w:tcBorders>
            <w:vAlign w:val="center"/>
          </w:tcPr>
          <w:p w14:paraId="55BF93F7">
            <w:pPr>
              <w:pStyle w:val="47"/>
              <w:spacing w:line="400" w:lineRule="exact"/>
              <w:jc w:val="center"/>
              <w:rPr>
                <w:rFonts w:ascii="Times New Roman" w:hAnsi="Times New Roman" w:eastAsia="仿宋_GB2312"/>
                <w:bCs w:val="0"/>
                <w:color w:val="auto"/>
                <w:sz w:val="28"/>
                <w:szCs w:val="28"/>
              </w:rPr>
            </w:pPr>
            <w:r>
              <w:rPr>
                <w:rFonts w:ascii="Times New Roman" w:hAnsi="Times New Roman" w:eastAsia="仿宋_GB2312"/>
                <w:bCs w:val="0"/>
                <w:color w:val="auto"/>
                <w:sz w:val="28"/>
                <w:szCs w:val="28"/>
              </w:rPr>
              <w:t>不适用</w:t>
            </w:r>
          </w:p>
        </w:tc>
      </w:tr>
    </w:tbl>
    <w:p w14:paraId="4428E68F">
      <w:pPr>
        <w:widowControl/>
        <w:spacing w:line="520" w:lineRule="exact"/>
        <w:ind w:firstLine="640"/>
        <w:jc w:val="left"/>
        <w:outlineLvl w:val="9"/>
        <w:rPr>
          <w:rFonts w:eastAsia="黑体"/>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701" w:right="1588" w:bottom="1701" w:left="1588" w:header="851" w:footer="1219" w:gutter="0"/>
      <w:lnNumType w:countBy="1" w:restart="continuous"/>
      <w:pgNumType w:start="637"/>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88CCE">
    <w:pPr>
      <w:pStyle w:val="13"/>
      <w:ind w:firstLine="36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41503">
    <w:pPr>
      <w:pStyle w:val="13"/>
      <w:ind w:firstLine="0" w:firstLineChars="0"/>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F8E84">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100DD">
    <w:pPr>
      <w:pStyle w:val="1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07D2C">
    <w:pPr>
      <w:pStyle w:val="14"/>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01374">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66"/>
      <w:suff w:val="nothing"/>
      <w:lvlText w:val="%1"/>
      <w:lvlJc w:val="left"/>
      <w:pPr>
        <w:ind w:left="0" w:firstLine="0"/>
      </w:pPr>
      <w:rPr>
        <w:rFonts w:hint="default" w:ascii="Times New Roman" w:hAnsi="Times New Roman"/>
        <w:b/>
        <w:i w:val="0"/>
        <w:sz w:val="21"/>
      </w:rPr>
    </w:lvl>
    <w:lvl w:ilvl="1" w:tentative="0">
      <w:start w:val="1"/>
      <w:numFmt w:val="decimal"/>
      <w:pStyle w:val="67"/>
      <w:suff w:val="nothing"/>
      <w:lvlText w:val="%1%2　"/>
      <w:lvlJc w:val="left"/>
      <w:pPr>
        <w:ind w:left="0" w:firstLine="0"/>
      </w:pPr>
      <w:rPr>
        <w:rFonts w:hint="eastAsia" w:ascii="黑体" w:hAnsi="Times New Roman" w:eastAsia="黑体"/>
        <w:b w:val="0"/>
        <w:i w:val="0"/>
        <w:sz w:val="21"/>
      </w:rPr>
    </w:lvl>
    <w:lvl w:ilvl="2" w:tentative="0">
      <w:start w:val="1"/>
      <w:numFmt w:val="decimal"/>
      <w:pStyle w:val="68"/>
      <w:suff w:val="nothing"/>
      <w:lvlText w:val="%14.3　"/>
      <w:lvlJc w:val="left"/>
      <w:pPr>
        <w:ind w:left="0" w:firstLine="0"/>
      </w:pPr>
      <w:rPr>
        <w:rFonts w:hint="eastAsia"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pStyle w:val="69"/>
      <w:suff w:val="nothing"/>
      <w:lvlText w:val="%1%2.%3.%4　"/>
      <w:lvlJc w:val="left"/>
      <w:pPr>
        <w:ind w:left="0" w:firstLine="0"/>
      </w:pPr>
      <w:rPr>
        <w:rFonts w:hint="eastAsia" w:ascii="黑体" w:hAnsi="Times New Roman" w:eastAsia="黑体"/>
        <w:b w:val="0"/>
        <w:i w:val="0"/>
        <w:sz w:val="21"/>
      </w:rPr>
    </w:lvl>
    <w:lvl w:ilvl="4" w:tentative="0">
      <w:start w:val="1"/>
      <w:numFmt w:val="decimal"/>
      <w:pStyle w:val="70"/>
      <w:suff w:val="nothing"/>
      <w:lvlText w:val="%1%2.%3.%4.%5　"/>
      <w:lvlJc w:val="left"/>
      <w:pPr>
        <w:ind w:left="0" w:firstLine="0"/>
      </w:pPr>
      <w:rPr>
        <w:rFonts w:hint="eastAsia" w:ascii="黑体" w:hAnsi="Times New Roman" w:eastAsia="黑体"/>
        <w:b w:val="0"/>
        <w:i w:val="0"/>
        <w:sz w:val="21"/>
      </w:rPr>
    </w:lvl>
    <w:lvl w:ilvl="5" w:tentative="0">
      <w:start w:val="1"/>
      <w:numFmt w:val="decimal"/>
      <w:pStyle w:val="71"/>
      <w:suff w:val="nothing"/>
      <w:lvlText w:val="%1%2.%3.%4.%5.%6　"/>
      <w:lvlJc w:val="left"/>
      <w:pPr>
        <w:ind w:left="0" w:firstLine="0"/>
      </w:pPr>
      <w:rPr>
        <w:rFonts w:hint="eastAsia" w:ascii="黑体" w:hAnsi="Times New Roman" w:eastAsia="黑体"/>
        <w:b w:val="0"/>
        <w:i w:val="0"/>
        <w:sz w:val="21"/>
      </w:rPr>
    </w:lvl>
    <w:lvl w:ilvl="6" w:tentative="0">
      <w:start w:val="1"/>
      <w:numFmt w:val="decimal"/>
      <w:pStyle w:val="7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E72051"/>
    <w:rsid w:val="00001473"/>
    <w:rsid w:val="00002589"/>
    <w:rsid w:val="00002B57"/>
    <w:rsid w:val="00003A23"/>
    <w:rsid w:val="00003BAE"/>
    <w:rsid w:val="0000451C"/>
    <w:rsid w:val="00004D55"/>
    <w:rsid w:val="0000511A"/>
    <w:rsid w:val="00005304"/>
    <w:rsid w:val="00006EBB"/>
    <w:rsid w:val="000071F2"/>
    <w:rsid w:val="000118CC"/>
    <w:rsid w:val="00011AA3"/>
    <w:rsid w:val="000127BB"/>
    <w:rsid w:val="000129EF"/>
    <w:rsid w:val="000135F8"/>
    <w:rsid w:val="00013D0F"/>
    <w:rsid w:val="00013EC0"/>
    <w:rsid w:val="00014343"/>
    <w:rsid w:val="00014DB6"/>
    <w:rsid w:val="00015060"/>
    <w:rsid w:val="00015912"/>
    <w:rsid w:val="00015B09"/>
    <w:rsid w:val="000165C3"/>
    <w:rsid w:val="00017576"/>
    <w:rsid w:val="00020E92"/>
    <w:rsid w:val="00021221"/>
    <w:rsid w:val="00021742"/>
    <w:rsid w:val="00021B8C"/>
    <w:rsid w:val="00021D1D"/>
    <w:rsid w:val="0002206E"/>
    <w:rsid w:val="000220C0"/>
    <w:rsid w:val="000220C3"/>
    <w:rsid w:val="00022DA8"/>
    <w:rsid w:val="00023469"/>
    <w:rsid w:val="00024239"/>
    <w:rsid w:val="00024457"/>
    <w:rsid w:val="00024BFC"/>
    <w:rsid w:val="000251C6"/>
    <w:rsid w:val="000265B0"/>
    <w:rsid w:val="000265BC"/>
    <w:rsid w:val="00027351"/>
    <w:rsid w:val="00027798"/>
    <w:rsid w:val="00031694"/>
    <w:rsid w:val="0003198F"/>
    <w:rsid w:val="000321C2"/>
    <w:rsid w:val="00032464"/>
    <w:rsid w:val="000332C6"/>
    <w:rsid w:val="000336CB"/>
    <w:rsid w:val="00033D8D"/>
    <w:rsid w:val="00034CA9"/>
    <w:rsid w:val="00036806"/>
    <w:rsid w:val="00040B20"/>
    <w:rsid w:val="00040C0F"/>
    <w:rsid w:val="00041E46"/>
    <w:rsid w:val="00041EB6"/>
    <w:rsid w:val="00042217"/>
    <w:rsid w:val="000425E8"/>
    <w:rsid w:val="00042FD6"/>
    <w:rsid w:val="000433E9"/>
    <w:rsid w:val="00043782"/>
    <w:rsid w:val="00047571"/>
    <w:rsid w:val="00050282"/>
    <w:rsid w:val="00050549"/>
    <w:rsid w:val="0005231C"/>
    <w:rsid w:val="00053A80"/>
    <w:rsid w:val="00053DE6"/>
    <w:rsid w:val="00054399"/>
    <w:rsid w:val="0005492A"/>
    <w:rsid w:val="00055B9C"/>
    <w:rsid w:val="000606E9"/>
    <w:rsid w:val="000623BD"/>
    <w:rsid w:val="000629B5"/>
    <w:rsid w:val="0006337B"/>
    <w:rsid w:val="000638D9"/>
    <w:rsid w:val="00063DE4"/>
    <w:rsid w:val="000643F9"/>
    <w:rsid w:val="00065FB2"/>
    <w:rsid w:val="00072B7B"/>
    <w:rsid w:val="00072FE4"/>
    <w:rsid w:val="00073234"/>
    <w:rsid w:val="00073ED5"/>
    <w:rsid w:val="00076015"/>
    <w:rsid w:val="00076328"/>
    <w:rsid w:val="0007639E"/>
    <w:rsid w:val="00076D46"/>
    <w:rsid w:val="00080647"/>
    <w:rsid w:val="000819EC"/>
    <w:rsid w:val="000822CD"/>
    <w:rsid w:val="00082836"/>
    <w:rsid w:val="00082B16"/>
    <w:rsid w:val="000830A3"/>
    <w:rsid w:val="000840DD"/>
    <w:rsid w:val="000845A0"/>
    <w:rsid w:val="00084794"/>
    <w:rsid w:val="00085835"/>
    <w:rsid w:val="00085A84"/>
    <w:rsid w:val="0008733B"/>
    <w:rsid w:val="00091AD0"/>
    <w:rsid w:val="000930AA"/>
    <w:rsid w:val="000943AF"/>
    <w:rsid w:val="00094B53"/>
    <w:rsid w:val="000954FF"/>
    <w:rsid w:val="000958D4"/>
    <w:rsid w:val="000968EE"/>
    <w:rsid w:val="00096D32"/>
    <w:rsid w:val="00097195"/>
    <w:rsid w:val="00097E36"/>
    <w:rsid w:val="000A1017"/>
    <w:rsid w:val="000A156E"/>
    <w:rsid w:val="000A3955"/>
    <w:rsid w:val="000A4430"/>
    <w:rsid w:val="000A499D"/>
    <w:rsid w:val="000A4EF9"/>
    <w:rsid w:val="000A5A90"/>
    <w:rsid w:val="000A6C77"/>
    <w:rsid w:val="000A73DE"/>
    <w:rsid w:val="000A73EE"/>
    <w:rsid w:val="000A7D0D"/>
    <w:rsid w:val="000B0752"/>
    <w:rsid w:val="000B0FD4"/>
    <w:rsid w:val="000B192C"/>
    <w:rsid w:val="000B1B7E"/>
    <w:rsid w:val="000B219D"/>
    <w:rsid w:val="000B2204"/>
    <w:rsid w:val="000B28EF"/>
    <w:rsid w:val="000B3D81"/>
    <w:rsid w:val="000B5D12"/>
    <w:rsid w:val="000B7A85"/>
    <w:rsid w:val="000C003E"/>
    <w:rsid w:val="000C19A9"/>
    <w:rsid w:val="000C36AC"/>
    <w:rsid w:val="000C3A42"/>
    <w:rsid w:val="000C3DE1"/>
    <w:rsid w:val="000C43A4"/>
    <w:rsid w:val="000C45D5"/>
    <w:rsid w:val="000C4604"/>
    <w:rsid w:val="000C4609"/>
    <w:rsid w:val="000C4A53"/>
    <w:rsid w:val="000C5789"/>
    <w:rsid w:val="000C60AB"/>
    <w:rsid w:val="000C6B9A"/>
    <w:rsid w:val="000C701D"/>
    <w:rsid w:val="000C7196"/>
    <w:rsid w:val="000C7862"/>
    <w:rsid w:val="000C7DE8"/>
    <w:rsid w:val="000D0273"/>
    <w:rsid w:val="000D0501"/>
    <w:rsid w:val="000D16EB"/>
    <w:rsid w:val="000D2D04"/>
    <w:rsid w:val="000D3621"/>
    <w:rsid w:val="000D37A7"/>
    <w:rsid w:val="000D5BC0"/>
    <w:rsid w:val="000D5D01"/>
    <w:rsid w:val="000D675C"/>
    <w:rsid w:val="000D6D12"/>
    <w:rsid w:val="000D7886"/>
    <w:rsid w:val="000E0D8D"/>
    <w:rsid w:val="000E3355"/>
    <w:rsid w:val="000E3498"/>
    <w:rsid w:val="000E3C3E"/>
    <w:rsid w:val="000E47CD"/>
    <w:rsid w:val="000E4BBF"/>
    <w:rsid w:val="000E5117"/>
    <w:rsid w:val="000E56A2"/>
    <w:rsid w:val="000E586F"/>
    <w:rsid w:val="000E5BD2"/>
    <w:rsid w:val="000E6141"/>
    <w:rsid w:val="000E6526"/>
    <w:rsid w:val="000E775B"/>
    <w:rsid w:val="000F0245"/>
    <w:rsid w:val="000F06E8"/>
    <w:rsid w:val="000F0D66"/>
    <w:rsid w:val="000F1675"/>
    <w:rsid w:val="000F16CE"/>
    <w:rsid w:val="000F1773"/>
    <w:rsid w:val="000F2029"/>
    <w:rsid w:val="000F22B0"/>
    <w:rsid w:val="000F2950"/>
    <w:rsid w:val="000F296E"/>
    <w:rsid w:val="000F4092"/>
    <w:rsid w:val="000F5176"/>
    <w:rsid w:val="000F5D2B"/>
    <w:rsid w:val="000F6E75"/>
    <w:rsid w:val="000F7DB7"/>
    <w:rsid w:val="0010000A"/>
    <w:rsid w:val="001001A6"/>
    <w:rsid w:val="00101212"/>
    <w:rsid w:val="001020CA"/>
    <w:rsid w:val="00102410"/>
    <w:rsid w:val="0010295C"/>
    <w:rsid w:val="0010339E"/>
    <w:rsid w:val="00104B90"/>
    <w:rsid w:val="00104BC4"/>
    <w:rsid w:val="0010534C"/>
    <w:rsid w:val="00105CFF"/>
    <w:rsid w:val="001075BF"/>
    <w:rsid w:val="00107CD3"/>
    <w:rsid w:val="00107D03"/>
    <w:rsid w:val="001100E8"/>
    <w:rsid w:val="001103E6"/>
    <w:rsid w:val="0011175D"/>
    <w:rsid w:val="0011270A"/>
    <w:rsid w:val="00112749"/>
    <w:rsid w:val="00112E20"/>
    <w:rsid w:val="0011359D"/>
    <w:rsid w:val="001136DA"/>
    <w:rsid w:val="00113F04"/>
    <w:rsid w:val="001150A2"/>
    <w:rsid w:val="001166BD"/>
    <w:rsid w:val="00117AE0"/>
    <w:rsid w:val="001202E9"/>
    <w:rsid w:val="00120657"/>
    <w:rsid w:val="00120DDA"/>
    <w:rsid w:val="001225F8"/>
    <w:rsid w:val="001226FF"/>
    <w:rsid w:val="00122BA3"/>
    <w:rsid w:val="00122D9F"/>
    <w:rsid w:val="00124883"/>
    <w:rsid w:val="001248EB"/>
    <w:rsid w:val="0012492A"/>
    <w:rsid w:val="00124CDC"/>
    <w:rsid w:val="00125EBD"/>
    <w:rsid w:val="00126AB0"/>
    <w:rsid w:val="00126DB5"/>
    <w:rsid w:val="00127623"/>
    <w:rsid w:val="00130864"/>
    <w:rsid w:val="00131461"/>
    <w:rsid w:val="00131FF0"/>
    <w:rsid w:val="00134B42"/>
    <w:rsid w:val="00135282"/>
    <w:rsid w:val="00135373"/>
    <w:rsid w:val="001370F8"/>
    <w:rsid w:val="00140DC9"/>
    <w:rsid w:val="001427DB"/>
    <w:rsid w:val="00142F1F"/>
    <w:rsid w:val="00143C93"/>
    <w:rsid w:val="00143F8C"/>
    <w:rsid w:val="00146DA2"/>
    <w:rsid w:val="0015160F"/>
    <w:rsid w:val="001539C3"/>
    <w:rsid w:val="00153FA4"/>
    <w:rsid w:val="00154004"/>
    <w:rsid w:val="00155B47"/>
    <w:rsid w:val="00156E7D"/>
    <w:rsid w:val="001570CA"/>
    <w:rsid w:val="001571A2"/>
    <w:rsid w:val="00160435"/>
    <w:rsid w:val="00162575"/>
    <w:rsid w:val="00162FD7"/>
    <w:rsid w:val="00164E81"/>
    <w:rsid w:val="00164FCD"/>
    <w:rsid w:val="00165A87"/>
    <w:rsid w:val="001660A3"/>
    <w:rsid w:val="001664D9"/>
    <w:rsid w:val="0016671E"/>
    <w:rsid w:val="001678DE"/>
    <w:rsid w:val="00167E56"/>
    <w:rsid w:val="0017078B"/>
    <w:rsid w:val="00171374"/>
    <w:rsid w:val="001714D9"/>
    <w:rsid w:val="00171645"/>
    <w:rsid w:val="0017180E"/>
    <w:rsid w:val="001722FB"/>
    <w:rsid w:val="0017290D"/>
    <w:rsid w:val="00173C65"/>
    <w:rsid w:val="0017470C"/>
    <w:rsid w:val="001757D3"/>
    <w:rsid w:val="00175988"/>
    <w:rsid w:val="00175FB9"/>
    <w:rsid w:val="001769C6"/>
    <w:rsid w:val="001775CB"/>
    <w:rsid w:val="0017779D"/>
    <w:rsid w:val="0017782A"/>
    <w:rsid w:val="00181646"/>
    <w:rsid w:val="001829BA"/>
    <w:rsid w:val="00182FCA"/>
    <w:rsid w:val="00183EAA"/>
    <w:rsid w:val="00184587"/>
    <w:rsid w:val="00184975"/>
    <w:rsid w:val="0018503C"/>
    <w:rsid w:val="001869C7"/>
    <w:rsid w:val="001879F1"/>
    <w:rsid w:val="00187B7A"/>
    <w:rsid w:val="00187BBA"/>
    <w:rsid w:val="0019036D"/>
    <w:rsid w:val="00190480"/>
    <w:rsid w:val="00192BBE"/>
    <w:rsid w:val="001934EB"/>
    <w:rsid w:val="0019622D"/>
    <w:rsid w:val="00196626"/>
    <w:rsid w:val="0019739E"/>
    <w:rsid w:val="00197BB6"/>
    <w:rsid w:val="00197F70"/>
    <w:rsid w:val="001A032B"/>
    <w:rsid w:val="001A086E"/>
    <w:rsid w:val="001A1F5E"/>
    <w:rsid w:val="001A23DF"/>
    <w:rsid w:val="001A303E"/>
    <w:rsid w:val="001A5C80"/>
    <w:rsid w:val="001B0059"/>
    <w:rsid w:val="001B0440"/>
    <w:rsid w:val="001B0EB0"/>
    <w:rsid w:val="001B13CD"/>
    <w:rsid w:val="001B1459"/>
    <w:rsid w:val="001B1657"/>
    <w:rsid w:val="001B1D12"/>
    <w:rsid w:val="001B24E7"/>
    <w:rsid w:val="001B3ADE"/>
    <w:rsid w:val="001B45B1"/>
    <w:rsid w:val="001B4B18"/>
    <w:rsid w:val="001B5420"/>
    <w:rsid w:val="001B5E23"/>
    <w:rsid w:val="001B5E6C"/>
    <w:rsid w:val="001C061C"/>
    <w:rsid w:val="001C27D2"/>
    <w:rsid w:val="001C3A2A"/>
    <w:rsid w:val="001C414C"/>
    <w:rsid w:val="001C4BBA"/>
    <w:rsid w:val="001C6050"/>
    <w:rsid w:val="001C6626"/>
    <w:rsid w:val="001C74DC"/>
    <w:rsid w:val="001C7530"/>
    <w:rsid w:val="001C788E"/>
    <w:rsid w:val="001D00E8"/>
    <w:rsid w:val="001D2018"/>
    <w:rsid w:val="001D2444"/>
    <w:rsid w:val="001D283A"/>
    <w:rsid w:val="001D2860"/>
    <w:rsid w:val="001D2A3B"/>
    <w:rsid w:val="001D2D14"/>
    <w:rsid w:val="001D3322"/>
    <w:rsid w:val="001D3B82"/>
    <w:rsid w:val="001D50F1"/>
    <w:rsid w:val="001D586F"/>
    <w:rsid w:val="001D6919"/>
    <w:rsid w:val="001D725C"/>
    <w:rsid w:val="001E0167"/>
    <w:rsid w:val="001E0866"/>
    <w:rsid w:val="001E1BE1"/>
    <w:rsid w:val="001E1C08"/>
    <w:rsid w:val="001E277B"/>
    <w:rsid w:val="001E33B2"/>
    <w:rsid w:val="001E4A4F"/>
    <w:rsid w:val="001E5371"/>
    <w:rsid w:val="001E5610"/>
    <w:rsid w:val="001E57E1"/>
    <w:rsid w:val="001E5845"/>
    <w:rsid w:val="001F0474"/>
    <w:rsid w:val="001F0E37"/>
    <w:rsid w:val="001F114D"/>
    <w:rsid w:val="001F2701"/>
    <w:rsid w:val="001F2B52"/>
    <w:rsid w:val="001F2B78"/>
    <w:rsid w:val="001F38A9"/>
    <w:rsid w:val="001F4B8F"/>
    <w:rsid w:val="001F5267"/>
    <w:rsid w:val="001F7E54"/>
    <w:rsid w:val="002001A3"/>
    <w:rsid w:val="0020158F"/>
    <w:rsid w:val="00201D40"/>
    <w:rsid w:val="002022FB"/>
    <w:rsid w:val="00202441"/>
    <w:rsid w:val="00202964"/>
    <w:rsid w:val="00202CDF"/>
    <w:rsid w:val="002041D4"/>
    <w:rsid w:val="00204F12"/>
    <w:rsid w:val="002053BE"/>
    <w:rsid w:val="002068D5"/>
    <w:rsid w:val="00206F4F"/>
    <w:rsid w:val="0021098B"/>
    <w:rsid w:val="0021144F"/>
    <w:rsid w:val="00211A6C"/>
    <w:rsid w:val="002121DC"/>
    <w:rsid w:val="00212358"/>
    <w:rsid w:val="002134D0"/>
    <w:rsid w:val="0021351C"/>
    <w:rsid w:val="00213D8D"/>
    <w:rsid w:val="00214458"/>
    <w:rsid w:val="00214DC4"/>
    <w:rsid w:val="00214E35"/>
    <w:rsid w:val="002150EF"/>
    <w:rsid w:val="0021612A"/>
    <w:rsid w:val="0021738B"/>
    <w:rsid w:val="0021799B"/>
    <w:rsid w:val="00217D6A"/>
    <w:rsid w:val="00220797"/>
    <w:rsid w:val="00220998"/>
    <w:rsid w:val="0022118F"/>
    <w:rsid w:val="00221866"/>
    <w:rsid w:val="00222746"/>
    <w:rsid w:val="002228D3"/>
    <w:rsid w:val="00222ACA"/>
    <w:rsid w:val="002233B6"/>
    <w:rsid w:val="0022405C"/>
    <w:rsid w:val="002244EF"/>
    <w:rsid w:val="00225933"/>
    <w:rsid w:val="00225DD2"/>
    <w:rsid w:val="0022660E"/>
    <w:rsid w:val="00226B54"/>
    <w:rsid w:val="00227527"/>
    <w:rsid w:val="00227EC2"/>
    <w:rsid w:val="0023028B"/>
    <w:rsid w:val="00230468"/>
    <w:rsid w:val="002313A1"/>
    <w:rsid w:val="0023153B"/>
    <w:rsid w:val="00231FCC"/>
    <w:rsid w:val="002321F0"/>
    <w:rsid w:val="00232D24"/>
    <w:rsid w:val="00233053"/>
    <w:rsid w:val="0023312D"/>
    <w:rsid w:val="00234C67"/>
    <w:rsid w:val="0023666F"/>
    <w:rsid w:val="00236C08"/>
    <w:rsid w:val="00241044"/>
    <w:rsid w:val="00241D77"/>
    <w:rsid w:val="0024264C"/>
    <w:rsid w:val="0024377D"/>
    <w:rsid w:val="0024467F"/>
    <w:rsid w:val="002455C7"/>
    <w:rsid w:val="002466B2"/>
    <w:rsid w:val="00246B76"/>
    <w:rsid w:val="00247303"/>
    <w:rsid w:val="00247448"/>
    <w:rsid w:val="00247FE2"/>
    <w:rsid w:val="00250027"/>
    <w:rsid w:val="002521AB"/>
    <w:rsid w:val="00253B7A"/>
    <w:rsid w:val="002541A6"/>
    <w:rsid w:val="00254A85"/>
    <w:rsid w:val="00255762"/>
    <w:rsid w:val="00255D16"/>
    <w:rsid w:val="00256FDD"/>
    <w:rsid w:val="00257956"/>
    <w:rsid w:val="00260293"/>
    <w:rsid w:val="00260D3E"/>
    <w:rsid w:val="0026200C"/>
    <w:rsid w:val="00262D2A"/>
    <w:rsid w:val="00263071"/>
    <w:rsid w:val="00263469"/>
    <w:rsid w:val="002634AD"/>
    <w:rsid w:val="00263BCB"/>
    <w:rsid w:val="00265EEE"/>
    <w:rsid w:val="00266138"/>
    <w:rsid w:val="00267BB8"/>
    <w:rsid w:val="00270B06"/>
    <w:rsid w:val="0027212A"/>
    <w:rsid w:val="00273558"/>
    <w:rsid w:val="00273987"/>
    <w:rsid w:val="0027430D"/>
    <w:rsid w:val="0027460C"/>
    <w:rsid w:val="00276043"/>
    <w:rsid w:val="00276347"/>
    <w:rsid w:val="002765CF"/>
    <w:rsid w:val="00276E6A"/>
    <w:rsid w:val="002776DA"/>
    <w:rsid w:val="00280256"/>
    <w:rsid w:val="00280918"/>
    <w:rsid w:val="00280BC6"/>
    <w:rsid w:val="00280CF7"/>
    <w:rsid w:val="00281C23"/>
    <w:rsid w:val="002823FC"/>
    <w:rsid w:val="0028272E"/>
    <w:rsid w:val="00282DA3"/>
    <w:rsid w:val="00283ECB"/>
    <w:rsid w:val="002854D2"/>
    <w:rsid w:val="002854EB"/>
    <w:rsid w:val="002869DC"/>
    <w:rsid w:val="00286AF2"/>
    <w:rsid w:val="002872E0"/>
    <w:rsid w:val="00290C55"/>
    <w:rsid w:val="002913E0"/>
    <w:rsid w:val="00292D26"/>
    <w:rsid w:val="00293669"/>
    <w:rsid w:val="00293BD1"/>
    <w:rsid w:val="00295560"/>
    <w:rsid w:val="00295650"/>
    <w:rsid w:val="00295726"/>
    <w:rsid w:val="00296E7A"/>
    <w:rsid w:val="002973EA"/>
    <w:rsid w:val="002975EA"/>
    <w:rsid w:val="00297848"/>
    <w:rsid w:val="00297C90"/>
    <w:rsid w:val="00297DE5"/>
    <w:rsid w:val="002A111B"/>
    <w:rsid w:val="002A16E9"/>
    <w:rsid w:val="002A1C37"/>
    <w:rsid w:val="002A1DEF"/>
    <w:rsid w:val="002A1E64"/>
    <w:rsid w:val="002A2C9C"/>
    <w:rsid w:val="002A311E"/>
    <w:rsid w:val="002A38D9"/>
    <w:rsid w:val="002A58B0"/>
    <w:rsid w:val="002A7804"/>
    <w:rsid w:val="002B0715"/>
    <w:rsid w:val="002B1A06"/>
    <w:rsid w:val="002B1B4E"/>
    <w:rsid w:val="002B333B"/>
    <w:rsid w:val="002B3CC8"/>
    <w:rsid w:val="002B41E8"/>
    <w:rsid w:val="002B4698"/>
    <w:rsid w:val="002B4D84"/>
    <w:rsid w:val="002B5ADC"/>
    <w:rsid w:val="002B6389"/>
    <w:rsid w:val="002B6CDA"/>
    <w:rsid w:val="002B71A8"/>
    <w:rsid w:val="002C0598"/>
    <w:rsid w:val="002C07D2"/>
    <w:rsid w:val="002C12A2"/>
    <w:rsid w:val="002C19A5"/>
    <w:rsid w:val="002C2785"/>
    <w:rsid w:val="002C2791"/>
    <w:rsid w:val="002C35D5"/>
    <w:rsid w:val="002C3631"/>
    <w:rsid w:val="002C566D"/>
    <w:rsid w:val="002C70AC"/>
    <w:rsid w:val="002C7BD2"/>
    <w:rsid w:val="002C7EE2"/>
    <w:rsid w:val="002D1678"/>
    <w:rsid w:val="002D177B"/>
    <w:rsid w:val="002D3B32"/>
    <w:rsid w:val="002D49D7"/>
    <w:rsid w:val="002D60C1"/>
    <w:rsid w:val="002D627D"/>
    <w:rsid w:val="002D632F"/>
    <w:rsid w:val="002D6F65"/>
    <w:rsid w:val="002D7073"/>
    <w:rsid w:val="002D7ACF"/>
    <w:rsid w:val="002D7F95"/>
    <w:rsid w:val="002E01D2"/>
    <w:rsid w:val="002E0893"/>
    <w:rsid w:val="002E1A5B"/>
    <w:rsid w:val="002E1D7C"/>
    <w:rsid w:val="002E1E25"/>
    <w:rsid w:val="002E3E8C"/>
    <w:rsid w:val="002E4332"/>
    <w:rsid w:val="002E4F1A"/>
    <w:rsid w:val="002E5151"/>
    <w:rsid w:val="002E5614"/>
    <w:rsid w:val="002E61A4"/>
    <w:rsid w:val="002E721B"/>
    <w:rsid w:val="002F04E0"/>
    <w:rsid w:val="002F085A"/>
    <w:rsid w:val="002F08FB"/>
    <w:rsid w:val="002F0B50"/>
    <w:rsid w:val="002F233B"/>
    <w:rsid w:val="002F2A42"/>
    <w:rsid w:val="002F3320"/>
    <w:rsid w:val="002F33DF"/>
    <w:rsid w:val="002F3F87"/>
    <w:rsid w:val="002F4F91"/>
    <w:rsid w:val="002F6999"/>
    <w:rsid w:val="002F6B2F"/>
    <w:rsid w:val="003012EF"/>
    <w:rsid w:val="003038D4"/>
    <w:rsid w:val="003047EB"/>
    <w:rsid w:val="00305866"/>
    <w:rsid w:val="0030592D"/>
    <w:rsid w:val="00305A86"/>
    <w:rsid w:val="00310104"/>
    <w:rsid w:val="0031051F"/>
    <w:rsid w:val="00310897"/>
    <w:rsid w:val="00310E02"/>
    <w:rsid w:val="00311AC7"/>
    <w:rsid w:val="003125DF"/>
    <w:rsid w:val="00312EE3"/>
    <w:rsid w:val="00313061"/>
    <w:rsid w:val="003130E2"/>
    <w:rsid w:val="003131A3"/>
    <w:rsid w:val="003133CB"/>
    <w:rsid w:val="00314081"/>
    <w:rsid w:val="003141A0"/>
    <w:rsid w:val="00314272"/>
    <w:rsid w:val="00315E57"/>
    <w:rsid w:val="003177CD"/>
    <w:rsid w:val="00320545"/>
    <w:rsid w:val="00320883"/>
    <w:rsid w:val="003215FD"/>
    <w:rsid w:val="00322226"/>
    <w:rsid w:val="00322799"/>
    <w:rsid w:val="00322B70"/>
    <w:rsid w:val="0032330A"/>
    <w:rsid w:val="00323CC7"/>
    <w:rsid w:val="00324A7D"/>
    <w:rsid w:val="00325CB5"/>
    <w:rsid w:val="003262C5"/>
    <w:rsid w:val="003262F2"/>
    <w:rsid w:val="0032639B"/>
    <w:rsid w:val="003263F4"/>
    <w:rsid w:val="00326C74"/>
    <w:rsid w:val="003276A9"/>
    <w:rsid w:val="003276EE"/>
    <w:rsid w:val="003277C8"/>
    <w:rsid w:val="00327CFF"/>
    <w:rsid w:val="0033173E"/>
    <w:rsid w:val="00331C6F"/>
    <w:rsid w:val="0033335C"/>
    <w:rsid w:val="00333E2F"/>
    <w:rsid w:val="00334FC1"/>
    <w:rsid w:val="003353F8"/>
    <w:rsid w:val="00336975"/>
    <w:rsid w:val="0033702C"/>
    <w:rsid w:val="00337897"/>
    <w:rsid w:val="00340CCC"/>
    <w:rsid w:val="0034157A"/>
    <w:rsid w:val="00343680"/>
    <w:rsid w:val="00345EE6"/>
    <w:rsid w:val="003461CF"/>
    <w:rsid w:val="00346A78"/>
    <w:rsid w:val="00347BD3"/>
    <w:rsid w:val="00347C13"/>
    <w:rsid w:val="00351086"/>
    <w:rsid w:val="003541DF"/>
    <w:rsid w:val="00356CE3"/>
    <w:rsid w:val="00357582"/>
    <w:rsid w:val="003604EA"/>
    <w:rsid w:val="00360872"/>
    <w:rsid w:val="00360E62"/>
    <w:rsid w:val="00360FAF"/>
    <w:rsid w:val="00361A5C"/>
    <w:rsid w:val="00362030"/>
    <w:rsid w:val="00362A79"/>
    <w:rsid w:val="0036425F"/>
    <w:rsid w:val="00364699"/>
    <w:rsid w:val="003649D9"/>
    <w:rsid w:val="00364F36"/>
    <w:rsid w:val="00365FFF"/>
    <w:rsid w:val="003660D0"/>
    <w:rsid w:val="00370310"/>
    <w:rsid w:val="003707B2"/>
    <w:rsid w:val="00371BD3"/>
    <w:rsid w:val="00372028"/>
    <w:rsid w:val="0037202F"/>
    <w:rsid w:val="00373E85"/>
    <w:rsid w:val="00373F7D"/>
    <w:rsid w:val="003750D3"/>
    <w:rsid w:val="00375C01"/>
    <w:rsid w:val="00376F16"/>
    <w:rsid w:val="00377AAF"/>
    <w:rsid w:val="003814E4"/>
    <w:rsid w:val="00382D92"/>
    <w:rsid w:val="00383CEC"/>
    <w:rsid w:val="00384A54"/>
    <w:rsid w:val="00384F8D"/>
    <w:rsid w:val="00385079"/>
    <w:rsid w:val="003855AC"/>
    <w:rsid w:val="00387755"/>
    <w:rsid w:val="00390E6B"/>
    <w:rsid w:val="003921D9"/>
    <w:rsid w:val="0039286C"/>
    <w:rsid w:val="00393F19"/>
    <w:rsid w:val="0039466A"/>
    <w:rsid w:val="003953CE"/>
    <w:rsid w:val="00396589"/>
    <w:rsid w:val="003968E4"/>
    <w:rsid w:val="00397261"/>
    <w:rsid w:val="003A0457"/>
    <w:rsid w:val="003A08CF"/>
    <w:rsid w:val="003A1222"/>
    <w:rsid w:val="003A1996"/>
    <w:rsid w:val="003A1A50"/>
    <w:rsid w:val="003A1BE9"/>
    <w:rsid w:val="003A35F8"/>
    <w:rsid w:val="003A3776"/>
    <w:rsid w:val="003A3BC6"/>
    <w:rsid w:val="003A5417"/>
    <w:rsid w:val="003A5BD0"/>
    <w:rsid w:val="003A5C71"/>
    <w:rsid w:val="003B056C"/>
    <w:rsid w:val="003B0FA5"/>
    <w:rsid w:val="003B1B95"/>
    <w:rsid w:val="003B28F4"/>
    <w:rsid w:val="003B2D98"/>
    <w:rsid w:val="003B3728"/>
    <w:rsid w:val="003B3A68"/>
    <w:rsid w:val="003B3B45"/>
    <w:rsid w:val="003B3EE2"/>
    <w:rsid w:val="003B3F35"/>
    <w:rsid w:val="003B4DA7"/>
    <w:rsid w:val="003B518B"/>
    <w:rsid w:val="003B56A8"/>
    <w:rsid w:val="003C00D2"/>
    <w:rsid w:val="003C23B0"/>
    <w:rsid w:val="003C23C2"/>
    <w:rsid w:val="003C292E"/>
    <w:rsid w:val="003C57D8"/>
    <w:rsid w:val="003C59DD"/>
    <w:rsid w:val="003C6881"/>
    <w:rsid w:val="003C6A7F"/>
    <w:rsid w:val="003C6BA5"/>
    <w:rsid w:val="003C7AD0"/>
    <w:rsid w:val="003C7AD9"/>
    <w:rsid w:val="003D017A"/>
    <w:rsid w:val="003D0826"/>
    <w:rsid w:val="003D0863"/>
    <w:rsid w:val="003D43A4"/>
    <w:rsid w:val="003D4F8D"/>
    <w:rsid w:val="003D58F0"/>
    <w:rsid w:val="003D716D"/>
    <w:rsid w:val="003D71F4"/>
    <w:rsid w:val="003D7A5B"/>
    <w:rsid w:val="003D7C83"/>
    <w:rsid w:val="003D7EAA"/>
    <w:rsid w:val="003D7FF7"/>
    <w:rsid w:val="003E07CD"/>
    <w:rsid w:val="003E0B83"/>
    <w:rsid w:val="003E10EA"/>
    <w:rsid w:val="003E1E95"/>
    <w:rsid w:val="003E3EE1"/>
    <w:rsid w:val="003E421F"/>
    <w:rsid w:val="003E47E1"/>
    <w:rsid w:val="003E580E"/>
    <w:rsid w:val="003E723F"/>
    <w:rsid w:val="003F010F"/>
    <w:rsid w:val="003F0168"/>
    <w:rsid w:val="003F1211"/>
    <w:rsid w:val="003F1A11"/>
    <w:rsid w:val="003F2B7F"/>
    <w:rsid w:val="003F2B8A"/>
    <w:rsid w:val="003F3DAE"/>
    <w:rsid w:val="003F5174"/>
    <w:rsid w:val="003F66F3"/>
    <w:rsid w:val="003F6ED0"/>
    <w:rsid w:val="003F745B"/>
    <w:rsid w:val="003F7837"/>
    <w:rsid w:val="003F7E13"/>
    <w:rsid w:val="004012AD"/>
    <w:rsid w:val="004015E6"/>
    <w:rsid w:val="0040319A"/>
    <w:rsid w:val="0040417F"/>
    <w:rsid w:val="004044D7"/>
    <w:rsid w:val="00404CAD"/>
    <w:rsid w:val="004051C9"/>
    <w:rsid w:val="00405E33"/>
    <w:rsid w:val="004060E7"/>
    <w:rsid w:val="0040763A"/>
    <w:rsid w:val="0040772A"/>
    <w:rsid w:val="004100E5"/>
    <w:rsid w:val="004123AA"/>
    <w:rsid w:val="0041333E"/>
    <w:rsid w:val="00413BCB"/>
    <w:rsid w:val="0041413E"/>
    <w:rsid w:val="004147CF"/>
    <w:rsid w:val="00415216"/>
    <w:rsid w:val="0041576B"/>
    <w:rsid w:val="00415AE2"/>
    <w:rsid w:val="00415E11"/>
    <w:rsid w:val="0041601E"/>
    <w:rsid w:val="00417ACD"/>
    <w:rsid w:val="0042505F"/>
    <w:rsid w:val="004257E8"/>
    <w:rsid w:val="00425A46"/>
    <w:rsid w:val="00426423"/>
    <w:rsid w:val="004270CD"/>
    <w:rsid w:val="00427524"/>
    <w:rsid w:val="00427FAE"/>
    <w:rsid w:val="00430F60"/>
    <w:rsid w:val="004310B4"/>
    <w:rsid w:val="00431654"/>
    <w:rsid w:val="00431D16"/>
    <w:rsid w:val="0043240B"/>
    <w:rsid w:val="0043249C"/>
    <w:rsid w:val="004328F0"/>
    <w:rsid w:val="00434801"/>
    <w:rsid w:val="00434FE0"/>
    <w:rsid w:val="00435259"/>
    <w:rsid w:val="00436B9D"/>
    <w:rsid w:val="004400A7"/>
    <w:rsid w:val="00440BCB"/>
    <w:rsid w:val="00441C8E"/>
    <w:rsid w:val="0044218A"/>
    <w:rsid w:val="00442CC9"/>
    <w:rsid w:val="00442F0B"/>
    <w:rsid w:val="00442FE7"/>
    <w:rsid w:val="004456A0"/>
    <w:rsid w:val="004458B8"/>
    <w:rsid w:val="004468C1"/>
    <w:rsid w:val="00446BEB"/>
    <w:rsid w:val="00447D43"/>
    <w:rsid w:val="00447FF2"/>
    <w:rsid w:val="004505FD"/>
    <w:rsid w:val="00450985"/>
    <w:rsid w:val="00450B0B"/>
    <w:rsid w:val="00451055"/>
    <w:rsid w:val="00451744"/>
    <w:rsid w:val="00452155"/>
    <w:rsid w:val="00452CF0"/>
    <w:rsid w:val="00453187"/>
    <w:rsid w:val="00453D71"/>
    <w:rsid w:val="0045517F"/>
    <w:rsid w:val="0045547A"/>
    <w:rsid w:val="004565A8"/>
    <w:rsid w:val="00457062"/>
    <w:rsid w:val="00457240"/>
    <w:rsid w:val="0045763F"/>
    <w:rsid w:val="004607BC"/>
    <w:rsid w:val="00460901"/>
    <w:rsid w:val="0046163C"/>
    <w:rsid w:val="004618F0"/>
    <w:rsid w:val="00462D01"/>
    <w:rsid w:val="004630C7"/>
    <w:rsid w:val="00463624"/>
    <w:rsid w:val="00463716"/>
    <w:rsid w:val="00463E51"/>
    <w:rsid w:val="0046462D"/>
    <w:rsid w:val="004660C6"/>
    <w:rsid w:val="004675CA"/>
    <w:rsid w:val="00467A35"/>
    <w:rsid w:val="0047185B"/>
    <w:rsid w:val="00472CE3"/>
    <w:rsid w:val="004739DD"/>
    <w:rsid w:val="00473D9C"/>
    <w:rsid w:val="00474C21"/>
    <w:rsid w:val="00474FB0"/>
    <w:rsid w:val="0047524E"/>
    <w:rsid w:val="004753B5"/>
    <w:rsid w:val="00477402"/>
    <w:rsid w:val="00477B81"/>
    <w:rsid w:val="00477C86"/>
    <w:rsid w:val="0048049D"/>
    <w:rsid w:val="0048085E"/>
    <w:rsid w:val="00480C1D"/>
    <w:rsid w:val="00481366"/>
    <w:rsid w:val="0048180A"/>
    <w:rsid w:val="00482D0C"/>
    <w:rsid w:val="004831CB"/>
    <w:rsid w:val="00483370"/>
    <w:rsid w:val="00484BF4"/>
    <w:rsid w:val="00485680"/>
    <w:rsid w:val="00485DD5"/>
    <w:rsid w:val="004864B9"/>
    <w:rsid w:val="004867C1"/>
    <w:rsid w:val="004867E7"/>
    <w:rsid w:val="0048784D"/>
    <w:rsid w:val="004878C5"/>
    <w:rsid w:val="004900C9"/>
    <w:rsid w:val="00490312"/>
    <w:rsid w:val="004906F3"/>
    <w:rsid w:val="00490A91"/>
    <w:rsid w:val="004914A6"/>
    <w:rsid w:val="00491EC9"/>
    <w:rsid w:val="0049239B"/>
    <w:rsid w:val="00492C75"/>
    <w:rsid w:val="004930C2"/>
    <w:rsid w:val="004939A8"/>
    <w:rsid w:val="004948FB"/>
    <w:rsid w:val="00494CAD"/>
    <w:rsid w:val="00495425"/>
    <w:rsid w:val="00495D40"/>
    <w:rsid w:val="00496C08"/>
    <w:rsid w:val="004978C9"/>
    <w:rsid w:val="004A03C3"/>
    <w:rsid w:val="004A1AD7"/>
    <w:rsid w:val="004A205C"/>
    <w:rsid w:val="004A238C"/>
    <w:rsid w:val="004A2926"/>
    <w:rsid w:val="004A2C50"/>
    <w:rsid w:val="004A3649"/>
    <w:rsid w:val="004A5586"/>
    <w:rsid w:val="004A5CA2"/>
    <w:rsid w:val="004A6E44"/>
    <w:rsid w:val="004A79A0"/>
    <w:rsid w:val="004B0298"/>
    <w:rsid w:val="004B04FD"/>
    <w:rsid w:val="004B0DF9"/>
    <w:rsid w:val="004B48C7"/>
    <w:rsid w:val="004B55FC"/>
    <w:rsid w:val="004B7EDC"/>
    <w:rsid w:val="004B7F30"/>
    <w:rsid w:val="004C0C18"/>
    <w:rsid w:val="004C0FA2"/>
    <w:rsid w:val="004C102E"/>
    <w:rsid w:val="004C1193"/>
    <w:rsid w:val="004C1418"/>
    <w:rsid w:val="004C1A12"/>
    <w:rsid w:val="004C49B3"/>
    <w:rsid w:val="004C4E22"/>
    <w:rsid w:val="004C4FF6"/>
    <w:rsid w:val="004C5AA1"/>
    <w:rsid w:val="004C6357"/>
    <w:rsid w:val="004D0185"/>
    <w:rsid w:val="004D0636"/>
    <w:rsid w:val="004D09C5"/>
    <w:rsid w:val="004D1A15"/>
    <w:rsid w:val="004D1F18"/>
    <w:rsid w:val="004D21D6"/>
    <w:rsid w:val="004D2A79"/>
    <w:rsid w:val="004D2D80"/>
    <w:rsid w:val="004D5512"/>
    <w:rsid w:val="004D5B7B"/>
    <w:rsid w:val="004D5EAB"/>
    <w:rsid w:val="004D642E"/>
    <w:rsid w:val="004D6899"/>
    <w:rsid w:val="004D6D54"/>
    <w:rsid w:val="004D6E9B"/>
    <w:rsid w:val="004E0F00"/>
    <w:rsid w:val="004E107B"/>
    <w:rsid w:val="004E36A1"/>
    <w:rsid w:val="004E4DC5"/>
    <w:rsid w:val="004E62DF"/>
    <w:rsid w:val="004E786C"/>
    <w:rsid w:val="004F0010"/>
    <w:rsid w:val="004F18FE"/>
    <w:rsid w:val="004F1D7D"/>
    <w:rsid w:val="004F29CA"/>
    <w:rsid w:val="004F3320"/>
    <w:rsid w:val="004F3677"/>
    <w:rsid w:val="004F36D4"/>
    <w:rsid w:val="004F4386"/>
    <w:rsid w:val="004F5D71"/>
    <w:rsid w:val="005006BA"/>
    <w:rsid w:val="00500F7E"/>
    <w:rsid w:val="005041ED"/>
    <w:rsid w:val="00504404"/>
    <w:rsid w:val="00505023"/>
    <w:rsid w:val="00507311"/>
    <w:rsid w:val="005079CD"/>
    <w:rsid w:val="005123ED"/>
    <w:rsid w:val="00512EDD"/>
    <w:rsid w:val="00514830"/>
    <w:rsid w:val="00514C3A"/>
    <w:rsid w:val="0051604C"/>
    <w:rsid w:val="005168C6"/>
    <w:rsid w:val="00517271"/>
    <w:rsid w:val="005207D2"/>
    <w:rsid w:val="00521357"/>
    <w:rsid w:val="005215B0"/>
    <w:rsid w:val="00521B1D"/>
    <w:rsid w:val="00522F44"/>
    <w:rsid w:val="005241F3"/>
    <w:rsid w:val="00524255"/>
    <w:rsid w:val="005248E3"/>
    <w:rsid w:val="00524F16"/>
    <w:rsid w:val="00524F96"/>
    <w:rsid w:val="00525654"/>
    <w:rsid w:val="0052580C"/>
    <w:rsid w:val="00525A7D"/>
    <w:rsid w:val="00525F16"/>
    <w:rsid w:val="00526E2D"/>
    <w:rsid w:val="00527D48"/>
    <w:rsid w:val="00527FA2"/>
    <w:rsid w:val="0053028E"/>
    <w:rsid w:val="00530A73"/>
    <w:rsid w:val="0053156E"/>
    <w:rsid w:val="00532985"/>
    <w:rsid w:val="005340B1"/>
    <w:rsid w:val="005344CF"/>
    <w:rsid w:val="00534D02"/>
    <w:rsid w:val="00534E9E"/>
    <w:rsid w:val="0053520F"/>
    <w:rsid w:val="005353BB"/>
    <w:rsid w:val="0053563C"/>
    <w:rsid w:val="00537367"/>
    <w:rsid w:val="00540C95"/>
    <w:rsid w:val="00541351"/>
    <w:rsid w:val="0054190D"/>
    <w:rsid w:val="00543A03"/>
    <w:rsid w:val="00543F5B"/>
    <w:rsid w:val="0054431D"/>
    <w:rsid w:val="0054464C"/>
    <w:rsid w:val="0054465A"/>
    <w:rsid w:val="00545A37"/>
    <w:rsid w:val="00546F52"/>
    <w:rsid w:val="0054728A"/>
    <w:rsid w:val="0055031F"/>
    <w:rsid w:val="00551153"/>
    <w:rsid w:val="005531B7"/>
    <w:rsid w:val="00553341"/>
    <w:rsid w:val="00553FE0"/>
    <w:rsid w:val="00554124"/>
    <w:rsid w:val="005543DB"/>
    <w:rsid w:val="0055544D"/>
    <w:rsid w:val="00555E90"/>
    <w:rsid w:val="00555ECC"/>
    <w:rsid w:val="00555EF1"/>
    <w:rsid w:val="00555FE7"/>
    <w:rsid w:val="00556421"/>
    <w:rsid w:val="00556442"/>
    <w:rsid w:val="00556725"/>
    <w:rsid w:val="005568FA"/>
    <w:rsid w:val="00557338"/>
    <w:rsid w:val="00560B84"/>
    <w:rsid w:val="00560CEF"/>
    <w:rsid w:val="00560D69"/>
    <w:rsid w:val="00561BDA"/>
    <w:rsid w:val="00563029"/>
    <w:rsid w:val="00566E53"/>
    <w:rsid w:val="0056724D"/>
    <w:rsid w:val="00567265"/>
    <w:rsid w:val="005676BD"/>
    <w:rsid w:val="00570937"/>
    <w:rsid w:val="005714B8"/>
    <w:rsid w:val="00571727"/>
    <w:rsid w:val="0057322C"/>
    <w:rsid w:val="00573716"/>
    <w:rsid w:val="005740C1"/>
    <w:rsid w:val="0057476C"/>
    <w:rsid w:val="005748FE"/>
    <w:rsid w:val="0057508A"/>
    <w:rsid w:val="0057514C"/>
    <w:rsid w:val="00576354"/>
    <w:rsid w:val="00576D93"/>
    <w:rsid w:val="0057721E"/>
    <w:rsid w:val="00577D6B"/>
    <w:rsid w:val="005805FC"/>
    <w:rsid w:val="00581E44"/>
    <w:rsid w:val="005825D0"/>
    <w:rsid w:val="005842AD"/>
    <w:rsid w:val="00584EF8"/>
    <w:rsid w:val="005851B1"/>
    <w:rsid w:val="005859E8"/>
    <w:rsid w:val="005876A6"/>
    <w:rsid w:val="00587AAE"/>
    <w:rsid w:val="00587FA6"/>
    <w:rsid w:val="00590083"/>
    <w:rsid w:val="0059061A"/>
    <w:rsid w:val="0059436A"/>
    <w:rsid w:val="0059546B"/>
    <w:rsid w:val="00595AC9"/>
    <w:rsid w:val="00596C59"/>
    <w:rsid w:val="00596DE3"/>
    <w:rsid w:val="00597560"/>
    <w:rsid w:val="005A2004"/>
    <w:rsid w:val="005A23E0"/>
    <w:rsid w:val="005A2F31"/>
    <w:rsid w:val="005A2FDC"/>
    <w:rsid w:val="005A3466"/>
    <w:rsid w:val="005A36D5"/>
    <w:rsid w:val="005A3B08"/>
    <w:rsid w:val="005A4920"/>
    <w:rsid w:val="005A56F2"/>
    <w:rsid w:val="005A6A3C"/>
    <w:rsid w:val="005B0F07"/>
    <w:rsid w:val="005B0FF1"/>
    <w:rsid w:val="005B149C"/>
    <w:rsid w:val="005B14CC"/>
    <w:rsid w:val="005B58D7"/>
    <w:rsid w:val="005B6575"/>
    <w:rsid w:val="005C0D35"/>
    <w:rsid w:val="005C18A2"/>
    <w:rsid w:val="005C2EC0"/>
    <w:rsid w:val="005C31CA"/>
    <w:rsid w:val="005C417D"/>
    <w:rsid w:val="005C4834"/>
    <w:rsid w:val="005C4977"/>
    <w:rsid w:val="005C4F53"/>
    <w:rsid w:val="005C5309"/>
    <w:rsid w:val="005C5FC7"/>
    <w:rsid w:val="005C6416"/>
    <w:rsid w:val="005C7622"/>
    <w:rsid w:val="005C7B2A"/>
    <w:rsid w:val="005C7BD2"/>
    <w:rsid w:val="005D065C"/>
    <w:rsid w:val="005D0774"/>
    <w:rsid w:val="005D0E53"/>
    <w:rsid w:val="005D36FA"/>
    <w:rsid w:val="005D3E5C"/>
    <w:rsid w:val="005D42D2"/>
    <w:rsid w:val="005D4F68"/>
    <w:rsid w:val="005D5E99"/>
    <w:rsid w:val="005D6247"/>
    <w:rsid w:val="005D6B5B"/>
    <w:rsid w:val="005D7109"/>
    <w:rsid w:val="005D7B50"/>
    <w:rsid w:val="005D7E2C"/>
    <w:rsid w:val="005E03C0"/>
    <w:rsid w:val="005E042F"/>
    <w:rsid w:val="005E0AEE"/>
    <w:rsid w:val="005E1436"/>
    <w:rsid w:val="005E225E"/>
    <w:rsid w:val="005E24DA"/>
    <w:rsid w:val="005E2B25"/>
    <w:rsid w:val="005E3476"/>
    <w:rsid w:val="005E3B08"/>
    <w:rsid w:val="005E446A"/>
    <w:rsid w:val="005E4945"/>
    <w:rsid w:val="005E6500"/>
    <w:rsid w:val="005E6D63"/>
    <w:rsid w:val="005E6F0D"/>
    <w:rsid w:val="005E75AF"/>
    <w:rsid w:val="005F08EE"/>
    <w:rsid w:val="005F20E5"/>
    <w:rsid w:val="005F2756"/>
    <w:rsid w:val="005F2D88"/>
    <w:rsid w:val="005F3F0C"/>
    <w:rsid w:val="005F3F84"/>
    <w:rsid w:val="005F42E7"/>
    <w:rsid w:val="005F4D5B"/>
    <w:rsid w:val="005F4F3D"/>
    <w:rsid w:val="005F5029"/>
    <w:rsid w:val="005F5F86"/>
    <w:rsid w:val="005F62AA"/>
    <w:rsid w:val="005F6381"/>
    <w:rsid w:val="005F65CD"/>
    <w:rsid w:val="005F6750"/>
    <w:rsid w:val="0060023A"/>
    <w:rsid w:val="00600E75"/>
    <w:rsid w:val="006017AD"/>
    <w:rsid w:val="006018F2"/>
    <w:rsid w:val="00602936"/>
    <w:rsid w:val="0060306F"/>
    <w:rsid w:val="00603472"/>
    <w:rsid w:val="006038D8"/>
    <w:rsid w:val="0060391E"/>
    <w:rsid w:val="006048B2"/>
    <w:rsid w:val="00604BFC"/>
    <w:rsid w:val="006051E4"/>
    <w:rsid w:val="006066EA"/>
    <w:rsid w:val="00606F07"/>
    <w:rsid w:val="006071EB"/>
    <w:rsid w:val="006100EB"/>
    <w:rsid w:val="00610319"/>
    <w:rsid w:val="0061066E"/>
    <w:rsid w:val="00610E9F"/>
    <w:rsid w:val="00611234"/>
    <w:rsid w:val="00612405"/>
    <w:rsid w:val="00612A71"/>
    <w:rsid w:val="00614799"/>
    <w:rsid w:val="0061515A"/>
    <w:rsid w:val="00615208"/>
    <w:rsid w:val="006154B5"/>
    <w:rsid w:val="00616D74"/>
    <w:rsid w:val="006209CD"/>
    <w:rsid w:val="006219FB"/>
    <w:rsid w:val="00622D32"/>
    <w:rsid w:val="00622DD4"/>
    <w:rsid w:val="00622DE3"/>
    <w:rsid w:val="00623467"/>
    <w:rsid w:val="00623CB7"/>
    <w:rsid w:val="0062442B"/>
    <w:rsid w:val="00626391"/>
    <w:rsid w:val="00626565"/>
    <w:rsid w:val="0063043D"/>
    <w:rsid w:val="00631155"/>
    <w:rsid w:val="0063175D"/>
    <w:rsid w:val="0063300C"/>
    <w:rsid w:val="00633301"/>
    <w:rsid w:val="006336CC"/>
    <w:rsid w:val="00633A9F"/>
    <w:rsid w:val="006340C3"/>
    <w:rsid w:val="00634139"/>
    <w:rsid w:val="00636314"/>
    <w:rsid w:val="006366A6"/>
    <w:rsid w:val="00636824"/>
    <w:rsid w:val="00636CBB"/>
    <w:rsid w:val="0064008A"/>
    <w:rsid w:val="00642D02"/>
    <w:rsid w:val="00643836"/>
    <w:rsid w:val="00644D2D"/>
    <w:rsid w:val="006462B7"/>
    <w:rsid w:val="00650570"/>
    <w:rsid w:val="00650845"/>
    <w:rsid w:val="0065206F"/>
    <w:rsid w:val="00652B5C"/>
    <w:rsid w:val="00653242"/>
    <w:rsid w:val="006543DC"/>
    <w:rsid w:val="006549D2"/>
    <w:rsid w:val="00655127"/>
    <w:rsid w:val="0065749B"/>
    <w:rsid w:val="006575BA"/>
    <w:rsid w:val="00657B60"/>
    <w:rsid w:val="00661BDC"/>
    <w:rsid w:val="00662393"/>
    <w:rsid w:val="0066418E"/>
    <w:rsid w:val="006649D8"/>
    <w:rsid w:val="00664D98"/>
    <w:rsid w:val="00665349"/>
    <w:rsid w:val="006653F6"/>
    <w:rsid w:val="006655CE"/>
    <w:rsid w:val="00665783"/>
    <w:rsid w:val="00667E64"/>
    <w:rsid w:val="00671278"/>
    <w:rsid w:val="006716CB"/>
    <w:rsid w:val="0067180E"/>
    <w:rsid w:val="00671945"/>
    <w:rsid w:val="00671EB4"/>
    <w:rsid w:val="00672721"/>
    <w:rsid w:val="00673405"/>
    <w:rsid w:val="00674020"/>
    <w:rsid w:val="00674989"/>
    <w:rsid w:val="00676B18"/>
    <w:rsid w:val="00676DDD"/>
    <w:rsid w:val="00677F11"/>
    <w:rsid w:val="0068047C"/>
    <w:rsid w:val="00680E98"/>
    <w:rsid w:val="00681A4E"/>
    <w:rsid w:val="00681A53"/>
    <w:rsid w:val="00682482"/>
    <w:rsid w:val="00682718"/>
    <w:rsid w:val="00682B31"/>
    <w:rsid w:val="00682F32"/>
    <w:rsid w:val="00682FAC"/>
    <w:rsid w:val="00683F61"/>
    <w:rsid w:val="00684A94"/>
    <w:rsid w:val="00686658"/>
    <w:rsid w:val="00686B53"/>
    <w:rsid w:val="00686C29"/>
    <w:rsid w:val="00686D2F"/>
    <w:rsid w:val="00690295"/>
    <w:rsid w:val="006912DF"/>
    <w:rsid w:val="006915CF"/>
    <w:rsid w:val="006924B1"/>
    <w:rsid w:val="006936D6"/>
    <w:rsid w:val="00694129"/>
    <w:rsid w:val="00694BE4"/>
    <w:rsid w:val="00694F6E"/>
    <w:rsid w:val="0069521E"/>
    <w:rsid w:val="0069562D"/>
    <w:rsid w:val="00695AD7"/>
    <w:rsid w:val="006970F4"/>
    <w:rsid w:val="006974A2"/>
    <w:rsid w:val="00697B61"/>
    <w:rsid w:val="006A06D6"/>
    <w:rsid w:val="006A0F06"/>
    <w:rsid w:val="006A208F"/>
    <w:rsid w:val="006A20C2"/>
    <w:rsid w:val="006A24BF"/>
    <w:rsid w:val="006A2BA4"/>
    <w:rsid w:val="006A3DD6"/>
    <w:rsid w:val="006A4582"/>
    <w:rsid w:val="006A4ADE"/>
    <w:rsid w:val="006A4ED9"/>
    <w:rsid w:val="006A5430"/>
    <w:rsid w:val="006A5905"/>
    <w:rsid w:val="006A5ACE"/>
    <w:rsid w:val="006A6073"/>
    <w:rsid w:val="006A67F3"/>
    <w:rsid w:val="006A68C1"/>
    <w:rsid w:val="006A6DEA"/>
    <w:rsid w:val="006A78FA"/>
    <w:rsid w:val="006A7FAD"/>
    <w:rsid w:val="006B06E3"/>
    <w:rsid w:val="006B079E"/>
    <w:rsid w:val="006B0A55"/>
    <w:rsid w:val="006B0CC0"/>
    <w:rsid w:val="006B0FBA"/>
    <w:rsid w:val="006B131F"/>
    <w:rsid w:val="006B19D4"/>
    <w:rsid w:val="006B1EC7"/>
    <w:rsid w:val="006B3717"/>
    <w:rsid w:val="006B3812"/>
    <w:rsid w:val="006B3E0C"/>
    <w:rsid w:val="006B48C7"/>
    <w:rsid w:val="006B50AE"/>
    <w:rsid w:val="006B5A48"/>
    <w:rsid w:val="006B67EB"/>
    <w:rsid w:val="006B67EF"/>
    <w:rsid w:val="006B7DFC"/>
    <w:rsid w:val="006C0162"/>
    <w:rsid w:val="006C1CC3"/>
    <w:rsid w:val="006C2450"/>
    <w:rsid w:val="006C2DA1"/>
    <w:rsid w:val="006C304B"/>
    <w:rsid w:val="006C35EA"/>
    <w:rsid w:val="006C396E"/>
    <w:rsid w:val="006C42DC"/>
    <w:rsid w:val="006C4715"/>
    <w:rsid w:val="006C4C20"/>
    <w:rsid w:val="006C4D47"/>
    <w:rsid w:val="006C5EC5"/>
    <w:rsid w:val="006C6F35"/>
    <w:rsid w:val="006C7B84"/>
    <w:rsid w:val="006D20B6"/>
    <w:rsid w:val="006D20C6"/>
    <w:rsid w:val="006D2190"/>
    <w:rsid w:val="006D343C"/>
    <w:rsid w:val="006D3955"/>
    <w:rsid w:val="006D48F1"/>
    <w:rsid w:val="006D4F2A"/>
    <w:rsid w:val="006D589E"/>
    <w:rsid w:val="006D5B86"/>
    <w:rsid w:val="006D6301"/>
    <w:rsid w:val="006D67F2"/>
    <w:rsid w:val="006D6D8A"/>
    <w:rsid w:val="006D734B"/>
    <w:rsid w:val="006E0E16"/>
    <w:rsid w:val="006E3379"/>
    <w:rsid w:val="006E3CEA"/>
    <w:rsid w:val="006E3D80"/>
    <w:rsid w:val="006E45D9"/>
    <w:rsid w:val="006E4D45"/>
    <w:rsid w:val="006E4F37"/>
    <w:rsid w:val="006E5290"/>
    <w:rsid w:val="006E5A6C"/>
    <w:rsid w:val="006E5AA5"/>
    <w:rsid w:val="006E5C6F"/>
    <w:rsid w:val="006E66E0"/>
    <w:rsid w:val="006E6F80"/>
    <w:rsid w:val="006E7E1C"/>
    <w:rsid w:val="006F0291"/>
    <w:rsid w:val="006F16F6"/>
    <w:rsid w:val="006F1869"/>
    <w:rsid w:val="006F1945"/>
    <w:rsid w:val="006F1AFE"/>
    <w:rsid w:val="006F3E63"/>
    <w:rsid w:val="006F5375"/>
    <w:rsid w:val="006F5D17"/>
    <w:rsid w:val="006F6F71"/>
    <w:rsid w:val="006F7E50"/>
    <w:rsid w:val="007001CB"/>
    <w:rsid w:val="00700460"/>
    <w:rsid w:val="007009BC"/>
    <w:rsid w:val="00700ABF"/>
    <w:rsid w:val="007014FB"/>
    <w:rsid w:val="00701664"/>
    <w:rsid w:val="00702466"/>
    <w:rsid w:val="00704123"/>
    <w:rsid w:val="007044D4"/>
    <w:rsid w:val="00704DF0"/>
    <w:rsid w:val="00705E33"/>
    <w:rsid w:val="00710492"/>
    <w:rsid w:val="007106BA"/>
    <w:rsid w:val="00710855"/>
    <w:rsid w:val="0071099F"/>
    <w:rsid w:val="00710B54"/>
    <w:rsid w:val="00710CFA"/>
    <w:rsid w:val="00712108"/>
    <w:rsid w:val="00712299"/>
    <w:rsid w:val="00712A4B"/>
    <w:rsid w:val="007130BC"/>
    <w:rsid w:val="00713755"/>
    <w:rsid w:val="0071424E"/>
    <w:rsid w:val="00715F00"/>
    <w:rsid w:val="007174DD"/>
    <w:rsid w:val="007179B5"/>
    <w:rsid w:val="007221B9"/>
    <w:rsid w:val="00722602"/>
    <w:rsid w:val="00722A35"/>
    <w:rsid w:val="00723684"/>
    <w:rsid w:val="00723D5C"/>
    <w:rsid w:val="0072454E"/>
    <w:rsid w:val="00724DDE"/>
    <w:rsid w:val="007261D7"/>
    <w:rsid w:val="007270FB"/>
    <w:rsid w:val="0072782D"/>
    <w:rsid w:val="00727AA7"/>
    <w:rsid w:val="00730B6F"/>
    <w:rsid w:val="0073209E"/>
    <w:rsid w:val="00732438"/>
    <w:rsid w:val="00732CEC"/>
    <w:rsid w:val="00733AE5"/>
    <w:rsid w:val="0073427A"/>
    <w:rsid w:val="00734404"/>
    <w:rsid w:val="0073455F"/>
    <w:rsid w:val="00734C60"/>
    <w:rsid w:val="00734F92"/>
    <w:rsid w:val="00736641"/>
    <w:rsid w:val="0073782B"/>
    <w:rsid w:val="0073788A"/>
    <w:rsid w:val="007379A9"/>
    <w:rsid w:val="00741DE4"/>
    <w:rsid w:val="00742295"/>
    <w:rsid w:val="00742EA3"/>
    <w:rsid w:val="00743A7F"/>
    <w:rsid w:val="00743C5B"/>
    <w:rsid w:val="00744BE8"/>
    <w:rsid w:val="0074519F"/>
    <w:rsid w:val="0074540A"/>
    <w:rsid w:val="00745E09"/>
    <w:rsid w:val="0074655D"/>
    <w:rsid w:val="00746930"/>
    <w:rsid w:val="00746F8C"/>
    <w:rsid w:val="0074772E"/>
    <w:rsid w:val="00750B9F"/>
    <w:rsid w:val="0075263E"/>
    <w:rsid w:val="007533CC"/>
    <w:rsid w:val="00754A1B"/>
    <w:rsid w:val="00754AD5"/>
    <w:rsid w:val="00755178"/>
    <w:rsid w:val="007553ED"/>
    <w:rsid w:val="00760C94"/>
    <w:rsid w:val="00761354"/>
    <w:rsid w:val="0076187B"/>
    <w:rsid w:val="00762E98"/>
    <w:rsid w:val="007638EB"/>
    <w:rsid w:val="00766559"/>
    <w:rsid w:val="007666BA"/>
    <w:rsid w:val="0077049A"/>
    <w:rsid w:val="00770AD8"/>
    <w:rsid w:val="00771C90"/>
    <w:rsid w:val="007723CE"/>
    <w:rsid w:val="007737E0"/>
    <w:rsid w:val="00773C72"/>
    <w:rsid w:val="00774A6C"/>
    <w:rsid w:val="00774B9F"/>
    <w:rsid w:val="00774C88"/>
    <w:rsid w:val="00774CEF"/>
    <w:rsid w:val="007757BA"/>
    <w:rsid w:val="00777DD5"/>
    <w:rsid w:val="00777E71"/>
    <w:rsid w:val="0078077D"/>
    <w:rsid w:val="00780B68"/>
    <w:rsid w:val="00780B6C"/>
    <w:rsid w:val="00780CAE"/>
    <w:rsid w:val="00780E9B"/>
    <w:rsid w:val="00782851"/>
    <w:rsid w:val="00782856"/>
    <w:rsid w:val="007836ED"/>
    <w:rsid w:val="00785EA1"/>
    <w:rsid w:val="00786046"/>
    <w:rsid w:val="007863CC"/>
    <w:rsid w:val="00786A84"/>
    <w:rsid w:val="00786BD3"/>
    <w:rsid w:val="007879FA"/>
    <w:rsid w:val="0079034F"/>
    <w:rsid w:val="007909D0"/>
    <w:rsid w:val="007917FB"/>
    <w:rsid w:val="00791953"/>
    <w:rsid w:val="00791D1D"/>
    <w:rsid w:val="007921AD"/>
    <w:rsid w:val="00792F44"/>
    <w:rsid w:val="0079324E"/>
    <w:rsid w:val="007949DA"/>
    <w:rsid w:val="007952D4"/>
    <w:rsid w:val="00796054"/>
    <w:rsid w:val="007964C6"/>
    <w:rsid w:val="00796578"/>
    <w:rsid w:val="0079675C"/>
    <w:rsid w:val="00797165"/>
    <w:rsid w:val="0079761E"/>
    <w:rsid w:val="00797881"/>
    <w:rsid w:val="00797F0E"/>
    <w:rsid w:val="007A084D"/>
    <w:rsid w:val="007A3AD0"/>
    <w:rsid w:val="007A41A4"/>
    <w:rsid w:val="007A452D"/>
    <w:rsid w:val="007A4E3A"/>
    <w:rsid w:val="007A657F"/>
    <w:rsid w:val="007A685F"/>
    <w:rsid w:val="007A6953"/>
    <w:rsid w:val="007A71F0"/>
    <w:rsid w:val="007A78B1"/>
    <w:rsid w:val="007B0A83"/>
    <w:rsid w:val="007B172B"/>
    <w:rsid w:val="007B2FE0"/>
    <w:rsid w:val="007B3432"/>
    <w:rsid w:val="007B3BB6"/>
    <w:rsid w:val="007B464B"/>
    <w:rsid w:val="007B57EB"/>
    <w:rsid w:val="007B58B1"/>
    <w:rsid w:val="007B6633"/>
    <w:rsid w:val="007B6BEB"/>
    <w:rsid w:val="007B6C43"/>
    <w:rsid w:val="007B724C"/>
    <w:rsid w:val="007B7D0C"/>
    <w:rsid w:val="007B7FAD"/>
    <w:rsid w:val="007C0F53"/>
    <w:rsid w:val="007C0F7B"/>
    <w:rsid w:val="007C1F20"/>
    <w:rsid w:val="007C2898"/>
    <w:rsid w:val="007C4603"/>
    <w:rsid w:val="007C5FEB"/>
    <w:rsid w:val="007D071F"/>
    <w:rsid w:val="007D094B"/>
    <w:rsid w:val="007D203B"/>
    <w:rsid w:val="007D336D"/>
    <w:rsid w:val="007D3E0D"/>
    <w:rsid w:val="007D4444"/>
    <w:rsid w:val="007D487F"/>
    <w:rsid w:val="007D5719"/>
    <w:rsid w:val="007D5A5A"/>
    <w:rsid w:val="007D636F"/>
    <w:rsid w:val="007D664C"/>
    <w:rsid w:val="007D7B2B"/>
    <w:rsid w:val="007E152F"/>
    <w:rsid w:val="007E2956"/>
    <w:rsid w:val="007E2A50"/>
    <w:rsid w:val="007E3337"/>
    <w:rsid w:val="007E3F90"/>
    <w:rsid w:val="007E4008"/>
    <w:rsid w:val="007E446F"/>
    <w:rsid w:val="007E47B9"/>
    <w:rsid w:val="007E5C69"/>
    <w:rsid w:val="007E5E30"/>
    <w:rsid w:val="007E6A9E"/>
    <w:rsid w:val="007E7CE9"/>
    <w:rsid w:val="007F1FB3"/>
    <w:rsid w:val="007F25C8"/>
    <w:rsid w:val="007F3748"/>
    <w:rsid w:val="007F3D40"/>
    <w:rsid w:val="007F551A"/>
    <w:rsid w:val="007F78DE"/>
    <w:rsid w:val="007F7CBB"/>
    <w:rsid w:val="007F7D9D"/>
    <w:rsid w:val="00800CA9"/>
    <w:rsid w:val="00802103"/>
    <w:rsid w:val="00804007"/>
    <w:rsid w:val="00804065"/>
    <w:rsid w:val="0080483F"/>
    <w:rsid w:val="008057A3"/>
    <w:rsid w:val="00806656"/>
    <w:rsid w:val="00806F10"/>
    <w:rsid w:val="00807296"/>
    <w:rsid w:val="008075B7"/>
    <w:rsid w:val="00807A9F"/>
    <w:rsid w:val="008104BA"/>
    <w:rsid w:val="00810DCF"/>
    <w:rsid w:val="008116A1"/>
    <w:rsid w:val="00811DD3"/>
    <w:rsid w:val="008141BC"/>
    <w:rsid w:val="008143B8"/>
    <w:rsid w:val="008151B5"/>
    <w:rsid w:val="00816478"/>
    <w:rsid w:val="00816BE4"/>
    <w:rsid w:val="0081767E"/>
    <w:rsid w:val="00817FD4"/>
    <w:rsid w:val="00820B0B"/>
    <w:rsid w:val="00821204"/>
    <w:rsid w:val="00821ADD"/>
    <w:rsid w:val="008230F2"/>
    <w:rsid w:val="00823458"/>
    <w:rsid w:val="008244FC"/>
    <w:rsid w:val="008255F6"/>
    <w:rsid w:val="008258BD"/>
    <w:rsid w:val="00826EB2"/>
    <w:rsid w:val="00827860"/>
    <w:rsid w:val="00830715"/>
    <w:rsid w:val="00832081"/>
    <w:rsid w:val="00832BEB"/>
    <w:rsid w:val="00832D5D"/>
    <w:rsid w:val="0083534D"/>
    <w:rsid w:val="00837546"/>
    <w:rsid w:val="00837CE2"/>
    <w:rsid w:val="00840D4B"/>
    <w:rsid w:val="00841551"/>
    <w:rsid w:val="008418E4"/>
    <w:rsid w:val="00841EB0"/>
    <w:rsid w:val="00842279"/>
    <w:rsid w:val="00843008"/>
    <w:rsid w:val="008431D4"/>
    <w:rsid w:val="008435F3"/>
    <w:rsid w:val="00843722"/>
    <w:rsid w:val="008442F1"/>
    <w:rsid w:val="00844584"/>
    <w:rsid w:val="00844C1C"/>
    <w:rsid w:val="0084774C"/>
    <w:rsid w:val="008477F0"/>
    <w:rsid w:val="008506A0"/>
    <w:rsid w:val="0085124D"/>
    <w:rsid w:val="00851579"/>
    <w:rsid w:val="00852883"/>
    <w:rsid w:val="008529A4"/>
    <w:rsid w:val="00852EF4"/>
    <w:rsid w:val="008530B1"/>
    <w:rsid w:val="008540CF"/>
    <w:rsid w:val="008554AA"/>
    <w:rsid w:val="008565C6"/>
    <w:rsid w:val="008568B6"/>
    <w:rsid w:val="00856AF0"/>
    <w:rsid w:val="00856FE3"/>
    <w:rsid w:val="0085767E"/>
    <w:rsid w:val="0086049C"/>
    <w:rsid w:val="00862399"/>
    <w:rsid w:val="00863B0B"/>
    <w:rsid w:val="00864035"/>
    <w:rsid w:val="008647B7"/>
    <w:rsid w:val="00865863"/>
    <w:rsid w:val="008666BE"/>
    <w:rsid w:val="008675D8"/>
    <w:rsid w:val="00867EC3"/>
    <w:rsid w:val="00870BA1"/>
    <w:rsid w:val="0087188F"/>
    <w:rsid w:val="00871A3B"/>
    <w:rsid w:val="00872E1D"/>
    <w:rsid w:val="008730FC"/>
    <w:rsid w:val="0087401C"/>
    <w:rsid w:val="00875076"/>
    <w:rsid w:val="0087592B"/>
    <w:rsid w:val="00875E3D"/>
    <w:rsid w:val="00876858"/>
    <w:rsid w:val="00876D50"/>
    <w:rsid w:val="00876DBF"/>
    <w:rsid w:val="00877522"/>
    <w:rsid w:val="00877527"/>
    <w:rsid w:val="0087771F"/>
    <w:rsid w:val="008808A6"/>
    <w:rsid w:val="0088109B"/>
    <w:rsid w:val="0088173C"/>
    <w:rsid w:val="00882333"/>
    <w:rsid w:val="00882723"/>
    <w:rsid w:val="00882A58"/>
    <w:rsid w:val="00882C22"/>
    <w:rsid w:val="00883868"/>
    <w:rsid w:val="00884631"/>
    <w:rsid w:val="0088685D"/>
    <w:rsid w:val="0088755B"/>
    <w:rsid w:val="00891D4F"/>
    <w:rsid w:val="008923BE"/>
    <w:rsid w:val="00893361"/>
    <w:rsid w:val="00894F10"/>
    <w:rsid w:val="00895BCA"/>
    <w:rsid w:val="00895F4A"/>
    <w:rsid w:val="008962AE"/>
    <w:rsid w:val="00896628"/>
    <w:rsid w:val="008A0809"/>
    <w:rsid w:val="008A08E1"/>
    <w:rsid w:val="008A1342"/>
    <w:rsid w:val="008A1B9A"/>
    <w:rsid w:val="008A242B"/>
    <w:rsid w:val="008A3AE0"/>
    <w:rsid w:val="008A3E11"/>
    <w:rsid w:val="008A62A9"/>
    <w:rsid w:val="008A68CC"/>
    <w:rsid w:val="008A7942"/>
    <w:rsid w:val="008B0169"/>
    <w:rsid w:val="008B03E9"/>
    <w:rsid w:val="008B1207"/>
    <w:rsid w:val="008B1CF0"/>
    <w:rsid w:val="008B4375"/>
    <w:rsid w:val="008C1E07"/>
    <w:rsid w:val="008C216D"/>
    <w:rsid w:val="008C2587"/>
    <w:rsid w:val="008C2620"/>
    <w:rsid w:val="008C3907"/>
    <w:rsid w:val="008C431A"/>
    <w:rsid w:val="008C5E06"/>
    <w:rsid w:val="008C672D"/>
    <w:rsid w:val="008C7115"/>
    <w:rsid w:val="008D1344"/>
    <w:rsid w:val="008D23FF"/>
    <w:rsid w:val="008D36D0"/>
    <w:rsid w:val="008D3F20"/>
    <w:rsid w:val="008D42B7"/>
    <w:rsid w:val="008D5100"/>
    <w:rsid w:val="008D5598"/>
    <w:rsid w:val="008D602A"/>
    <w:rsid w:val="008D66FC"/>
    <w:rsid w:val="008D6B94"/>
    <w:rsid w:val="008D7BD6"/>
    <w:rsid w:val="008E064F"/>
    <w:rsid w:val="008E1E56"/>
    <w:rsid w:val="008E2888"/>
    <w:rsid w:val="008E4029"/>
    <w:rsid w:val="008E5527"/>
    <w:rsid w:val="008E59E3"/>
    <w:rsid w:val="008E5EB9"/>
    <w:rsid w:val="008E6232"/>
    <w:rsid w:val="008E6F13"/>
    <w:rsid w:val="008E6F17"/>
    <w:rsid w:val="008E7CB5"/>
    <w:rsid w:val="008F00A5"/>
    <w:rsid w:val="008F0191"/>
    <w:rsid w:val="008F02D3"/>
    <w:rsid w:val="008F0376"/>
    <w:rsid w:val="008F12D4"/>
    <w:rsid w:val="008F253C"/>
    <w:rsid w:val="008F3286"/>
    <w:rsid w:val="008F3E3F"/>
    <w:rsid w:val="008F4228"/>
    <w:rsid w:val="008F42F3"/>
    <w:rsid w:val="008F546D"/>
    <w:rsid w:val="008F7B30"/>
    <w:rsid w:val="008F7D6E"/>
    <w:rsid w:val="009003F6"/>
    <w:rsid w:val="00900985"/>
    <w:rsid w:val="009010A3"/>
    <w:rsid w:val="00901239"/>
    <w:rsid w:val="00904194"/>
    <w:rsid w:val="009056B0"/>
    <w:rsid w:val="0090592F"/>
    <w:rsid w:val="00905ED8"/>
    <w:rsid w:val="009068A3"/>
    <w:rsid w:val="00906E49"/>
    <w:rsid w:val="009113CA"/>
    <w:rsid w:val="00911876"/>
    <w:rsid w:val="00911DA1"/>
    <w:rsid w:val="00912D74"/>
    <w:rsid w:val="009136E3"/>
    <w:rsid w:val="009137FC"/>
    <w:rsid w:val="009163A7"/>
    <w:rsid w:val="009163AD"/>
    <w:rsid w:val="00916492"/>
    <w:rsid w:val="00916A80"/>
    <w:rsid w:val="00917467"/>
    <w:rsid w:val="0091753E"/>
    <w:rsid w:val="00920598"/>
    <w:rsid w:val="00920CBA"/>
    <w:rsid w:val="00920D35"/>
    <w:rsid w:val="00921015"/>
    <w:rsid w:val="009226EB"/>
    <w:rsid w:val="009232B1"/>
    <w:rsid w:val="00923E1B"/>
    <w:rsid w:val="0092449B"/>
    <w:rsid w:val="00924541"/>
    <w:rsid w:val="009245E6"/>
    <w:rsid w:val="00924C42"/>
    <w:rsid w:val="00925B84"/>
    <w:rsid w:val="00925CE7"/>
    <w:rsid w:val="00926A1C"/>
    <w:rsid w:val="00926EE1"/>
    <w:rsid w:val="00926EEA"/>
    <w:rsid w:val="0092740A"/>
    <w:rsid w:val="00927872"/>
    <w:rsid w:val="00927CA8"/>
    <w:rsid w:val="00930638"/>
    <w:rsid w:val="00930F89"/>
    <w:rsid w:val="0093157E"/>
    <w:rsid w:val="009318E3"/>
    <w:rsid w:val="00931939"/>
    <w:rsid w:val="009319D7"/>
    <w:rsid w:val="00931AA9"/>
    <w:rsid w:val="00931C72"/>
    <w:rsid w:val="00932D1A"/>
    <w:rsid w:val="00933525"/>
    <w:rsid w:val="00934A6D"/>
    <w:rsid w:val="009356D3"/>
    <w:rsid w:val="00935E17"/>
    <w:rsid w:val="0093687A"/>
    <w:rsid w:val="00937BF0"/>
    <w:rsid w:val="009400FD"/>
    <w:rsid w:val="00940FDE"/>
    <w:rsid w:val="00941053"/>
    <w:rsid w:val="00941B03"/>
    <w:rsid w:val="0094211D"/>
    <w:rsid w:val="009428CA"/>
    <w:rsid w:val="0094317A"/>
    <w:rsid w:val="00943575"/>
    <w:rsid w:val="009436A5"/>
    <w:rsid w:val="00944301"/>
    <w:rsid w:val="0094433F"/>
    <w:rsid w:val="00947180"/>
    <w:rsid w:val="00947B39"/>
    <w:rsid w:val="00947F55"/>
    <w:rsid w:val="00950557"/>
    <w:rsid w:val="009529DF"/>
    <w:rsid w:val="00952CC7"/>
    <w:rsid w:val="009534D8"/>
    <w:rsid w:val="00954176"/>
    <w:rsid w:val="0095468A"/>
    <w:rsid w:val="009547A7"/>
    <w:rsid w:val="00956D66"/>
    <w:rsid w:val="0095728F"/>
    <w:rsid w:val="00957596"/>
    <w:rsid w:val="0096007E"/>
    <w:rsid w:val="0096027A"/>
    <w:rsid w:val="0096114F"/>
    <w:rsid w:val="0096273C"/>
    <w:rsid w:val="0096345D"/>
    <w:rsid w:val="00964BF2"/>
    <w:rsid w:val="00965214"/>
    <w:rsid w:val="00966298"/>
    <w:rsid w:val="009665CA"/>
    <w:rsid w:val="0096661C"/>
    <w:rsid w:val="00966B8C"/>
    <w:rsid w:val="00966D21"/>
    <w:rsid w:val="00967AA7"/>
    <w:rsid w:val="00967B7D"/>
    <w:rsid w:val="00973536"/>
    <w:rsid w:val="0097373F"/>
    <w:rsid w:val="00974366"/>
    <w:rsid w:val="00974CAA"/>
    <w:rsid w:val="00974F07"/>
    <w:rsid w:val="00975AA1"/>
    <w:rsid w:val="009768E9"/>
    <w:rsid w:val="00976B7D"/>
    <w:rsid w:val="00981800"/>
    <w:rsid w:val="00981948"/>
    <w:rsid w:val="00981C55"/>
    <w:rsid w:val="00982392"/>
    <w:rsid w:val="00983CDB"/>
    <w:rsid w:val="00983FDF"/>
    <w:rsid w:val="0098422F"/>
    <w:rsid w:val="0098482D"/>
    <w:rsid w:val="00984BF3"/>
    <w:rsid w:val="009850D3"/>
    <w:rsid w:val="00985691"/>
    <w:rsid w:val="0098611C"/>
    <w:rsid w:val="00986A6F"/>
    <w:rsid w:val="00991728"/>
    <w:rsid w:val="00992893"/>
    <w:rsid w:val="00992B7E"/>
    <w:rsid w:val="009931CD"/>
    <w:rsid w:val="0099416C"/>
    <w:rsid w:val="00994999"/>
    <w:rsid w:val="00994C1D"/>
    <w:rsid w:val="00994D9D"/>
    <w:rsid w:val="009950F4"/>
    <w:rsid w:val="00996BAA"/>
    <w:rsid w:val="00996DF8"/>
    <w:rsid w:val="00996E76"/>
    <w:rsid w:val="00996FBF"/>
    <w:rsid w:val="009A1259"/>
    <w:rsid w:val="009A13B6"/>
    <w:rsid w:val="009A1C42"/>
    <w:rsid w:val="009A2470"/>
    <w:rsid w:val="009A2EE6"/>
    <w:rsid w:val="009A36BA"/>
    <w:rsid w:val="009A43E9"/>
    <w:rsid w:val="009A4AFE"/>
    <w:rsid w:val="009A4BA3"/>
    <w:rsid w:val="009A5111"/>
    <w:rsid w:val="009A7BBD"/>
    <w:rsid w:val="009B175A"/>
    <w:rsid w:val="009B18A5"/>
    <w:rsid w:val="009B29F4"/>
    <w:rsid w:val="009B3294"/>
    <w:rsid w:val="009B415D"/>
    <w:rsid w:val="009B4DAB"/>
    <w:rsid w:val="009B5329"/>
    <w:rsid w:val="009B56AD"/>
    <w:rsid w:val="009B772C"/>
    <w:rsid w:val="009C02F1"/>
    <w:rsid w:val="009C0625"/>
    <w:rsid w:val="009C1874"/>
    <w:rsid w:val="009C1C1F"/>
    <w:rsid w:val="009C2153"/>
    <w:rsid w:val="009C31F3"/>
    <w:rsid w:val="009C3DD1"/>
    <w:rsid w:val="009C4EBD"/>
    <w:rsid w:val="009C502F"/>
    <w:rsid w:val="009C62A2"/>
    <w:rsid w:val="009C645E"/>
    <w:rsid w:val="009C7374"/>
    <w:rsid w:val="009C737F"/>
    <w:rsid w:val="009C78F8"/>
    <w:rsid w:val="009D00E6"/>
    <w:rsid w:val="009D0A05"/>
    <w:rsid w:val="009D0FC7"/>
    <w:rsid w:val="009D155B"/>
    <w:rsid w:val="009D2443"/>
    <w:rsid w:val="009D24CE"/>
    <w:rsid w:val="009D4165"/>
    <w:rsid w:val="009D4E3D"/>
    <w:rsid w:val="009D5B18"/>
    <w:rsid w:val="009D5C4F"/>
    <w:rsid w:val="009D5E7D"/>
    <w:rsid w:val="009D6A62"/>
    <w:rsid w:val="009D75E5"/>
    <w:rsid w:val="009D769A"/>
    <w:rsid w:val="009E08D4"/>
    <w:rsid w:val="009E0ADB"/>
    <w:rsid w:val="009E1528"/>
    <w:rsid w:val="009E1FD2"/>
    <w:rsid w:val="009E1FF2"/>
    <w:rsid w:val="009E2273"/>
    <w:rsid w:val="009E2832"/>
    <w:rsid w:val="009E4E98"/>
    <w:rsid w:val="009E515C"/>
    <w:rsid w:val="009E5FBB"/>
    <w:rsid w:val="009E63FA"/>
    <w:rsid w:val="009E6894"/>
    <w:rsid w:val="009E7EA6"/>
    <w:rsid w:val="009F111B"/>
    <w:rsid w:val="009F163C"/>
    <w:rsid w:val="009F1ECA"/>
    <w:rsid w:val="009F2D6B"/>
    <w:rsid w:val="009F2FF8"/>
    <w:rsid w:val="009F3C2E"/>
    <w:rsid w:val="009F3FB8"/>
    <w:rsid w:val="009F5CB7"/>
    <w:rsid w:val="009F680B"/>
    <w:rsid w:val="009F75CD"/>
    <w:rsid w:val="009F788A"/>
    <w:rsid w:val="00A00013"/>
    <w:rsid w:val="00A00A0B"/>
    <w:rsid w:val="00A01128"/>
    <w:rsid w:val="00A01A22"/>
    <w:rsid w:val="00A020E8"/>
    <w:rsid w:val="00A0227E"/>
    <w:rsid w:val="00A02751"/>
    <w:rsid w:val="00A02975"/>
    <w:rsid w:val="00A03E79"/>
    <w:rsid w:val="00A047B9"/>
    <w:rsid w:val="00A05934"/>
    <w:rsid w:val="00A05AD8"/>
    <w:rsid w:val="00A0776A"/>
    <w:rsid w:val="00A10A3C"/>
    <w:rsid w:val="00A121F6"/>
    <w:rsid w:val="00A13A74"/>
    <w:rsid w:val="00A15AB7"/>
    <w:rsid w:val="00A15F97"/>
    <w:rsid w:val="00A1695A"/>
    <w:rsid w:val="00A173B1"/>
    <w:rsid w:val="00A176B3"/>
    <w:rsid w:val="00A17A6C"/>
    <w:rsid w:val="00A2033A"/>
    <w:rsid w:val="00A20A73"/>
    <w:rsid w:val="00A20AED"/>
    <w:rsid w:val="00A20D5C"/>
    <w:rsid w:val="00A21E0B"/>
    <w:rsid w:val="00A22864"/>
    <w:rsid w:val="00A24A81"/>
    <w:rsid w:val="00A24CA2"/>
    <w:rsid w:val="00A25793"/>
    <w:rsid w:val="00A25ABF"/>
    <w:rsid w:val="00A25B18"/>
    <w:rsid w:val="00A26DC2"/>
    <w:rsid w:val="00A30866"/>
    <w:rsid w:val="00A31444"/>
    <w:rsid w:val="00A3190B"/>
    <w:rsid w:val="00A31C65"/>
    <w:rsid w:val="00A328A3"/>
    <w:rsid w:val="00A33B0A"/>
    <w:rsid w:val="00A33D5B"/>
    <w:rsid w:val="00A33D9C"/>
    <w:rsid w:val="00A347B1"/>
    <w:rsid w:val="00A34831"/>
    <w:rsid w:val="00A348D1"/>
    <w:rsid w:val="00A367A7"/>
    <w:rsid w:val="00A36CBB"/>
    <w:rsid w:val="00A36E3C"/>
    <w:rsid w:val="00A36EFB"/>
    <w:rsid w:val="00A40295"/>
    <w:rsid w:val="00A40959"/>
    <w:rsid w:val="00A415DA"/>
    <w:rsid w:val="00A41850"/>
    <w:rsid w:val="00A4216A"/>
    <w:rsid w:val="00A43121"/>
    <w:rsid w:val="00A43336"/>
    <w:rsid w:val="00A446BF"/>
    <w:rsid w:val="00A44AED"/>
    <w:rsid w:val="00A45C04"/>
    <w:rsid w:val="00A463A4"/>
    <w:rsid w:val="00A46A5F"/>
    <w:rsid w:val="00A50304"/>
    <w:rsid w:val="00A508AA"/>
    <w:rsid w:val="00A50DD0"/>
    <w:rsid w:val="00A51FCC"/>
    <w:rsid w:val="00A5526C"/>
    <w:rsid w:val="00A553C9"/>
    <w:rsid w:val="00A55FC8"/>
    <w:rsid w:val="00A564D5"/>
    <w:rsid w:val="00A5671E"/>
    <w:rsid w:val="00A5703E"/>
    <w:rsid w:val="00A61FEC"/>
    <w:rsid w:val="00A620CA"/>
    <w:rsid w:val="00A62358"/>
    <w:rsid w:val="00A62AAB"/>
    <w:rsid w:val="00A62BBD"/>
    <w:rsid w:val="00A633D8"/>
    <w:rsid w:val="00A63779"/>
    <w:rsid w:val="00A63F68"/>
    <w:rsid w:val="00A64B0F"/>
    <w:rsid w:val="00A65DB6"/>
    <w:rsid w:val="00A67FF9"/>
    <w:rsid w:val="00A71021"/>
    <w:rsid w:val="00A72D81"/>
    <w:rsid w:val="00A72E09"/>
    <w:rsid w:val="00A7338F"/>
    <w:rsid w:val="00A7447E"/>
    <w:rsid w:val="00A74726"/>
    <w:rsid w:val="00A747F2"/>
    <w:rsid w:val="00A755B6"/>
    <w:rsid w:val="00A756AC"/>
    <w:rsid w:val="00A76B2D"/>
    <w:rsid w:val="00A76F58"/>
    <w:rsid w:val="00A7733D"/>
    <w:rsid w:val="00A77E7B"/>
    <w:rsid w:val="00A805DF"/>
    <w:rsid w:val="00A80CED"/>
    <w:rsid w:val="00A82070"/>
    <w:rsid w:val="00A82904"/>
    <w:rsid w:val="00A82AA3"/>
    <w:rsid w:val="00A82C45"/>
    <w:rsid w:val="00A82D54"/>
    <w:rsid w:val="00A84513"/>
    <w:rsid w:val="00A85937"/>
    <w:rsid w:val="00A85FE9"/>
    <w:rsid w:val="00A8607F"/>
    <w:rsid w:val="00A867A2"/>
    <w:rsid w:val="00A9013E"/>
    <w:rsid w:val="00A9084F"/>
    <w:rsid w:val="00A914A9"/>
    <w:rsid w:val="00A91743"/>
    <w:rsid w:val="00A91D27"/>
    <w:rsid w:val="00A91F47"/>
    <w:rsid w:val="00A92463"/>
    <w:rsid w:val="00A92AFC"/>
    <w:rsid w:val="00A92B6A"/>
    <w:rsid w:val="00A92D4B"/>
    <w:rsid w:val="00A93BAD"/>
    <w:rsid w:val="00A93E4C"/>
    <w:rsid w:val="00A9485E"/>
    <w:rsid w:val="00A94EAE"/>
    <w:rsid w:val="00AA0D57"/>
    <w:rsid w:val="00AA13FF"/>
    <w:rsid w:val="00AA28AC"/>
    <w:rsid w:val="00AA28FB"/>
    <w:rsid w:val="00AA48CD"/>
    <w:rsid w:val="00AA4ADB"/>
    <w:rsid w:val="00AA4F08"/>
    <w:rsid w:val="00AA50C4"/>
    <w:rsid w:val="00AA5AD4"/>
    <w:rsid w:val="00AA78AE"/>
    <w:rsid w:val="00AB06F3"/>
    <w:rsid w:val="00AB0D85"/>
    <w:rsid w:val="00AB17F1"/>
    <w:rsid w:val="00AB21BB"/>
    <w:rsid w:val="00AB29B8"/>
    <w:rsid w:val="00AB2C9A"/>
    <w:rsid w:val="00AB3F89"/>
    <w:rsid w:val="00AB472B"/>
    <w:rsid w:val="00AB5A0E"/>
    <w:rsid w:val="00AB6306"/>
    <w:rsid w:val="00AB71D8"/>
    <w:rsid w:val="00AB7563"/>
    <w:rsid w:val="00AC0B70"/>
    <w:rsid w:val="00AC0BA6"/>
    <w:rsid w:val="00AC18D3"/>
    <w:rsid w:val="00AC2E31"/>
    <w:rsid w:val="00AC3514"/>
    <w:rsid w:val="00AC3B28"/>
    <w:rsid w:val="00AC3E0E"/>
    <w:rsid w:val="00AC4108"/>
    <w:rsid w:val="00AC461F"/>
    <w:rsid w:val="00AC5628"/>
    <w:rsid w:val="00AC633D"/>
    <w:rsid w:val="00AC6F33"/>
    <w:rsid w:val="00AC7030"/>
    <w:rsid w:val="00AD138E"/>
    <w:rsid w:val="00AD2967"/>
    <w:rsid w:val="00AD2CED"/>
    <w:rsid w:val="00AD33D7"/>
    <w:rsid w:val="00AD486C"/>
    <w:rsid w:val="00AD52C5"/>
    <w:rsid w:val="00AD6650"/>
    <w:rsid w:val="00AD7465"/>
    <w:rsid w:val="00AD7762"/>
    <w:rsid w:val="00AE0273"/>
    <w:rsid w:val="00AE02DF"/>
    <w:rsid w:val="00AE0C75"/>
    <w:rsid w:val="00AE1418"/>
    <w:rsid w:val="00AE312A"/>
    <w:rsid w:val="00AE3297"/>
    <w:rsid w:val="00AE349D"/>
    <w:rsid w:val="00AE355C"/>
    <w:rsid w:val="00AE36CB"/>
    <w:rsid w:val="00AE3CB2"/>
    <w:rsid w:val="00AE6934"/>
    <w:rsid w:val="00AE6D7A"/>
    <w:rsid w:val="00AE6FA9"/>
    <w:rsid w:val="00AE771D"/>
    <w:rsid w:val="00AE7CCD"/>
    <w:rsid w:val="00AF026B"/>
    <w:rsid w:val="00AF0523"/>
    <w:rsid w:val="00AF0604"/>
    <w:rsid w:val="00AF20E7"/>
    <w:rsid w:val="00AF256B"/>
    <w:rsid w:val="00AF2EDA"/>
    <w:rsid w:val="00AF3901"/>
    <w:rsid w:val="00AF3EC4"/>
    <w:rsid w:val="00AF40A5"/>
    <w:rsid w:val="00AF44C2"/>
    <w:rsid w:val="00AF4EC0"/>
    <w:rsid w:val="00AF54EF"/>
    <w:rsid w:val="00AF581E"/>
    <w:rsid w:val="00AF5B79"/>
    <w:rsid w:val="00AF6D90"/>
    <w:rsid w:val="00AF7184"/>
    <w:rsid w:val="00AF7620"/>
    <w:rsid w:val="00AF7834"/>
    <w:rsid w:val="00AF7C8E"/>
    <w:rsid w:val="00B0017B"/>
    <w:rsid w:val="00B00746"/>
    <w:rsid w:val="00B01617"/>
    <w:rsid w:val="00B01A2F"/>
    <w:rsid w:val="00B026B0"/>
    <w:rsid w:val="00B028E2"/>
    <w:rsid w:val="00B0361F"/>
    <w:rsid w:val="00B03625"/>
    <w:rsid w:val="00B03DD3"/>
    <w:rsid w:val="00B04C3C"/>
    <w:rsid w:val="00B07123"/>
    <w:rsid w:val="00B0747E"/>
    <w:rsid w:val="00B10641"/>
    <w:rsid w:val="00B114DE"/>
    <w:rsid w:val="00B1165C"/>
    <w:rsid w:val="00B1283A"/>
    <w:rsid w:val="00B12F30"/>
    <w:rsid w:val="00B134CD"/>
    <w:rsid w:val="00B13DAC"/>
    <w:rsid w:val="00B14018"/>
    <w:rsid w:val="00B1537B"/>
    <w:rsid w:val="00B153A0"/>
    <w:rsid w:val="00B16215"/>
    <w:rsid w:val="00B16C65"/>
    <w:rsid w:val="00B16FD1"/>
    <w:rsid w:val="00B17853"/>
    <w:rsid w:val="00B207FC"/>
    <w:rsid w:val="00B21261"/>
    <w:rsid w:val="00B221DA"/>
    <w:rsid w:val="00B221FE"/>
    <w:rsid w:val="00B22379"/>
    <w:rsid w:val="00B234ED"/>
    <w:rsid w:val="00B2396D"/>
    <w:rsid w:val="00B2466B"/>
    <w:rsid w:val="00B24EE5"/>
    <w:rsid w:val="00B253DC"/>
    <w:rsid w:val="00B309A9"/>
    <w:rsid w:val="00B30C66"/>
    <w:rsid w:val="00B318CF"/>
    <w:rsid w:val="00B32489"/>
    <w:rsid w:val="00B32BDA"/>
    <w:rsid w:val="00B34048"/>
    <w:rsid w:val="00B346B0"/>
    <w:rsid w:val="00B363BD"/>
    <w:rsid w:val="00B36591"/>
    <w:rsid w:val="00B378BB"/>
    <w:rsid w:val="00B407E3"/>
    <w:rsid w:val="00B408E6"/>
    <w:rsid w:val="00B40F3A"/>
    <w:rsid w:val="00B420FC"/>
    <w:rsid w:val="00B4214E"/>
    <w:rsid w:val="00B42508"/>
    <w:rsid w:val="00B42509"/>
    <w:rsid w:val="00B437E8"/>
    <w:rsid w:val="00B43C94"/>
    <w:rsid w:val="00B43E47"/>
    <w:rsid w:val="00B44B64"/>
    <w:rsid w:val="00B46106"/>
    <w:rsid w:val="00B4625F"/>
    <w:rsid w:val="00B4661B"/>
    <w:rsid w:val="00B47B24"/>
    <w:rsid w:val="00B51143"/>
    <w:rsid w:val="00B51E1F"/>
    <w:rsid w:val="00B5224C"/>
    <w:rsid w:val="00B52859"/>
    <w:rsid w:val="00B5287D"/>
    <w:rsid w:val="00B53077"/>
    <w:rsid w:val="00B53AE4"/>
    <w:rsid w:val="00B53DA8"/>
    <w:rsid w:val="00B53F3C"/>
    <w:rsid w:val="00B545CB"/>
    <w:rsid w:val="00B547E6"/>
    <w:rsid w:val="00B54874"/>
    <w:rsid w:val="00B54A27"/>
    <w:rsid w:val="00B55E52"/>
    <w:rsid w:val="00B56372"/>
    <w:rsid w:val="00B569F6"/>
    <w:rsid w:val="00B57AAA"/>
    <w:rsid w:val="00B57BD7"/>
    <w:rsid w:val="00B57CA4"/>
    <w:rsid w:val="00B6011C"/>
    <w:rsid w:val="00B602DC"/>
    <w:rsid w:val="00B60863"/>
    <w:rsid w:val="00B622A7"/>
    <w:rsid w:val="00B62BB8"/>
    <w:rsid w:val="00B631CF"/>
    <w:rsid w:val="00B632C3"/>
    <w:rsid w:val="00B638D8"/>
    <w:rsid w:val="00B63A02"/>
    <w:rsid w:val="00B6450E"/>
    <w:rsid w:val="00B64580"/>
    <w:rsid w:val="00B65A8F"/>
    <w:rsid w:val="00B65C0A"/>
    <w:rsid w:val="00B65DC9"/>
    <w:rsid w:val="00B65E74"/>
    <w:rsid w:val="00B66C66"/>
    <w:rsid w:val="00B66E13"/>
    <w:rsid w:val="00B70211"/>
    <w:rsid w:val="00B70ABE"/>
    <w:rsid w:val="00B70CA9"/>
    <w:rsid w:val="00B7171C"/>
    <w:rsid w:val="00B71962"/>
    <w:rsid w:val="00B729FE"/>
    <w:rsid w:val="00B73CE6"/>
    <w:rsid w:val="00B7401D"/>
    <w:rsid w:val="00B74266"/>
    <w:rsid w:val="00B743F1"/>
    <w:rsid w:val="00B76F66"/>
    <w:rsid w:val="00B775C1"/>
    <w:rsid w:val="00B80AAF"/>
    <w:rsid w:val="00B80E6D"/>
    <w:rsid w:val="00B81789"/>
    <w:rsid w:val="00B82676"/>
    <w:rsid w:val="00B82EEA"/>
    <w:rsid w:val="00B8358C"/>
    <w:rsid w:val="00B83644"/>
    <w:rsid w:val="00B84519"/>
    <w:rsid w:val="00B85CB1"/>
    <w:rsid w:val="00B85F3A"/>
    <w:rsid w:val="00B8653E"/>
    <w:rsid w:val="00B86D0C"/>
    <w:rsid w:val="00B910DB"/>
    <w:rsid w:val="00B92975"/>
    <w:rsid w:val="00B92C3E"/>
    <w:rsid w:val="00B92EC9"/>
    <w:rsid w:val="00B94A7B"/>
    <w:rsid w:val="00B952CE"/>
    <w:rsid w:val="00B959AC"/>
    <w:rsid w:val="00B966F0"/>
    <w:rsid w:val="00B97277"/>
    <w:rsid w:val="00B97BFD"/>
    <w:rsid w:val="00BA1E9A"/>
    <w:rsid w:val="00BA2334"/>
    <w:rsid w:val="00BA33EE"/>
    <w:rsid w:val="00BA35E2"/>
    <w:rsid w:val="00BA3C31"/>
    <w:rsid w:val="00BA591E"/>
    <w:rsid w:val="00BA690B"/>
    <w:rsid w:val="00BA760F"/>
    <w:rsid w:val="00BB0A57"/>
    <w:rsid w:val="00BB22D7"/>
    <w:rsid w:val="00BB26BF"/>
    <w:rsid w:val="00BB3EDC"/>
    <w:rsid w:val="00BB4DF2"/>
    <w:rsid w:val="00BB682D"/>
    <w:rsid w:val="00BB6CA1"/>
    <w:rsid w:val="00BB7659"/>
    <w:rsid w:val="00BB76EA"/>
    <w:rsid w:val="00BB77C9"/>
    <w:rsid w:val="00BB7CBD"/>
    <w:rsid w:val="00BC0DBF"/>
    <w:rsid w:val="00BC26B9"/>
    <w:rsid w:val="00BC4018"/>
    <w:rsid w:val="00BC40B4"/>
    <w:rsid w:val="00BC48DC"/>
    <w:rsid w:val="00BC4985"/>
    <w:rsid w:val="00BC557E"/>
    <w:rsid w:val="00BC6EE4"/>
    <w:rsid w:val="00BC7328"/>
    <w:rsid w:val="00BD00F0"/>
    <w:rsid w:val="00BD083D"/>
    <w:rsid w:val="00BD0883"/>
    <w:rsid w:val="00BD2F28"/>
    <w:rsid w:val="00BD4734"/>
    <w:rsid w:val="00BD504A"/>
    <w:rsid w:val="00BD66D0"/>
    <w:rsid w:val="00BD79E4"/>
    <w:rsid w:val="00BD7E23"/>
    <w:rsid w:val="00BE1C34"/>
    <w:rsid w:val="00BE2ECD"/>
    <w:rsid w:val="00BE43C2"/>
    <w:rsid w:val="00BE5417"/>
    <w:rsid w:val="00BE5F42"/>
    <w:rsid w:val="00BE5F95"/>
    <w:rsid w:val="00BE6646"/>
    <w:rsid w:val="00BE7A0C"/>
    <w:rsid w:val="00BF0E76"/>
    <w:rsid w:val="00BF0FCB"/>
    <w:rsid w:val="00BF11CC"/>
    <w:rsid w:val="00BF1BBE"/>
    <w:rsid w:val="00BF2E3B"/>
    <w:rsid w:val="00BF3EE2"/>
    <w:rsid w:val="00BF3FE6"/>
    <w:rsid w:val="00BF4DC3"/>
    <w:rsid w:val="00BF5A84"/>
    <w:rsid w:val="00BF6BCF"/>
    <w:rsid w:val="00BF7B00"/>
    <w:rsid w:val="00C0002C"/>
    <w:rsid w:val="00C005B8"/>
    <w:rsid w:val="00C018E1"/>
    <w:rsid w:val="00C01ED8"/>
    <w:rsid w:val="00C02046"/>
    <w:rsid w:val="00C03110"/>
    <w:rsid w:val="00C03210"/>
    <w:rsid w:val="00C03319"/>
    <w:rsid w:val="00C0683C"/>
    <w:rsid w:val="00C07099"/>
    <w:rsid w:val="00C0789E"/>
    <w:rsid w:val="00C07B9F"/>
    <w:rsid w:val="00C111B3"/>
    <w:rsid w:val="00C11ECB"/>
    <w:rsid w:val="00C13B1E"/>
    <w:rsid w:val="00C1482D"/>
    <w:rsid w:val="00C16B83"/>
    <w:rsid w:val="00C174FF"/>
    <w:rsid w:val="00C17708"/>
    <w:rsid w:val="00C1785F"/>
    <w:rsid w:val="00C17C17"/>
    <w:rsid w:val="00C2002E"/>
    <w:rsid w:val="00C20419"/>
    <w:rsid w:val="00C207FB"/>
    <w:rsid w:val="00C20E29"/>
    <w:rsid w:val="00C21139"/>
    <w:rsid w:val="00C21413"/>
    <w:rsid w:val="00C22FD0"/>
    <w:rsid w:val="00C239A8"/>
    <w:rsid w:val="00C24BE0"/>
    <w:rsid w:val="00C27278"/>
    <w:rsid w:val="00C27857"/>
    <w:rsid w:val="00C30C31"/>
    <w:rsid w:val="00C31EC6"/>
    <w:rsid w:val="00C320D8"/>
    <w:rsid w:val="00C32958"/>
    <w:rsid w:val="00C3309F"/>
    <w:rsid w:val="00C346A4"/>
    <w:rsid w:val="00C346D0"/>
    <w:rsid w:val="00C34C66"/>
    <w:rsid w:val="00C3700B"/>
    <w:rsid w:val="00C40620"/>
    <w:rsid w:val="00C40BC9"/>
    <w:rsid w:val="00C425E6"/>
    <w:rsid w:val="00C42C1F"/>
    <w:rsid w:val="00C4363D"/>
    <w:rsid w:val="00C43C72"/>
    <w:rsid w:val="00C44789"/>
    <w:rsid w:val="00C45B2B"/>
    <w:rsid w:val="00C45CC7"/>
    <w:rsid w:val="00C469A4"/>
    <w:rsid w:val="00C50248"/>
    <w:rsid w:val="00C539F1"/>
    <w:rsid w:val="00C53C34"/>
    <w:rsid w:val="00C54705"/>
    <w:rsid w:val="00C54B8C"/>
    <w:rsid w:val="00C5545F"/>
    <w:rsid w:val="00C55684"/>
    <w:rsid w:val="00C556D7"/>
    <w:rsid w:val="00C56337"/>
    <w:rsid w:val="00C572B3"/>
    <w:rsid w:val="00C577D7"/>
    <w:rsid w:val="00C613C0"/>
    <w:rsid w:val="00C628E4"/>
    <w:rsid w:val="00C62C47"/>
    <w:rsid w:val="00C63957"/>
    <w:rsid w:val="00C63CAD"/>
    <w:rsid w:val="00C649B1"/>
    <w:rsid w:val="00C65B7F"/>
    <w:rsid w:val="00C65E41"/>
    <w:rsid w:val="00C672F4"/>
    <w:rsid w:val="00C673A7"/>
    <w:rsid w:val="00C67812"/>
    <w:rsid w:val="00C700FE"/>
    <w:rsid w:val="00C7031F"/>
    <w:rsid w:val="00C70FC9"/>
    <w:rsid w:val="00C7176C"/>
    <w:rsid w:val="00C72EA3"/>
    <w:rsid w:val="00C737DC"/>
    <w:rsid w:val="00C7491E"/>
    <w:rsid w:val="00C7523F"/>
    <w:rsid w:val="00C75890"/>
    <w:rsid w:val="00C759DE"/>
    <w:rsid w:val="00C75C18"/>
    <w:rsid w:val="00C767ED"/>
    <w:rsid w:val="00C76CE2"/>
    <w:rsid w:val="00C76F21"/>
    <w:rsid w:val="00C8129E"/>
    <w:rsid w:val="00C81CAC"/>
    <w:rsid w:val="00C8246E"/>
    <w:rsid w:val="00C83F8E"/>
    <w:rsid w:val="00C86477"/>
    <w:rsid w:val="00C873E4"/>
    <w:rsid w:val="00C87455"/>
    <w:rsid w:val="00C92B10"/>
    <w:rsid w:val="00C948CF"/>
    <w:rsid w:val="00C97D08"/>
    <w:rsid w:val="00CA0557"/>
    <w:rsid w:val="00CA0B40"/>
    <w:rsid w:val="00CA0FE1"/>
    <w:rsid w:val="00CA1BFC"/>
    <w:rsid w:val="00CA2381"/>
    <w:rsid w:val="00CA3372"/>
    <w:rsid w:val="00CA3543"/>
    <w:rsid w:val="00CA3F5A"/>
    <w:rsid w:val="00CA4A44"/>
    <w:rsid w:val="00CA55B0"/>
    <w:rsid w:val="00CA65A8"/>
    <w:rsid w:val="00CA6B01"/>
    <w:rsid w:val="00CA6CA9"/>
    <w:rsid w:val="00CA7638"/>
    <w:rsid w:val="00CA77A5"/>
    <w:rsid w:val="00CA7E2C"/>
    <w:rsid w:val="00CB01AF"/>
    <w:rsid w:val="00CB03B2"/>
    <w:rsid w:val="00CB2D67"/>
    <w:rsid w:val="00CB5177"/>
    <w:rsid w:val="00CB6370"/>
    <w:rsid w:val="00CB695F"/>
    <w:rsid w:val="00CB7A08"/>
    <w:rsid w:val="00CC0BD5"/>
    <w:rsid w:val="00CC122B"/>
    <w:rsid w:val="00CC1827"/>
    <w:rsid w:val="00CC2232"/>
    <w:rsid w:val="00CC3099"/>
    <w:rsid w:val="00CC3B47"/>
    <w:rsid w:val="00CC426D"/>
    <w:rsid w:val="00CC509B"/>
    <w:rsid w:val="00CC5536"/>
    <w:rsid w:val="00CC57D3"/>
    <w:rsid w:val="00CC582D"/>
    <w:rsid w:val="00CC58AB"/>
    <w:rsid w:val="00CC5AC5"/>
    <w:rsid w:val="00CC5C33"/>
    <w:rsid w:val="00CC602E"/>
    <w:rsid w:val="00CC6CBA"/>
    <w:rsid w:val="00CC6F45"/>
    <w:rsid w:val="00CC7E8A"/>
    <w:rsid w:val="00CC7E9B"/>
    <w:rsid w:val="00CD0D5F"/>
    <w:rsid w:val="00CD0DC9"/>
    <w:rsid w:val="00CD1CF0"/>
    <w:rsid w:val="00CD3C2E"/>
    <w:rsid w:val="00CD57EB"/>
    <w:rsid w:val="00CD5A93"/>
    <w:rsid w:val="00CD5DE4"/>
    <w:rsid w:val="00CD5EAB"/>
    <w:rsid w:val="00CD6A98"/>
    <w:rsid w:val="00CD6CA7"/>
    <w:rsid w:val="00CE064D"/>
    <w:rsid w:val="00CE09FE"/>
    <w:rsid w:val="00CE15BB"/>
    <w:rsid w:val="00CE1B3F"/>
    <w:rsid w:val="00CE1C5A"/>
    <w:rsid w:val="00CE2C99"/>
    <w:rsid w:val="00CE3316"/>
    <w:rsid w:val="00CE3D94"/>
    <w:rsid w:val="00CE4164"/>
    <w:rsid w:val="00CE4690"/>
    <w:rsid w:val="00CE4845"/>
    <w:rsid w:val="00CE5EC3"/>
    <w:rsid w:val="00CE61D5"/>
    <w:rsid w:val="00CF06C6"/>
    <w:rsid w:val="00CF1504"/>
    <w:rsid w:val="00CF162A"/>
    <w:rsid w:val="00CF342E"/>
    <w:rsid w:val="00CF3522"/>
    <w:rsid w:val="00CF3C38"/>
    <w:rsid w:val="00CF3C43"/>
    <w:rsid w:val="00CF4E39"/>
    <w:rsid w:val="00CF5023"/>
    <w:rsid w:val="00CF50C3"/>
    <w:rsid w:val="00CF741A"/>
    <w:rsid w:val="00D0046A"/>
    <w:rsid w:val="00D00EA0"/>
    <w:rsid w:val="00D02125"/>
    <w:rsid w:val="00D0225A"/>
    <w:rsid w:val="00D024F6"/>
    <w:rsid w:val="00D03509"/>
    <w:rsid w:val="00D038E1"/>
    <w:rsid w:val="00D03E49"/>
    <w:rsid w:val="00D04DFE"/>
    <w:rsid w:val="00D04FA6"/>
    <w:rsid w:val="00D06255"/>
    <w:rsid w:val="00D0657D"/>
    <w:rsid w:val="00D06F73"/>
    <w:rsid w:val="00D07915"/>
    <w:rsid w:val="00D07FC5"/>
    <w:rsid w:val="00D10318"/>
    <w:rsid w:val="00D115DA"/>
    <w:rsid w:val="00D12178"/>
    <w:rsid w:val="00D124CF"/>
    <w:rsid w:val="00D126E6"/>
    <w:rsid w:val="00D13237"/>
    <w:rsid w:val="00D1329F"/>
    <w:rsid w:val="00D13B54"/>
    <w:rsid w:val="00D14887"/>
    <w:rsid w:val="00D16113"/>
    <w:rsid w:val="00D166A8"/>
    <w:rsid w:val="00D16B98"/>
    <w:rsid w:val="00D16C0D"/>
    <w:rsid w:val="00D16F78"/>
    <w:rsid w:val="00D20233"/>
    <w:rsid w:val="00D2073A"/>
    <w:rsid w:val="00D22CE5"/>
    <w:rsid w:val="00D234C0"/>
    <w:rsid w:val="00D25960"/>
    <w:rsid w:val="00D25AE7"/>
    <w:rsid w:val="00D262CD"/>
    <w:rsid w:val="00D30661"/>
    <w:rsid w:val="00D30F4B"/>
    <w:rsid w:val="00D31D0D"/>
    <w:rsid w:val="00D327EB"/>
    <w:rsid w:val="00D328A2"/>
    <w:rsid w:val="00D3309C"/>
    <w:rsid w:val="00D33295"/>
    <w:rsid w:val="00D34760"/>
    <w:rsid w:val="00D36898"/>
    <w:rsid w:val="00D36F2F"/>
    <w:rsid w:val="00D409A8"/>
    <w:rsid w:val="00D409C6"/>
    <w:rsid w:val="00D41003"/>
    <w:rsid w:val="00D4165B"/>
    <w:rsid w:val="00D429EA"/>
    <w:rsid w:val="00D4427D"/>
    <w:rsid w:val="00D44F87"/>
    <w:rsid w:val="00D456E4"/>
    <w:rsid w:val="00D4581C"/>
    <w:rsid w:val="00D458F4"/>
    <w:rsid w:val="00D45C47"/>
    <w:rsid w:val="00D462A3"/>
    <w:rsid w:val="00D46938"/>
    <w:rsid w:val="00D500A6"/>
    <w:rsid w:val="00D5010A"/>
    <w:rsid w:val="00D50764"/>
    <w:rsid w:val="00D51118"/>
    <w:rsid w:val="00D51FC5"/>
    <w:rsid w:val="00D534D0"/>
    <w:rsid w:val="00D53B0A"/>
    <w:rsid w:val="00D545A7"/>
    <w:rsid w:val="00D54F76"/>
    <w:rsid w:val="00D60388"/>
    <w:rsid w:val="00D6075B"/>
    <w:rsid w:val="00D62BB1"/>
    <w:rsid w:val="00D62ECB"/>
    <w:rsid w:val="00D6352A"/>
    <w:rsid w:val="00D6535D"/>
    <w:rsid w:val="00D66DC9"/>
    <w:rsid w:val="00D670BC"/>
    <w:rsid w:val="00D6746D"/>
    <w:rsid w:val="00D703E3"/>
    <w:rsid w:val="00D707D8"/>
    <w:rsid w:val="00D70D34"/>
    <w:rsid w:val="00D70E96"/>
    <w:rsid w:val="00D71361"/>
    <w:rsid w:val="00D71EAA"/>
    <w:rsid w:val="00D726F0"/>
    <w:rsid w:val="00D72F20"/>
    <w:rsid w:val="00D73300"/>
    <w:rsid w:val="00D7345E"/>
    <w:rsid w:val="00D73FF2"/>
    <w:rsid w:val="00D7446E"/>
    <w:rsid w:val="00D76D09"/>
    <w:rsid w:val="00D77042"/>
    <w:rsid w:val="00D77588"/>
    <w:rsid w:val="00D778AA"/>
    <w:rsid w:val="00D77B30"/>
    <w:rsid w:val="00D8051A"/>
    <w:rsid w:val="00D814EF"/>
    <w:rsid w:val="00D816C9"/>
    <w:rsid w:val="00D8172C"/>
    <w:rsid w:val="00D81D1F"/>
    <w:rsid w:val="00D84BEC"/>
    <w:rsid w:val="00D86A75"/>
    <w:rsid w:val="00D877C2"/>
    <w:rsid w:val="00D9295A"/>
    <w:rsid w:val="00D9379F"/>
    <w:rsid w:val="00D93DE7"/>
    <w:rsid w:val="00D9574F"/>
    <w:rsid w:val="00D97185"/>
    <w:rsid w:val="00DA0189"/>
    <w:rsid w:val="00DA06FB"/>
    <w:rsid w:val="00DA2582"/>
    <w:rsid w:val="00DA26C0"/>
    <w:rsid w:val="00DA2978"/>
    <w:rsid w:val="00DA2A54"/>
    <w:rsid w:val="00DA2CF3"/>
    <w:rsid w:val="00DA2E43"/>
    <w:rsid w:val="00DA37F7"/>
    <w:rsid w:val="00DA3E87"/>
    <w:rsid w:val="00DA4918"/>
    <w:rsid w:val="00DA4B9D"/>
    <w:rsid w:val="00DA52F6"/>
    <w:rsid w:val="00DA55AA"/>
    <w:rsid w:val="00DA6B1D"/>
    <w:rsid w:val="00DA7471"/>
    <w:rsid w:val="00DA7DFE"/>
    <w:rsid w:val="00DB1E10"/>
    <w:rsid w:val="00DB2ABF"/>
    <w:rsid w:val="00DB389E"/>
    <w:rsid w:val="00DB3EEE"/>
    <w:rsid w:val="00DB675A"/>
    <w:rsid w:val="00DB76DB"/>
    <w:rsid w:val="00DB76FB"/>
    <w:rsid w:val="00DC0762"/>
    <w:rsid w:val="00DC1908"/>
    <w:rsid w:val="00DC1CF1"/>
    <w:rsid w:val="00DC2120"/>
    <w:rsid w:val="00DC3B75"/>
    <w:rsid w:val="00DC40A7"/>
    <w:rsid w:val="00DC4775"/>
    <w:rsid w:val="00DC4D63"/>
    <w:rsid w:val="00DC712E"/>
    <w:rsid w:val="00DD197E"/>
    <w:rsid w:val="00DD2417"/>
    <w:rsid w:val="00DD29F7"/>
    <w:rsid w:val="00DD2B62"/>
    <w:rsid w:val="00DD309D"/>
    <w:rsid w:val="00DD4028"/>
    <w:rsid w:val="00DD44D6"/>
    <w:rsid w:val="00DD46A5"/>
    <w:rsid w:val="00DD5479"/>
    <w:rsid w:val="00DD55DA"/>
    <w:rsid w:val="00DD6195"/>
    <w:rsid w:val="00DE029A"/>
    <w:rsid w:val="00DE26D1"/>
    <w:rsid w:val="00DE2AB6"/>
    <w:rsid w:val="00DE2ACD"/>
    <w:rsid w:val="00DE2B88"/>
    <w:rsid w:val="00DE31E7"/>
    <w:rsid w:val="00DE4541"/>
    <w:rsid w:val="00DE4E67"/>
    <w:rsid w:val="00DE54F7"/>
    <w:rsid w:val="00DE5EA1"/>
    <w:rsid w:val="00DE5FC0"/>
    <w:rsid w:val="00DE606B"/>
    <w:rsid w:val="00DE60A7"/>
    <w:rsid w:val="00DE6D97"/>
    <w:rsid w:val="00DE75C9"/>
    <w:rsid w:val="00DE7E08"/>
    <w:rsid w:val="00DE7E35"/>
    <w:rsid w:val="00DF0138"/>
    <w:rsid w:val="00DF0189"/>
    <w:rsid w:val="00DF229A"/>
    <w:rsid w:val="00DF2B38"/>
    <w:rsid w:val="00DF3072"/>
    <w:rsid w:val="00DF342D"/>
    <w:rsid w:val="00DF3B14"/>
    <w:rsid w:val="00DF41DB"/>
    <w:rsid w:val="00DF48B0"/>
    <w:rsid w:val="00DF6057"/>
    <w:rsid w:val="00DF6C0D"/>
    <w:rsid w:val="00DF7346"/>
    <w:rsid w:val="00E00BC9"/>
    <w:rsid w:val="00E01515"/>
    <w:rsid w:val="00E02E7C"/>
    <w:rsid w:val="00E0448C"/>
    <w:rsid w:val="00E04B32"/>
    <w:rsid w:val="00E04F03"/>
    <w:rsid w:val="00E050F0"/>
    <w:rsid w:val="00E0518A"/>
    <w:rsid w:val="00E0567B"/>
    <w:rsid w:val="00E05691"/>
    <w:rsid w:val="00E076D9"/>
    <w:rsid w:val="00E0770E"/>
    <w:rsid w:val="00E07944"/>
    <w:rsid w:val="00E126A8"/>
    <w:rsid w:val="00E126D7"/>
    <w:rsid w:val="00E13880"/>
    <w:rsid w:val="00E13C4A"/>
    <w:rsid w:val="00E14D0B"/>
    <w:rsid w:val="00E15AB4"/>
    <w:rsid w:val="00E1622A"/>
    <w:rsid w:val="00E2065C"/>
    <w:rsid w:val="00E212BB"/>
    <w:rsid w:val="00E222E5"/>
    <w:rsid w:val="00E2247F"/>
    <w:rsid w:val="00E22858"/>
    <w:rsid w:val="00E235C9"/>
    <w:rsid w:val="00E24786"/>
    <w:rsid w:val="00E260A7"/>
    <w:rsid w:val="00E26630"/>
    <w:rsid w:val="00E30252"/>
    <w:rsid w:val="00E30CF3"/>
    <w:rsid w:val="00E3116B"/>
    <w:rsid w:val="00E312D7"/>
    <w:rsid w:val="00E31A5D"/>
    <w:rsid w:val="00E31DF2"/>
    <w:rsid w:val="00E31E74"/>
    <w:rsid w:val="00E31FF0"/>
    <w:rsid w:val="00E320A5"/>
    <w:rsid w:val="00E3355B"/>
    <w:rsid w:val="00E3371B"/>
    <w:rsid w:val="00E3380B"/>
    <w:rsid w:val="00E343BB"/>
    <w:rsid w:val="00E34538"/>
    <w:rsid w:val="00E349A4"/>
    <w:rsid w:val="00E40036"/>
    <w:rsid w:val="00E40082"/>
    <w:rsid w:val="00E44B95"/>
    <w:rsid w:val="00E45713"/>
    <w:rsid w:val="00E46E33"/>
    <w:rsid w:val="00E4789A"/>
    <w:rsid w:val="00E513DA"/>
    <w:rsid w:val="00E51970"/>
    <w:rsid w:val="00E51FE2"/>
    <w:rsid w:val="00E521A5"/>
    <w:rsid w:val="00E5291D"/>
    <w:rsid w:val="00E52A9E"/>
    <w:rsid w:val="00E52EAB"/>
    <w:rsid w:val="00E54225"/>
    <w:rsid w:val="00E557B0"/>
    <w:rsid w:val="00E560DF"/>
    <w:rsid w:val="00E5698D"/>
    <w:rsid w:val="00E56BBE"/>
    <w:rsid w:val="00E574B0"/>
    <w:rsid w:val="00E578C4"/>
    <w:rsid w:val="00E6011D"/>
    <w:rsid w:val="00E60570"/>
    <w:rsid w:val="00E61D28"/>
    <w:rsid w:val="00E62081"/>
    <w:rsid w:val="00E623E5"/>
    <w:rsid w:val="00E62CCA"/>
    <w:rsid w:val="00E64283"/>
    <w:rsid w:val="00E645DB"/>
    <w:rsid w:val="00E664C1"/>
    <w:rsid w:val="00E673AC"/>
    <w:rsid w:val="00E70433"/>
    <w:rsid w:val="00E714C9"/>
    <w:rsid w:val="00E718DA"/>
    <w:rsid w:val="00E7195B"/>
    <w:rsid w:val="00E719DA"/>
    <w:rsid w:val="00E71A2D"/>
    <w:rsid w:val="00E71B18"/>
    <w:rsid w:val="00E72026"/>
    <w:rsid w:val="00E72051"/>
    <w:rsid w:val="00E721FC"/>
    <w:rsid w:val="00E735D3"/>
    <w:rsid w:val="00E73678"/>
    <w:rsid w:val="00E73BAC"/>
    <w:rsid w:val="00E74A76"/>
    <w:rsid w:val="00E75895"/>
    <w:rsid w:val="00E75C67"/>
    <w:rsid w:val="00E75D0C"/>
    <w:rsid w:val="00E762C8"/>
    <w:rsid w:val="00E77159"/>
    <w:rsid w:val="00E77617"/>
    <w:rsid w:val="00E808A2"/>
    <w:rsid w:val="00E808C8"/>
    <w:rsid w:val="00E80E64"/>
    <w:rsid w:val="00E83050"/>
    <w:rsid w:val="00E83FB4"/>
    <w:rsid w:val="00E84562"/>
    <w:rsid w:val="00E845DE"/>
    <w:rsid w:val="00E84FD1"/>
    <w:rsid w:val="00E85BCC"/>
    <w:rsid w:val="00E863CC"/>
    <w:rsid w:val="00E871A8"/>
    <w:rsid w:val="00E8788F"/>
    <w:rsid w:val="00E87A2C"/>
    <w:rsid w:val="00E87F5E"/>
    <w:rsid w:val="00E90362"/>
    <w:rsid w:val="00E91ECA"/>
    <w:rsid w:val="00E92088"/>
    <w:rsid w:val="00E92DF2"/>
    <w:rsid w:val="00E93B7A"/>
    <w:rsid w:val="00E93F40"/>
    <w:rsid w:val="00E941A3"/>
    <w:rsid w:val="00E947CD"/>
    <w:rsid w:val="00E94A76"/>
    <w:rsid w:val="00E9554E"/>
    <w:rsid w:val="00E957D9"/>
    <w:rsid w:val="00E95ABD"/>
    <w:rsid w:val="00EA0B44"/>
    <w:rsid w:val="00EA0C9C"/>
    <w:rsid w:val="00EA0F2F"/>
    <w:rsid w:val="00EA26E7"/>
    <w:rsid w:val="00EA2FD5"/>
    <w:rsid w:val="00EA3203"/>
    <w:rsid w:val="00EA37FB"/>
    <w:rsid w:val="00EA4F90"/>
    <w:rsid w:val="00EA522A"/>
    <w:rsid w:val="00EA629F"/>
    <w:rsid w:val="00EA684A"/>
    <w:rsid w:val="00EA6900"/>
    <w:rsid w:val="00EA7D1E"/>
    <w:rsid w:val="00EB20E3"/>
    <w:rsid w:val="00EB2676"/>
    <w:rsid w:val="00EB2925"/>
    <w:rsid w:val="00EB3093"/>
    <w:rsid w:val="00EB39D2"/>
    <w:rsid w:val="00EB43EE"/>
    <w:rsid w:val="00EB4737"/>
    <w:rsid w:val="00EB48C1"/>
    <w:rsid w:val="00EB4E3F"/>
    <w:rsid w:val="00EB6469"/>
    <w:rsid w:val="00EB73A3"/>
    <w:rsid w:val="00EC1292"/>
    <w:rsid w:val="00EC1C91"/>
    <w:rsid w:val="00EC1DF5"/>
    <w:rsid w:val="00EC30B7"/>
    <w:rsid w:val="00EC3610"/>
    <w:rsid w:val="00EC3B53"/>
    <w:rsid w:val="00EC504A"/>
    <w:rsid w:val="00EC6460"/>
    <w:rsid w:val="00ED01F0"/>
    <w:rsid w:val="00ED0ABA"/>
    <w:rsid w:val="00ED0D7A"/>
    <w:rsid w:val="00ED0D93"/>
    <w:rsid w:val="00ED2427"/>
    <w:rsid w:val="00ED2797"/>
    <w:rsid w:val="00ED2CBA"/>
    <w:rsid w:val="00ED3B45"/>
    <w:rsid w:val="00ED488B"/>
    <w:rsid w:val="00ED5067"/>
    <w:rsid w:val="00ED5506"/>
    <w:rsid w:val="00ED6E69"/>
    <w:rsid w:val="00ED7706"/>
    <w:rsid w:val="00EE03A2"/>
    <w:rsid w:val="00EE08C5"/>
    <w:rsid w:val="00EE175B"/>
    <w:rsid w:val="00EE2176"/>
    <w:rsid w:val="00EE2C95"/>
    <w:rsid w:val="00EE42DC"/>
    <w:rsid w:val="00EE443A"/>
    <w:rsid w:val="00EE44E0"/>
    <w:rsid w:val="00EE4706"/>
    <w:rsid w:val="00EE55C0"/>
    <w:rsid w:val="00EE5784"/>
    <w:rsid w:val="00EE65F8"/>
    <w:rsid w:val="00EE6C43"/>
    <w:rsid w:val="00EE7061"/>
    <w:rsid w:val="00EF0242"/>
    <w:rsid w:val="00EF03C8"/>
    <w:rsid w:val="00EF26F3"/>
    <w:rsid w:val="00EF2866"/>
    <w:rsid w:val="00EF28BD"/>
    <w:rsid w:val="00EF2BC5"/>
    <w:rsid w:val="00EF428B"/>
    <w:rsid w:val="00EF4517"/>
    <w:rsid w:val="00EF524A"/>
    <w:rsid w:val="00EF54DE"/>
    <w:rsid w:val="00EF600F"/>
    <w:rsid w:val="00EF6670"/>
    <w:rsid w:val="00EF6F13"/>
    <w:rsid w:val="00EF6FA8"/>
    <w:rsid w:val="00EF7565"/>
    <w:rsid w:val="00EF7DD9"/>
    <w:rsid w:val="00F003B5"/>
    <w:rsid w:val="00F01232"/>
    <w:rsid w:val="00F01699"/>
    <w:rsid w:val="00F026C1"/>
    <w:rsid w:val="00F02C6B"/>
    <w:rsid w:val="00F02CEF"/>
    <w:rsid w:val="00F0358A"/>
    <w:rsid w:val="00F036DD"/>
    <w:rsid w:val="00F05C3F"/>
    <w:rsid w:val="00F061E7"/>
    <w:rsid w:val="00F069C7"/>
    <w:rsid w:val="00F072CD"/>
    <w:rsid w:val="00F07642"/>
    <w:rsid w:val="00F07A04"/>
    <w:rsid w:val="00F105C4"/>
    <w:rsid w:val="00F10AE2"/>
    <w:rsid w:val="00F1196F"/>
    <w:rsid w:val="00F11E83"/>
    <w:rsid w:val="00F13BE7"/>
    <w:rsid w:val="00F1406A"/>
    <w:rsid w:val="00F14910"/>
    <w:rsid w:val="00F16FA2"/>
    <w:rsid w:val="00F172F1"/>
    <w:rsid w:val="00F20C18"/>
    <w:rsid w:val="00F215D3"/>
    <w:rsid w:val="00F2194A"/>
    <w:rsid w:val="00F21EC0"/>
    <w:rsid w:val="00F22082"/>
    <w:rsid w:val="00F232C3"/>
    <w:rsid w:val="00F232E2"/>
    <w:rsid w:val="00F23FEC"/>
    <w:rsid w:val="00F24B6B"/>
    <w:rsid w:val="00F257AE"/>
    <w:rsid w:val="00F25F51"/>
    <w:rsid w:val="00F25FC1"/>
    <w:rsid w:val="00F26D53"/>
    <w:rsid w:val="00F2734C"/>
    <w:rsid w:val="00F27A33"/>
    <w:rsid w:val="00F31402"/>
    <w:rsid w:val="00F3197A"/>
    <w:rsid w:val="00F33220"/>
    <w:rsid w:val="00F333D1"/>
    <w:rsid w:val="00F336AC"/>
    <w:rsid w:val="00F3394D"/>
    <w:rsid w:val="00F33FDB"/>
    <w:rsid w:val="00F34B67"/>
    <w:rsid w:val="00F35B63"/>
    <w:rsid w:val="00F36810"/>
    <w:rsid w:val="00F36F68"/>
    <w:rsid w:val="00F3754D"/>
    <w:rsid w:val="00F40AFB"/>
    <w:rsid w:val="00F40AFD"/>
    <w:rsid w:val="00F40BA8"/>
    <w:rsid w:val="00F417FC"/>
    <w:rsid w:val="00F41A4A"/>
    <w:rsid w:val="00F42FAD"/>
    <w:rsid w:val="00F433C4"/>
    <w:rsid w:val="00F439B9"/>
    <w:rsid w:val="00F43CBA"/>
    <w:rsid w:val="00F43E15"/>
    <w:rsid w:val="00F43E89"/>
    <w:rsid w:val="00F4435C"/>
    <w:rsid w:val="00F44564"/>
    <w:rsid w:val="00F44989"/>
    <w:rsid w:val="00F449F9"/>
    <w:rsid w:val="00F44BA9"/>
    <w:rsid w:val="00F4527D"/>
    <w:rsid w:val="00F46882"/>
    <w:rsid w:val="00F529B2"/>
    <w:rsid w:val="00F53E11"/>
    <w:rsid w:val="00F5447E"/>
    <w:rsid w:val="00F54EE1"/>
    <w:rsid w:val="00F54F0E"/>
    <w:rsid w:val="00F57DA9"/>
    <w:rsid w:val="00F6146A"/>
    <w:rsid w:val="00F614EC"/>
    <w:rsid w:val="00F62514"/>
    <w:rsid w:val="00F6309B"/>
    <w:rsid w:val="00F67BAC"/>
    <w:rsid w:val="00F70EA4"/>
    <w:rsid w:val="00F710A6"/>
    <w:rsid w:val="00F7336B"/>
    <w:rsid w:val="00F738D5"/>
    <w:rsid w:val="00F73D08"/>
    <w:rsid w:val="00F73F32"/>
    <w:rsid w:val="00F743F0"/>
    <w:rsid w:val="00F76334"/>
    <w:rsid w:val="00F772AF"/>
    <w:rsid w:val="00F77963"/>
    <w:rsid w:val="00F77BE2"/>
    <w:rsid w:val="00F77C72"/>
    <w:rsid w:val="00F804F6"/>
    <w:rsid w:val="00F813F5"/>
    <w:rsid w:val="00F81B5C"/>
    <w:rsid w:val="00F822A6"/>
    <w:rsid w:val="00F82393"/>
    <w:rsid w:val="00F836B6"/>
    <w:rsid w:val="00F837F4"/>
    <w:rsid w:val="00F84D79"/>
    <w:rsid w:val="00F860D6"/>
    <w:rsid w:val="00F8613B"/>
    <w:rsid w:val="00F90D78"/>
    <w:rsid w:val="00F913E9"/>
    <w:rsid w:val="00F918E6"/>
    <w:rsid w:val="00F91915"/>
    <w:rsid w:val="00F91AD6"/>
    <w:rsid w:val="00F92078"/>
    <w:rsid w:val="00F922E0"/>
    <w:rsid w:val="00F923AF"/>
    <w:rsid w:val="00F9270D"/>
    <w:rsid w:val="00F92EA0"/>
    <w:rsid w:val="00F94144"/>
    <w:rsid w:val="00F95705"/>
    <w:rsid w:val="00F95855"/>
    <w:rsid w:val="00F95C92"/>
    <w:rsid w:val="00F964CF"/>
    <w:rsid w:val="00F96B21"/>
    <w:rsid w:val="00F96FD1"/>
    <w:rsid w:val="00FA02C0"/>
    <w:rsid w:val="00FA1914"/>
    <w:rsid w:val="00FA1A2F"/>
    <w:rsid w:val="00FA1CEC"/>
    <w:rsid w:val="00FA1D9D"/>
    <w:rsid w:val="00FA1FD8"/>
    <w:rsid w:val="00FA2FF7"/>
    <w:rsid w:val="00FA35DB"/>
    <w:rsid w:val="00FA362D"/>
    <w:rsid w:val="00FA3E6D"/>
    <w:rsid w:val="00FA455D"/>
    <w:rsid w:val="00FA4EBF"/>
    <w:rsid w:val="00FA527F"/>
    <w:rsid w:val="00FA544A"/>
    <w:rsid w:val="00FA5677"/>
    <w:rsid w:val="00FA5A51"/>
    <w:rsid w:val="00FA5F7D"/>
    <w:rsid w:val="00FA662E"/>
    <w:rsid w:val="00FA6D44"/>
    <w:rsid w:val="00FA6E08"/>
    <w:rsid w:val="00FA754D"/>
    <w:rsid w:val="00FA7559"/>
    <w:rsid w:val="00FA7E71"/>
    <w:rsid w:val="00FB065D"/>
    <w:rsid w:val="00FB1761"/>
    <w:rsid w:val="00FB18F8"/>
    <w:rsid w:val="00FB1C68"/>
    <w:rsid w:val="00FB27BD"/>
    <w:rsid w:val="00FB316F"/>
    <w:rsid w:val="00FB4464"/>
    <w:rsid w:val="00FB483A"/>
    <w:rsid w:val="00FB4BCE"/>
    <w:rsid w:val="00FB573E"/>
    <w:rsid w:val="00FB5916"/>
    <w:rsid w:val="00FB6C31"/>
    <w:rsid w:val="00FB7BD0"/>
    <w:rsid w:val="00FC1448"/>
    <w:rsid w:val="00FC26A8"/>
    <w:rsid w:val="00FC2880"/>
    <w:rsid w:val="00FC3423"/>
    <w:rsid w:val="00FC587C"/>
    <w:rsid w:val="00FC637B"/>
    <w:rsid w:val="00FC6F72"/>
    <w:rsid w:val="00FC7992"/>
    <w:rsid w:val="00FD0146"/>
    <w:rsid w:val="00FD0A0D"/>
    <w:rsid w:val="00FD1A9A"/>
    <w:rsid w:val="00FD3453"/>
    <w:rsid w:val="00FD5401"/>
    <w:rsid w:val="00FD5A6F"/>
    <w:rsid w:val="00FD5CA9"/>
    <w:rsid w:val="00FD5D1B"/>
    <w:rsid w:val="00FD723A"/>
    <w:rsid w:val="00FD7FAA"/>
    <w:rsid w:val="00FE0027"/>
    <w:rsid w:val="00FE003A"/>
    <w:rsid w:val="00FE080B"/>
    <w:rsid w:val="00FE0A51"/>
    <w:rsid w:val="00FE129B"/>
    <w:rsid w:val="00FE2853"/>
    <w:rsid w:val="00FE2B8F"/>
    <w:rsid w:val="00FE334E"/>
    <w:rsid w:val="00FE3964"/>
    <w:rsid w:val="00FE48F6"/>
    <w:rsid w:val="00FE5218"/>
    <w:rsid w:val="00FE542F"/>
    <w:rsid w:val="00FE560C"/>
    <w:rsid w:val="00FE56EE"/>
    <w:rsid w:val="00FE6E06"/>
    <w:rsid w:val="00FE74F7"/>
    <w:rsid w:val="00FE7A9E"/>
    <w:rsid w:val="00FF06F7"/>
    <w:rsid w:val="00FF0E98"/>
    <w:rsid w:val="00FF0FA2"/>
    <w:rsid w:val="00FF191A"/>
    <w:rsid w:val="00FF2B24"/>
    <w:rsid w:val="00FF36D2"/>
    <w:rsid w:val="00FF3A64"/>
    <w:rsid w:val="00FF538F"/>
    <w:rsid w:val="00FF5ABF"/>
    <w:rsid w:val="00FF60AF"/>
    <w:rsid w:val="00FF6376"/>
    <w:rsid w:val="00FF63B2"/>
    <w:rsid w:val="00FF7794"/>
    <w:rsid w:val="01115B19"/>
    <w:rsid w:val="011E24FD"/>
    <w:rsid w:val="025D214D"/>
    <w:rsid w:val="026303E3"/>
    <w:rsid w:val="03155FA6"/>
    <w:rsid w:val="031E2E33"/>
    <w:rsid w:val="03E17E35"/>
    <w:rsid w:val="04A119B1"/>
    <w:rsid w:val="06375E7C"/>
    <w:rsid w:val="06EBD63A"/>
    <w:rsid w:val="07577FFE"/>
    <w:rsid w:val="08AB5D2A"/>
    <w:rsid w:val="095C26DE"/>
    <w:rsid w:val="09E93EE2"/>
    <w:rsid w:val="0A76493D"/>
    <w:rsid w:val="0A9905E0"/>
    <w:rsid w:val="0A9B46A5"/>
    <w:rsid w:val="0AA277E2"/>
    <w:rsid w:val="0ABC5BC4"/>
    <w:rsid w:val="0B7C1524"/>
    <w:rsid w:val="0B7F7B23"/>
    <w:rsid w:val="0BAD5162"/>
    <w:rsid w:val="0C37664F"/>
    <w:rsid w:val="0CF32576"/>
    <w:rsid w:val="0D715B00"/>
    <w:rsid w:val="0D79A6F5"/>
    <w:rsid w:val="0D7E7630"/>
    <w:rsid w:val="0D7F1B25"/>
    <w:rsid w:val="0DF95DB2"/>
    <w:rsid w:val="0E6D41E3"/>
    <w:rsid w:val="0EB65F51"/>
    <w:rsid w:val="0F7B419B"/>
    <w:rsid w:val="0FC60E5D"/>
    <w:rsid w:val="0FD94E91"/>
    <w:rsid w:val="0FE02A3E"/>
    <w:rsid w:val="0FE25FB6"/>
    <w:rsid w:val="0FE7DC6E"/>
    <w:rsid w:val="101B5666"/>
    <w:rsid w:val="106D5B8F"/>
    <w:rsid w:val="108E24F0"/>
    <w:rsid w:val="11AC2C70"/>
    <w:rsid w:val="12735B2F"/>
    <w:rsid w:val="13694DDE"/>
    <w:rsid w:val="13D50C28"/>
    <w:rsid w:val="13F6BDF7"/>
    <w:rsid w:val="15FC6940"/>
    <w:rsid w:val="1610114A"/>
    <w:rsid w:val="169C6E3F"/>
    <w:rsid w:val="16E265F5"/>
    <w:rsid w:val="16FFA9E8"/>
    <w:rsid w:val="170877B8"/>
    <w:rsid w:val="173160BF"/>
    <w:rsid w:val="178A1D29"/>
    <w:rsid w:val="17A82FD5"/>
    <w:rsid w:val="17B62B1E"/>
    <w:rsid w:val="17DD5ACF"/>
    <w:rsid w:val="17FDDAF3"/>
    <w:rsid w:val="191752E5"/>
    <w:rsid w:val="192449E3"/>
    <w:rsid w:val="1969364A"/>
    <w:rsid w:val="1A5328A6"/>
    <w:rsid w:val="1AB05F4B"/>
    <w:rsid w:val="1AD30089"/>
    <w:rsid w:val="1B6F5FBB"/>
    <w:rsid w:val="1B77744E"/>
    <w:rsid w:val="1B9FF7C7"/>
    <w:rsid w:val="1BBC29D2"/>
    <w:rsid w:val="1BDB7E1B"/>
    <w:rsid w:val="1BDBAE7C"/>
    <w:rsid w:val="1BDC2A83"/>
    <w:rsid w:val="1BDE4BA9"/>
    <w:rsid w:val="1BF8478C"/>
    <w:rsid w:val="1BFC9C74"/>
    <w:rsid w:val="1BFEA220"/>
    <w:rsid w:val="1CA45AC1"/>
    <w:rsid w:val="1CBA4EF8"/>
    <w:rsid w:val="1E3A0C4F"/>
    <w:rsid w:val="1E650DFA"/>
    <w:rsid w:val="1EC3611C"/>
    <w:rsid w:val="1EC5B209"/>
    <w:rsid w:val="1F7F8D2B"/>
    <w:rsid w:val="1FBB8127"/>
    <w:rsid w:val="1FBF8D3F"/>
    <w:rsid w:val="1FD9B959"/>
    <w:rsid w:val="1FF86BF9"/>
    <w:rsid w:val="1FFAC29F"/>
    <w:rsid w:val="206E043A"/>
    <w:rsid w:val="209746D2"/>
    <w:rsid w:val="21284022"/>
    <w:rsid w:val="214E08EE"/>
    <w:rsid w:val="217D549A"/>
    <w:rsid w:val="21D93026"/>
    <w:rsid w:val="221937B9"/>
    <w:rsid w:val="22A52C18"/>
    <w:rsid w:val="22EF3388"/>
    <w:rsid w:val="22F470F8"/>
    <w:rsid w:val="22FD06CB"/>
    <w:rsid w:val="23CC1F70"/>
    <w:rsid w:val="23FFD37B"/>
    <w:rsid w:val="244F4611"/>
    <w:rsid w:val="245556F6"/>
    <w:rsid w:val="246D6944"/>
    <w:rsid w:val="247D6439"/>
    <w:rsid w:val="24825274"/>
    <w:rsid w:val="25FF67BD"/>
    <w:rsid w:val="26123616"/>
    <w:rsid w:val="267FEA98"/>
    <w:rsid w:val="26A90456"/>
    <w:rsid w:val="26F45411"/>
    <w:rsid w:val="27EED9D8"/>
    <w:rsid w:val="283D06F2"/>
    <w:rsid w:val="28537652"/>
    <w:rsid w:val="286C56DD"/>
    <w:rsid w:val="28913B29"/>
    <w:rsid w:val="28BF5A9B"/>
    <w:rsid w:val="29974847"/>
    <w:rsid w:val="29EF1986"/>
    <w:rsid w:val="2AE3324F"/>
    <w:rsid w:val="2AEEC49E"/>
    <w:rsid w:val="2AF07C9E"/>
    <w:rsid w:val="2B1F4C22"/>
    <w:rsid w:val="2B5C1535"/>
    <w:rsid w:val="2BAB4892"/>
    <w:rsid w:val="2BC7B03D"/>
    <w:rsid w:val="2BD96984"/>
    <w:rsid w:val="2C0C0B07"/>
    <w:rsid w:val="2D720E3E"/>
    <w:rsid w:val="2DD42233"/>
    <w:rsid w:val="2E7416F1"/>
    <w:rsid w:val="2EFD7091"/>
    <w:rsid w:val="2EFFF359"/>
    <w:rsid w:val="2F5DB385"/>
    <w:rsid w:val="2F6F7D2B"/>
    <w:rsid w:val="2F725D3D"/>
    <w:rsid w:val="2F9312A7"/>
    <w:rsid w:val="2FB3A251"/>
    <w:rsid w:val="2FB68BEA"/>
    <w:rsid w:val="2FBBAB12"/>
    <w:rsid w:val="2FEB7825"/>
    <w:rsid w:val="2FEB9C13"/>
    <w:rsid w:val="2FEDCD4E"/>
    <w:rsid w:val="2FF40230"/>
    <w:rsid w:val="2FFF6717"/>
    <w:rsid w:val="300A1801"/>
    <w:rsid w:val="307348D7"/>
    <w:rsid w:val="31D39A28"/>
    <w:rsid w:val="31EBA8E5"/>
    <w:rsid w:val="31F35F89"/>
    <w:rsid w:val="320E382B"/>
    <w:rsid w:val="325BC9F5"/>
    <w:rsid w:val="32A59143"/>
    <w:rsid w:val="32CD4892"/>
    <w:rsid w:val="32FD22FD"/>
    <w:rsid w:val="34337579"/>
    <w:rsid w:val="34572D85"/>
    <w:rsid w:val="34640350"/>
    <w:rsid w:val="34CD6267"/>
    <w:rsid w:val="34CF0E6D"/>
    <w:rsid w:val="34EDA0C0"/>
    <w:rsid w:val="35150A2C"/>
    <w:rsid w:val="35681367"/>
    <w:rsid w:val="357F1AF4"/>
    <w:rsid w:val="35AC10E5"/>
    <w:rsid w:val="35CC4F2D"/>
    <w:rsid w:val="368044CF"/>
    <w:rsid w:val="369A6C9B"/>
    <w:rsid w:val="369E570E"/>
    <w:rsid w:val="36FE221B"/>
    <w:rsid w:val="371F6B3E"/>
    <w:rsid w:val="372A4537"/>
    <w:rsid w:val="373C3481"/>
    <w:rsid w:val="3772D385"/>
    <w:rsid w:val="377FE4FD"/>
    <w:rsid w:val="37FB8174"/>
    <w:rsid w:val="37FF42CB"/>
    <w:rsid w:val="380C15C5"/>
    <w:rsid w:val="3826BF5A"/>
    <w:rsid w:val="38ADC37C"/>
    <w:rsid w:val="39E7628C"/>
    <w:rsid w:val="3A3B2F2E"/>
    <w:rsid w:val="3A42502E"/>
    <w:rsid w:val="3A7E4B2D"/>
    <w:rsid w:val="3A7F9FF4"/>
    <w:rsid w:val="3AD47692"/>
    <w:rsid w:val="3AFE6FC4"/>
    <w:rsid w:val="3B3061BC"/>
    <w:rsid w:val="3B756E46"/>
    <w:rsid w:val="3BAC7C11"/>
    <w:rsid w:val="3BDD7498"/>
    <w:rsid w:val="3C7F9DAE"/>
    <w:rsid w:val="3C942B7F"/>
    <w:rsid w:val="3CF3D94B"/>
    <w:rsid w:val="3CFE7557"/>
    <w:rsid w:val="3D5F11C7"/>
    <w:rsid w:val="3D894F96"/>
    <w:rsid w:val="3D94B28C"/>
    <w:rsid w:val="3DDC5D9F"/>
    <w:rsid w:val="3DEFDE99"/>
    <w:rsid w:val="3DFF71DB"/>
    <w:rsid w:val="3E2F30E8"/>
    <w:rsid w:val="3E312E1E"/>
    <w:rsid w:val="3E75C1C0"/>
    <w:rsid w:val="3EAB41B0"/>
    <w:rsid w:val="3ECFA902"/>
    <w:rsid w:val="3EDE2FC3"/>
    <w:rsid w:val="3EF93663"/>
    <w:rsid w:val="3EFDF975"/>
    <w:rsid w:val="3EFF4256"/>
    <w:rsid w:val="3F083CC0"/>
    <w:rsid w:val="3F1E0FB4"/>
    <w:rsid w:val="3F2CBC64"/>
    <w:rsid w:val="3F577319"/>
    <w:rsid w:val="3F5BA6C7"/>
    <w:rsid w:val="3F6D0E9D"/>
    <w:rsid w:val="3F7DF586"/>
    <w:rsid w:val="3FB90F6C"/>
    <w:rsid w:val="3FBD7764"/>
    <w:rsid w:val="3FD91598"/>
    <w:rsid w:val="3FEFDB3C"/>
    <w:rsid w:val="3FF1C1E7"/>
    <w:rsid w:val="3FF6BD32"/>
    <w:rsid w:val="3FF85EBD"/>
    <w:rsid w:val="3FFB8389"/>
    <w:rsid w:val="3FFF5D1F"/>
    <w:rsid w:val="40D8001F"/>
    <w:rsid w:val="41033FED"/>
    <w:rsid w:val="41D25922"/>
    <w:rsid w:val="41F67393"/>
    <w:rsid w:val="420B1267"/>
    <w:rsid w:val="42EC7A15"/>
    <w:rsid w:val="43210CDB"/>
    <w:rsid w:val="43AA712C"/>
    <w:rsid w:val="43FFC53F"/>
    <w:rsid w:val="44130575"/>
    <w:rsid w:val="44342174"/>
    <w:rsid w:val="44C96CDC"/>
    <w:rsid w:val="457564B9"/>
    <w:rsid w:val="45F00A47"/>
    <w:rsid w:val="4624135F"/>
    <w:rsid w:val="4638301C"/>
    <w:rsid w:val="464E2371"/>
    <w:rsid w:val="46DD15C6"/>
    <w:rsid w:val="46DD5122"/>
    <w:rsid w:val="478355AF"/>
    <w:rsid w:val="47B74AF5"/>
    <w:rsid w:val="47FD7BA2"/>
    <w:rsid w:val="47FF1FDA"/>
    <w:rsid w:val="485E4EEC"/>
    <w:rsid w:val="4873D7B4"/>
    <w:rsid w:val="490177EE"/>
    <w:rsid w:val="49511A52"/>
    <w:rsid w:val="49667964"/>
    <w:rsid w:val="49F991A1"/>
    <w:rsid w:val="49FFFF8A"/>
    <w:rsid w:val="4A5971B6"/>
    <w:rsid w:val="4AC92197"/>
    <w:rsid w:val="4B77F900"/>
    <w:rsid w:val="4B935C54"/>
    <w:rsid w:val="4BB761B1"/>
    <w:rsid w:val="4BE9AE35"/>
    <w:rsid w:val="4C321B7A"/>
    <w:rsid w:val="4C43478E"/>
    <w:rsid w:val="4C6D6F48"/>
    <w:rsid w:val="4CD26782"/>
    <w:rsid w:val="4D67977B"/>
    <w:rsid w:val="4D6801B9"/>
    <w:rsid w:val="4DB89D0B"/>
    <w:rsid w:val="4DBF43CE"/>
    <w:rsid w:val="4DE560B8"/>
    <w:rsid w:val="4DF27AE5"/>
    <w:rsid w:val="4E223347"/>
    <w:rsid w:val="4E5FDB03"/>
    <w:rsid w:val="4E6707FB"/>
    <w:rsid w:val="4E6B08E9"/>
    <w:rsid w:val="4EAE534F"/>
    <w:rsid w:val="4EB40E5E"/>
    <w:rsid w:val="4EB663B1"/>
    <w:rsid w:val="4F4F0B87"/>
    <w:rsid w:val="4F657287"/>
    <w:rsid w:val="4FDB722E"/>
    <w:rsid w:val="4FF7A4B3"/>
    <w:rsid w:val="4FF9B41C"/>
    <w:rsid w:val="4FFF6CDD"/>
    <w:rsid w:val="50840A87"/>
    <w:rsid w:val="513D3146"/>
    <w:rsid w:val="51F06651"/>
    <w:rsid w:val="5252207C"/>
    <w:rsid w:val="525F3E0F"/>
    <w:rsid w:val="525F7333"/>
    <w:rsid w:val="52CF3CD6"/>
    <w:rsid w:val="536F44D4"/>
    <w:rsid w:val="54330A77"/>
    <w:rsid w:val="547F6CE6"/>
    <w:rsid w:val="550565D4"/>
    <w:rsid w:val="5573F616"/>
    <w:rsid w:val="559B1C90"/>
    <w:rsid w:val="55F65348"/>
    <w:rsid w:val="567CEABF"/>
    <w:rsid w:val="56BF421F"/>
    <w:rsid w:val="57803B24"/>
    <w:rsid w:val="57843737"/>
    <w:rsid w:val="57B27E15"/>
    <w:rsid w:val="57CF49BA"/>
    <w:rsid w:val="57D24BE5"/>
    <w:rsid w:val="57EF6F9F"/>
    <w:rsid w:val="57F1A551"/>
    <w:rsid w:val="57FF949A"/>
    <w:rsid w:val="57FFECDB"/>
    <w:rsid w:val="58A319C8"/>
    <w:rsid w:val="58EA7CFB"/>
    <w:rsid w:val="592F5CB1"/>
    <w:rsid w:val="594D4389"/>
    <w:rsid w:val="59D5242F"/>
    <w:rsid w:val="59DB2B45"/>
    <w:rsid w:val="59EBCC07"/>
    <w:rsid w:val="59FD0BF4"/>
    <w:rsid w:val="59FF0029"/>
    <w:rsid w:val="59FF8E19"/>
    <w:rsid w:val="5A217447"/>
    <w:rsid w:val="5A7C2B85"/>
    <w:rsid w:val="5A9826C1"/>
    <w:rsid w:val="5AA36AB1"/>
    <w:rsid w:val="5AAE60E5"/>
    <w:rsid w:val="5ADF37EF"/>
    <w:rsid w:val="5AE2B3F5"/>
    <w:rsid w:val="5B1FED6C"/>
    <w:rsid w:val="5B6F0C40"/>
    <w:rsid w:val="5B7B9311"/>
    <w:rsid w:val="5BAF9ACE"/>
    <w:rsid w:val="5BF36510"/>
    <w:rsid w:val="5BF3F1C5"/>
    <w:rsid w:val="5C4C54F6"/>
    <w:rsid w:val="5CAD6C02"/>
    <w:rsid w:val="5CFF3F7D"/>
    <w:rsid w:val="5D7A6597"/>
    <w:rsid w:val="5DAF90BD"/>
    <w:rsid w:val="5DB450B9"/>
    <w:rsid w:val="5DC56BE4"/>
    <w:rsid w:val="5DE54CEC"/>
    <w:rsid w:val="5DE772EE"/>
    <w:rsid w:val="5DE83630"/>
    <w:rsid w:val="5DECD7FE"/>
    <w:rsid w:val="5DFE38F6"/>
    <w:rsid w:val="5DFFBCE6"/>
    <w:rsid w:val="5E127950"/>
    <w:rsid w:val="5E70CB5C"/>
    <w:rsid w:val="5E7711C0"/>
    <w:rsid w:val="5EE7C192"/>
    <w:rsid w:val="5EF0460A"/>
    <w:rsid w:val="5EF72E45"/>
    <w:rsid w:val="5EF76EE9"/>
    <w:rsid w:val="5EFFF850"/>
    <w:rsid w:val="5F1FA8A4"/>
    <w:rsid w:val="5F5F4E16"/>
    <w:rsid w:val="5F7E92F5"/>
    <w:rsid w:val="5F7FB7B9"/>
    <w:rsid w:val="5F97EEBB"/>
    <w:rsid w:val="5FBBFB0D"/>
    <w:rsid w:val="5FD34546"/>
    <w:rsid w:val="5FD534E1"/>
    <w:rsid w:val="5FDF6E27"/>
    <w:rsid w:val="5FE200CF"/>
    <w:rsid w:val="5FEB2B5E"/>
    <w:rsid w:val="5FF607F2"/>
    <w:rsid w:val="5FF7FA7F"/>
    <w:rsid w:val="5FF879A8"/>
    <w:rsid w:val="5FFB0401"/>
    <w:rsid w:val="5FFBD18D"/>
    <w:rsid w:val="5FFBD2A2"/>
    <w:rsid w:val="5FFBD64B"/>
    <w:rsid w:val="5FFE5E80"/>
    <w:rsid w:val="5FFEAA4B"/>
    <w:rsid w:val="5FFF470A"/>
    <w:rsid w:val="60957760"/>
    <w:rsid w:val="609E1590"/>
    <w:rsid w:val="614DA3F7"/>
    <w:rsid w:val="61FDF1E7"/>
    <w:rsid w:val="630B59AF"/>
    <w:rsid w:val="632058D7"/>
    <w:rsid w:val="633FD24E"/>
    <w:rsid w:val="63A2942A"/>
    <w:rsid w:val="63BA6106"/>
    <w:rsid w:val="64E22016"/>
    <w:rsid w:val="64ED39BF"/>
    <w:rsid w:val="650E0E71"/>
    <w:rsid w:val="653C694E"/>
    <w:rsid w:val="656EBF81"/>
    <w:rsid w:val="659BE6E9"/>
    <w:rsid w:val="65DF3A83"/>
    <w:rsid w:val="65E6594A"/>
    <w:rsid w:val="65F7375F"/>
    <w:rsid w:val="660B715E"/>
    <w:rsid w:val="667C658D"/>
    <w:rsid w:val="66E65B60"/>
    <w:rsid w:val="67533D9C"/>
    <w:rsid w:val="67BF9339"/>
    <w:rsid w:val="67C50920"/>
    <w:rsid w:val="67FF13E1"/>
    <w:rsid w:val="67FF7FDA"/>
    <w:rsid w:val="68FB795E"/>
    <w:rsid w:val="696E4DE3"/>
    <w:rsid w:val="69FD45CF"/>
    <w:rsid w:val="6A1938B8"/>
    <w:rsid w:val="6AC67AF8"/>
    <w:rsid w:val="6AFB4793"/>
    <w:rsid w:val="6B5F5488"/>
    <w:rsid w:val="6BB61D6F"/>
    <w:rsid w:val="6BB70CF5"/>
    <w:rsid w:val="6BF58681"/>
    <w:rsid w:val="6BF90CCB"/>
    <w:rsid w:val="6BF9EA46"/>
    <w:rsid w:val="6C1547D9"/>
    <w:rsid w:val="6C5C2E30"/>
    <w:rsid w:val="6C75E5A8"/>
    <w:rsid w:val="6CB3371C"/>
    <w:rsid w:val="6CDB522D"/>
    <w:rsid w:val="6D555DE9"/>
    <w:rsid w:val="6D6F3702"/>
    <w:rsid w:val="6DAF6C66"/>
    <w:rsid w:val="6DBF5290"/>
    <w:rsid w:val="6DFEC2AE"/>
    <w:rsid w:val="6DFFA40D"/>
    <w:rsid w:val="6E6FCB0A"/>
    <w:rsid w:val="6EB94A45"/>
    <w:rsid w:val="6EEC96BC"/>
    <w:rsid w:val="6EFD97BC"/>
    <w:rsid w:val="6EFF2D40"/>
    <w:rsid w:val="6EFF327C"/>
    <w:rsid w:val="6F08033E"/>
    <w:rsid w:val="6F121BFE"/>
    <w:rsid w:val="6F1F93AF"/>
    <w:rsid w:val="6F2FF01E"/>
    <w:rsid w:val="6F32188D"/>
    <w:rsid w:val="6F331FE6"/>
    <w:rsid w:val="6F6B7543"/>
    <w:rsid w:val="6F7F166A"/>
    <w:rsid w:val="6F7F7F93"/>
    <w:rsid w:val="6FAE3E87"/>
    <w:rsid w:val="6FBFEE86"/>
    <w:rsid w:val="6FDAA086"/>
    <w:rsid w:val="6FFAF4E7"/>
    <w:rsid w:val="6FFE1061"/>
    <w:rsid w:val="6FFF8968"/>
    <w:rsid w:val="6FFFA650"/>
    <w:rsid w:val="707F0E75"/>
    <w:rsid w:val="70F80C27"/>
    <w:rsid w:val="71A75801"/>
    <w:rsid w:val="71AD77C8"/>
    <w:rsid w:val="71DDF494"/>
    <w:rsid w:val="71E371E1"/>
    <w:rsid w:val="71FBF031"/>
    <w:rsid w:val="72F54AFE"/>
    <w:rsid w:val="734223D1"/>
    <w:rsid w:val="738E59B0"/>
    <w:rsid w:val="73AFA270"/>
    <w:rsid w:val="73B64978"/>
    <w:rsid w:val="73BAFB91"/>
    <w:rsid w:val="73BFE163"/>
    <w:rsid w:val="73E75C9E"/>
    <w:rsid w:val="73FD192C"/>
    <w:rsid w:val="744423DB"/>
    <w:rsid w:val="74604B19"/>
    <w:rsid w:val="74716D26"/>
    <w:rsid w:val="74A67B86"/>
    <w:rsid w:val="74FD23E3"/>
    <w:rsid w:val="74FF4249"/>
    <w:rsid w:val="755E663E"/>
    <w:rsid w:val="75BF7030"/>
    <w:rsid w:val="75DFBC2F"/>
    <w:rsid w:val="75EFF8D0"/>
    <w:rsid w:val="760F78EA"/>
    <w:rsid w:val="76367EBF"/>
    <w:rsid w:val="765D3E8C"/>
    <w:rsid w:val="7697332E"/>
    <w:rsid w:val="7697D672"/>
    <w:rsid w:val="76CC0211"/>
    <w:rsid w:val="76D7B7AC"/>
    <w:rsid w:val="76DB6941"/>
    <w:rsid w:val="76F72CA7"/>
    <w:rsid w:val="76F76DE9"/>
    <w:rsid w:val="76FC28D3"/>
    <w:rsid w:val="77292D52"/>
    <w:rsid w:val="772E41AB"/>
    <w:rsid w:val="77390D2E"/>
    <w:rsid w:val="775FE698"/>
    <w:rsid w:val="77AD995D"/>
    <w:rsid w:val="77B5517C"/>
    <w:rsid w:val="77BC8C05"/>
    <w:rsid w:val="77D7EA08"/>
    <w:rsid w:val="77DB448D"/>
    <w:rsid w:val="77E6AE34"/>
    <w:rsid w:val="77E8A6B9"/>
    <w:rsid w:val="77ED669E"/>
    <w:rsid w:val="77EE125B"/>
    <w:rsid w:val="77F61063"/>
    <w:rsid w:val="77F6C91E"/>
    <w:rsid w:val="77F7B338"/>
    <w:rsid w:val="77F7F428"/>
    <w:rsid w:val="77F9BB9E"/>
    <w:rsid w:val="77FC42F3"/>
    <w:rsid w:val="77FC463A"/>
    <w:rsid w:val="77FEA690"/>
    <w:rsid w:val="77FF108A"/>
    <w:rsid w:val="77FF2B47"/>
    <w:rsid w:val="783B1371"/>
    <w:rsid w:val="78BB13F2"/>
    <w:rsid w:val="78FE565F"/>
    <w:rsid w:val="78FF03BE"/>
    <w:rsid w:val="79130AC7"/>
    <w:rsid w:val="791D2611"/>
    <w:rsid w:val="7932007E"/>
    <w:rsid w:val="79521FAF"/>
    <w:rsid w:val="7963766C"/>
    <w:rsid w:val="799DADF1"/>
    <w:rsid w:val="79BA1B30"/>
    <w:rsid w:val="79BEA319"/>
    <w:rsid w:val="79D501A0"/>
    <w:rsid w:val="79F38005"/>
    <w:rsid w:val="79FF37BE"/>
    <w:rsid w:val="7A1E7F83"/>
    <w:rsid w:val="7A785BEC"/>
    <w:rsid w:val="7A8D418E"/>
    <w:rsid w:val="7A9B819A"/>
    <w:rsid w:val="7AFBDA5D"/>
    <w:rsid w:val="7AFE92D1"/>
    <w:rsid w:val="7AFFDD72"/>
    <w:rsid w:val="7B2326C0"/>
    <w:rsid w:val="7B25086A"/>
    <w:rsid w:val="7B3D0552"/>
    <w:rsid w:val="7B5349E6"/>
    <w:rsid w:val="7B5A126E"/>
    <w:rsid w:val="7B77AB08"/>
    <w:rsid w:val="7B9FCCBE"/>
    <w:rsid w:val="7BBE6003"/>
    <w:rsid w:val="7BDE7104"/>
    <w:rsid w:val="7BDF6669"/>
    <w:rsid w:val="7BEFDD2A"/>
    <w:rsid w:val="7BF53200"/>
    <w:rsid w:val="7BFB7CC2"/>
    <w:rsid w:val="7BFC5718"/>
    <w:rsid w:val="7BFF1019"/>
    <w:rsid w:val="7C221685"/>
    <w:rsid w:val="7C9F1900"/>
    <w:rsid w:val="7CCFA6E1"/>
    <w:rsid w:val="7CDF0203"/>
    <w:rsid w:val="7CF70EED"/>
    <w:rsid w:val="7D1E413C"/>
    <w:rsid w:val="7D3D96BD"/>
    <w:rsid w:val="7D4D89BD"/>
    <w:rsid w:val="7D63B9E9"/>
    <w:rsid w:val="7D9F1508"/>
    <w:rsid w:val="7DBB5301"/>
    <w:rsid w:val="7DBD63C0"/>
    <w:rsid w:val="7DBF6EED"/>
    <w:rsid w:val="7DCC1CF1"/>
    <w:rsid w:val="7DDB8338"/>
    <w:rsid w:val="7DDBC0CF"/>
    <w:rsid w:val="7DECE81A"/>
    <w:rsid w:val="7DF568C9"/>
    <w:rsid w:val="7DF746D8"/>
    <w:rsid w:val="7DF7EF06"/>
    <w:rsid w:val="7DFB3F1B"/>
    <w:rsid w:val="7DFD30EF"/>
    <w:rsid w:val="7DFF161B"/>
    <w:rsid w:val="7DFFEF41"/>
    <w:rsid w:val="7E352958"/>
    <w:rsid w:val="7E7F9E8F"/>
    <w:rsid w:val="7E8B0583"/>
    <w:rsid w:val="7E8E4F47"/>
    <w:rsid w:val="7EAD062D"/>
    <w:rsid w:val="7EBF350B"/>
    <w:rsid w:val="7EC3F759"/>
    <w:rsid w:val="7EDFB2E7"/>
    <w:rsid w:val="7EE92FC1"/>
    <w:rsid w:val="7EE97EF8"/>
    <w:rsid w:val="7EFBE66F"/>
    <w:rsid w:val="7EFE599F"/>
    <w:rsid w:val="7EFF271A"/>
    <w:rsid w:val="7EFFF7DB"/>
    <w:rsid w:val="7F0F7FBD"/>
    <w:rsid w:val="7F273534"/>
    <w:rsid w:val="7F2F3112"/>
    <w:rsid w:val="7F3B2F2E"/>
    <w:rsid w:val="7F3E638A"/>
    <w:rsid w:val="7F3FF98A"/>
    <w:rsid w:val="7F4CAFD4"/>
    <w:rsid w:val="7F5DDA9B"/>
    <w:rsid w:val="7F77422A"/>
    <w:rsid w:val="7F7A2AA0"/>
    <w:rsid w:val="7F7F19EA"/>
    <w:rsid w:val="7F865AD9"/>
    <w:rsid w:val="7F8E27D5"/>
    <w:rsid w:val="7F935D43"/>
    <w:rsid w:val="7F97255A"/>
    <w:rsid w:val="7F9751F5"/>
    <w:rsid w:val="7FAE2163"/>
    <w:rsid w:val="7FAFFC5B"/>
    <w:rsid w:val="7FB9EB11"/>
    <w:rsid w:val="7FBD0135"/>
    <w:rsid w:val="7FBF0BDA"/>
    <w:rsid w:val="7FBF1668"/>
    <w:rsid w:val="7FBF5258"/>
    <w:rsid w:val="7FBF9E01"/>
    <w:rsid w:val="7FC35A43"/>
    <w:rsid w:val="7FC36D65"/>
    <w:rsid w:val="7FCE2A8D"/>
    <w:rsid w:val="7FD6066B"/>
    <w:rsid w:val="7FDA5E96"/>
    <w:rsid w:val="7FDB82AD"/>
    <w:rsid w:val="7FDBF016"/>
    <w:rsid w:val="7FDE132E"/>
    <w:rsid w:val="7FDE55F2"/>
    <w:rsid w:val="7FDF08DE"/>
    <w:rsid w:val="7FDF1AF1"/>
    <w:rsid w:val="7FDFEA5B"/>
    <w:rsid w:val="7FE79F30"/>
    <w:rsid w:val="7FEB589C"/>
    <w:rsid w:val="7FEBE818"/>
    <w:rsid w:val="7FEF5AA5"/>
    <w:rsid w:val="7FEFB775"/>
    <w:rsid w:val="7FF4FFB0"/>
    <w:rsid w:val="7FF64F61"/>
    <w:rsid w:val="7FF73865"/>
    <w:rsid w:val="7FF9552F"/>
    <w:rsid w:val="7FF99AC2"/>
    <w:rsid w:val="7FFA6F79"/>
    <w:rsid w:val="7FFA789F"/>
    <w:rsid w:val="7FFB394A"/>
    <w:rsid w:val="7FFE95E8"/>
    <w:rsid w:val="7FFF3374"/>
    <w:rsid w:val="7FFF7C52"/>
    <w:rsid w:val="7FFFA715"/>
    <w:rsid w:val="7FFFAA99"/>
    <w:rsid w:val="7FFFC350"/>
    <w:rsid w:val="7FFFC413"/>
    <w:rsid w:val="7FFFE82A"/>
    <w:rsid w:val="7FFFF734"/>
    <w:rsid w:val="83BD491E"/>
    <w:rsid w:val="877E9188"/>
    <w:rsid w:val="87B96B64"/>
    <w:rsid w:val="8B4F1130"/>
    <w:rsid w:val="8FFEAB0A"/>
    <w:rsid w:val="92CD58E4"/>
    <w:rsid w:val="92F5B987"/>
    <w:rsid w:val="93CECF51"/>
    <w:rsid w:val="93F7C885"/>
    <w:rsid w:val="97ADF03E"/>
    <w:rsid w:val="99FF6E21"/>
    <w:rsid w:val="9BDF8AD3"/>
    <w:rsid w:val="9BF6A5E0"/>
    <w:rsid w:val="9DB86585"/>
    <w:rsid w:val="9DBCB3E5"/>
    <w:rsid w:val="9DFC16F1"/>
    <w:rsid w:val="9FBBCB0C"/>
    <w:rsid w:val="9FDBDEC6"/>
    <w:rsid w:val="9FEA9C73"/>
    <w:rsid w:val="9FF78555"/>
    <w:rsid w:val="9FFB132E"/>
    <w:rsid w:val="9FFF3F5F"/>
    <w:rsid w:val="A3CEC295"/>
    <w:rsid w:val="A67FF3F0"/>
    <w:rsid w:val="A6F63509"/>
    <w:rsid w:val="A7EF5E68"/>
    <w:rsid w:val="A9DF93EB"/>
    <w:rsid w:val="A9F94E53"/>
    <w:rsid w:val="A9FCE071"/>
    <w:rsid w:val="AAFF4ECE"/>
    <w:rsid w:val="AB3F6307"/>
    <w:rsid w:val="ABEAA41F"/>
    <w:rsid w:val="AC7F0B32"/>
    <w:rsid w:val="ADFDB914"/>
    <w:rsid w:val="AF696506"/>
    <w:rsid w:val="AFBA7ABB"/>
    <w:rsid w:val="AFEB4F02"/>
    <w:rsid w:val="AFEEBFA0"/>
    <w:rsid w:val="AFFB8343"/>
    <w:rsid w:val="B0938F91"/>
    <w:rsid w:val="B3C3464A"/>
    <w:rsid w:val="B3CBA921"/>
    <w:rsid w:val="B5DEBC41"/>
    <w:rsid w:val="B5EFE49F"/>
    <w:rsid w:val="B5F3946A"/>
    <w:rsid w:val="B5FD5F74"/>
    <w:rsid w:val="B67F3428"/>
    <w:rsid w:val="B6F5029E"/>
    <w:rsid w:val="B71BA20B"/>
    <w:rsid w:val="B71DA8D6"/>
    <w:rsid w:val="B7ED127F"/>
    <w:rsid w:val="B7F6A61F"/>
    <w:rsid w:val="B837B565"/>
    <w:rsid w:val="B87F439C"/>
    <w:rsid w:val="B8FFA454"/>
    <w:rsid w:val="B9DA395E"/>
    <w:rsid w:val="B9E32CB4"/>
    <w:rsid w:val="BB3FE4AD"/>
    <w:rsid w:val="BB7FBBF3"/>
    <w:rsid w:val="BBDC8611"/>
    <w:rsid w:val="BBFFEC62"/>
    <w:rsid w:val="BC5D4026"/>
    <w:rsid w:val="BC7D9AA6"/>
    <w:rsid w:val="BD2FB226"/>
    <w:rsid w:val="BD7E49F2"/>
    <w:rsid w:val="BDD75781"/>
    <w:rsid w:val="BDDECA4A"/>
    <w:rsid w:val="BDDF2406"/>
    <w:rsid w:val="BDEA86A7"/>
    <w:rsid w:val="BDFFF83A"/>
    <w:rsid w:val="BE1BE439"/>
    <w:rsid w:val="BE4E9731"/>
    <w:rsid w:val="BEB3A73D"/>
    <w:rsid w:val="BEDF5361"/>
    <w:rsid w:val="BEF5C43C"/>
    <w:rsid w:val="BEFFD48B"/>
    <w:rsid w:val="BF3B8225"/>
    <w:rsid w:val="BF5A0F5D"/>
    <w:rsid w:val="BF6EA3A9"/>
    <w:rsid w:val="BF9E2217"/>
    <w:rsid w:val="BF9F4BA7"/>
    <w:rsid w:val="BFBDC6B7"/>
    <w:rsid w:val="BFBF347E"/>
    <w:rsid w:val="BFD649A7"/>
    <w:rsid w:val="BFDFB58B"/>
    <w:rsid w:val="BFDFF9C5"/>
    <w:rsid w:val="BFE7AC2F"/>
    <w:rsid w:val="BFEF3871"/>
    <w:rsid w:val="BFF37375"/>
    <w:rsid w:val="BFF7A4ED"/>
    <w:rsid w:val="BFF7F80A"/>
    <w:rsid w:val="BFFE60A7"/>
    <w:rsid w:val="BFFF9071"/>
    <w:rsid w:val="BFFFC61C"/>
    <w:rsid w:val="C3D78DE9"/>
    <w:rsid w:val="C5EACB8A"/>
    <w:rsid w:val="C5F23F75"/>
    <w:rsid w:val="C6DE516F"/>
    <w:rsid w:val="C7FA4D9B"/>
    <w:rsid w:val="C7FFE228"/>
    <w:rsid w:val="C983FD83"/>
    <w:rsid w:val="C9FFA448"/>
    <w:rsid w:val="CBDA3EFC"/>
    <w:rsid w:val="CBF7863F"/>
    <w:rsid w:val="CDA68C7D"/>
    <w:rsid w:val="CDFFB7C8"/>
    <w:rsid w:val="CEDE66E0"/>
    <w:rsid w:val="CEEB360E"/>
    <w:rsid w:val="CEF5E32F"/>
    <w:rsid w:val="CEFE4497"/>
    <w:rsid w:val="CFAF1BB2"/>
    <w:rsid w:val="CFDE17D5"/>
    <w:rsid w:val="CFF59AF3"/>
    <w:rsid w:val="D1F9AB24"/>
    <w:rsid w:val="D3D5C0EE"/>
    <w:rsid w:val="D3FE0338"/>
    <w:rsid w:val="D4707844"/>
    <w:rsid w:val="D5539CE0"/>
    <w:rsid w:val="D5EFDF9C"/>
    <w:rsid w:val="D5FD0901"/>
    <w:rsid w:val="D5FF3E20"/>
    <w:rsid w:val="D6594B9F"/>
    <w:rsid w:val="D6BF1119"/>
    <w:rsid w:val="D76DFB2A"/>
    <w:rsid w:val="D7DF62CE"/>
    <w:rsid w:val="D7FFBCC9"/>
    <w:rsid w:val="D7FFF62A"/>
    <w:rsid w:val="D8A93265"/>
    <w:rsid w:val="DA9FD45A"/>
    <w:rsid w:val="DAF9B364"/>
    <w:rsid w:val="DAFBBA05"/>
    <w:rsid w:val="DAFD93A1"/>
    <w:rsid w:val="DB1DC877"/>
    <w:rsid w:val="DBBC159E"/>
    <w:rsid w:val="DBDF96DD"/>
    <w:rsid w:val="DCBF5712"/>
    <w:rsid w:val="DCBFA682"/>
    <w:rsid w:val="DD4E9693"/>
    <w:rsid w:val="DD6B30DE"/>
    <w:rsid w:val="DDBDAB00"/>
    <w:rsid w:val="DDFF27EE"/>
    <w:rsid w:val="DE3E41AB"/>
    <w:rsid w:val="DEBB6B32"/>
    <w:rsid w:val="DEBECBEC"/>
    <w:rsid w:val="DEEA56DE"/>
    <w:rsid w:val="DEFFA4B0"/>
    <w:rsid w:val="DF395D58"/>
    <w:rsid w:val="DF39DC9F"/>
    <w:rsid w:val="DF4F3FBE"/>
    <w:rsid w:val="DF75C127"/>
    <w:rsid w:val="DF7A0364"/>
    <w:rsid w:val="DF7EAD88"/>
    <w:rsid w:val="DF7F9EAA"/>
    <w:rsid w:val="DF96C754"/>
    <w:rsid w:val="DF973C1A"/>
    <w:rsid w:val="DFB9AF59"/>
    <w:rsid w:val="DFBD64FF"/>
    <w:rsid w:val="DFBE118C"/>
    <w:rsid w:val="DFC7C8A2"/>
    <w:rsid w:val="DFDAF6D7"/>
    <w:rsid w:val="DFDFEFEC"/>
    <w:rsid w:val="DFEA8668"/>
    <w:rsid w:val="DFEF4666"/>
    <w:rsid w:val="DFEFC7C8"/>
    <w:rsid w:val="DFF71974"/>
    <w:rsid w:val="DFF83376"/>
    <w:rsid w:val="DFFA86DF"/>
    <w:rsid w:val="DFFD60D5"/>
    <w:rsid w:val="DFFF3398"/>
    <w:rsid w:val="E09D0C23"/>
    <w:rsid w:val="E11FC8F1"/>
    <w:rsid w:val="E17DDF38"/>
    <w:rsid w:val="E1F94389"/>
    <w:rsid w:val="E34E3883"/>
    <w:rsid w:val="E3BD85F5"/>
    <w:rsid w:val="E5AF51ED"/>
    <w:rsid w:val="E5F7CC99"/>
    <w:rsid w:val="E6EEA75F"/>
    <w:rsid w:val="E77BC0A3"/>
    <w:rsid w:val="E793C8BA"/>
    <w:rsid w:val="E7BCDB76"/>
    <w:rsid w:val="E7ED5608"/>
    <w:rsid w:val="E7EDCEFB"/>
    <w:rsid w:val="E7EF0AF5"/>
    <w:rsid w:val="E7FFD2A1"/>
    <w:rsid w:val="E979BEA3"/>
    <w:rsid w:val="E9EF2B33"/>
    <w:rsid w:val="EAF46AEF"/>
    <w:rsid w:val="EAF76570"/>
    <w:rsid w:val="EB6D8F9E"/>
    <w:rsid w:val="EB7F7585"/>
    <w:rsid w:val="EB9F23EE"/>
    <w:rsid w:val="EBAEFD4F"/>
    <w:rsid w:val="EBBEC4F9"/>
    <w:rsid w:val="EBDB8D2F"/>
    <w:rsid w:val="EBDFA93A"/>
    <w:rsid w:val="EBF3CBDD"/>
    <w:rsid w:val="EBF71777"/>
    <w:rsid w:val="EBF87780"/>
    <w:rsid w:val="ECF51DA4"/>
    <w:rsid w:val="ED345B85"/>
    <w:rsid w:val="ED66B4EF"/>
    <w:rsid w:val="ED763CB1"/>
    <w:rsid w:val="EDB5F29A"/>
    <w:rsid w:val="EDBFBE68"/>
    <w:rsid w:val="EDCB2106"/>
    <w:rsid w:val="EDEFFA99"/>
    <w:rsid w:val="EDF6D588"/>
    <w:rsid w:val="EDFC13C0"/>
    <w:rsid w:val="EE24AF6D"/>
    <w:rsid w:val="EEBFA2C9"/>
    <w:rsid w:val="EECE7FB7"/>
    <w:rsid w:val="EEDB77C6"/>
    <w:rsid w:val="EEFDA3C2"/>
    <w:rsid w:val="EEFF4DB3"/>
    <w:rsid w:val="EF5F165D"/>
    <w:rsid w:val="EF73B93F"/>
    <w:rsid w:val="EF7B043F"/>
    <w:rsid w:val="EF7EB5D1"/>
    <w:rsid w:val="EF7F5D02"/>
    <w:rsid w:val="EF8E377B"/>
    <w:rsid w:val="EFB57942"/>
    <w:rsid w:val="EFB5ABDE"/>
    <w:rsid w:val="EFB6FB9E"/>
    <w:rsid w:val="EFBD5E35"/>
    <w:rsid w:val="EFBF7808"/>
    <w:rsid w:val="EFD9C8B8"/>
    <w:rsid w:val="EFEEC751"/>
    <w:rsid w:val="EFEECF3F"/>
    <w:rsid w:val="EFF76DE1"/>
    <w:rsid w:val="F0BF5A57"/>
    <w:rsid w:val="F0F596B2"/>
    <w:rsid w:val="F17D250A"/>
    <w:rsid w:val="F1F9704B"/>
    <w:rsid w:val="F25EBB4C"/>
    <w:rsid w:val="F2FD1DEF"/>
    <w:rsid w:val="F39FD7ED"/>
    <w:rsid w:val="F3F28F34"/>
    <w:rsid w:val="F3F73833"/>
    <w:rsid w:val="F3FBCDAE"/>
    <w:rsid w:val="F3FBD9CE"/>
    <w:rsid w:val="F3FF2A93"/>
    <w:rsid w:val="F4B74C33"/>
    <w:rsid w:val="F4F27785"/>
    <w:rsid w:val="F4F4CA26"/>
    <w:rsid w:val="F57A3670"/>
    <w:rsid w:val="F5B7237D"/>
    <w:rsid w:val="F5BFC7E3"/>
    <w:rsid w:val="F5C06E9A"/>
    <w:rsid w:val="F5DD68E4"/>
    <w:rsid w:val="F5DF4410"/>
    <w:rsid w:val="F5E745B1"/>
    <w:rsid w:val="F5EE70D7"/>
    <w:rsid w:val="F69F01C1"/>
    <w:rsid w:val="F6B18996"/>
    <w:rsid w:val="F6DF6E63"/>
    <w:rsid w:val="F6F1FBD8"/>
    <w:rsid w:val="F6FB5B71"/>
    <w:rsid w:val="F710148A"/>
    <w:rsid w:val="F776F1D1"/>
    <w:rsid w:val="F7B24662"/>
    <w:rsid w:val="F7BBED20"/>
    <w:rsid w:val="F7BFC19A"/>
    <w:rsid w:val="F7D75EF3"/>
    <w:rsid w:val="F7DD6DDA"/>
    <w:rsid w:val="F7E9DF29"/>
    <w:rsid w:val="F7EE03A4"/>
    <w:rsid w:val="F7EF200E"/>
    <w:rsid w:val="F7EF79A8"/>
    <w:rsid w:val="F7EFCA30"/>
    <w:rsid w:val="F7FD6586"/>
    <w:rsid w:val="F7FE1D36"/>
    <w:rsid w:val="F7FE519A"/>
    <w:rsid w:val="F7FF178A"/>
    <w:rsid w:val="F7FF53C8"/>
    <w:rsid w:val="F7FF9ACE"/>
    <w:rsid w:val="F81D3D58"/>
    <w:rsid w:val="F9EF4DDB"/>
    <w:rsid w:val="F9F7C35E"/>
    <w:rsid w:val="FA7FD3CB"/>
    <w:rsid w:val="FABF7605"/>
    <w:rsid w:val="FB4D176B"/>
    <w:rsid w:val="FB681A33"/>
    <w:rsid w:val="FB7F6D8A"/>
    <w:rsid w:val="FB9E0FB1"/>
    <w:rsid w:val="FB9F5641"/>
    <w:rsid w:val="FBB75E65"/>
    <w:rsid w:val="FBD94CAA"/>
    <w:rsid w:val="FBDF39C5"/>
    <w:rsid w:val="FBEF9C85"/>
    <w:rsid w:val="FBF01E9F"/>
    <w:rsid w:val="FBF39B41"/>
    <w:rsid w:val="FBF6DDE4"/>
    <w:rsid w:val="FBFB476A"/>
    <w:rsid w:val="FBFF0E4E"/>
    <w:rsid w:val="FBFF59C1"/>
    <w:rsid w:val="FC2E4CF8"/>
    <w:rsid w:val="FC6D6F84"/>
    <w:rsid w:val="FC7D4588"/>
    <w:rsid w:val="FCAF483D"/>
    <w:rsid w:val="FCB5A871"/>
    <w:rsid w:val="FCB8465A"/>
    <w:rsid w:val="FCBDF04E"/>
    <w:rsid w:val="FCCB63B2"/>
    <w:rsid w:val="FCD7C3E7"/>
    <w:rsid w:val="FCEA8485"/>
    <w:rsid w:val="FCF540B6"/>
    <w:rsid w:val="FCFB2144"/>
    <w:rsid w:val="FCFB3045"/>
    <w:rsid w:val="FCFF0144"/>
    <w:rsid w:val="FD1F6554"/>
    <w:rsid w:val="FD55E085"/>
    <w:rsid w:val="FD6DAA69"/>
    <w:rsid w:val="FD6F72E9"/>
    <w:rsid w:val="FD741CC8"/>
    <w:rsid w:val="FD9FB252"/>
    <w:rsid w:val="FDF2F977"/>
    <w:rsid w:val="FDF96DA1"/>
    <w:rsid w:val="FDFBCD5F"/>
    <w:rsid w:val="FDFBDED4"/>
    <w:rsid w:val="FDFEFB11"/>
    <w:rsid w:val="FDFF6502"/>
    <w:rsid w:val="FDFFED20"/>
    <w:rsid w:val="FDFFEEEA"/>
    <w:rsid w:val="FE03509A"/>
    <w:rsid w:val="FE538F85"/>
    <w:rsid w:val="FE572A64"/>
    <w:rsid w:val="FE77BD98"/>
    <w:rsid w:val="FE79843E"/>
    <w:rsid w:val="FE7CCED3"/>
    <w:rsid w:val="FE7EE1FA"/>
    <w:rsid w:val="FE8F141A"/>
    <w:rsid w:val="FEBE3DE9"/>
    <w:rsid w:val="FEBFECAE"/>
    <w:rsid w:val="FEE32D31"/>
    <w:rsid w:val="FEE70D89"/>
    <w:rsid w:val="FEE75117"/>
    <w:rsid w:val="FEEA3300"/>
    <w:rsid w:val="FEF5C70E"/>
    <w:rsid w:val="FEF707BE"/>
    <w:rsid w:val="FEFB6DEC"/>
    <w:rsid w:val="FEFBBB99"/>
    <w:rsid w:val="FEFCF63A"/>
    <w:rsid w:val="FEFF6DBD"/>
    <w:rsid w:val="FEFF756A"/>
    <w:rsid w:val="FF2EFDA9"/>
    <w:rsid w:val="FF34F49C"/>
    <w:rsid w:val="FF36DD6F"/>
    <w:rsid w:val="FF3F6647"/>
    <w:rsid w:val="FF4F429F"/>
    <w:rsid w:val="FF5A47A6"/>
    <w:rsid w:val="FF6EDEB0"/>
    <w:rsid w:val="FF6F5068"/>
    <w:rsid w:val="FF7BCBB7"/>
    <w:rsid w:val="FF7BF310"/>
    <w:rsid w:val="FF7ED7C8"/>
    <w:rsid w:val="FF7FB800"/>
    <w:rsid w:val="FF97A0B0"/>
    <w:rsid w:val="FF9AD5E4"/>
    <w:rsid w:val="FFABBCEE"/>
    <w:rsid w:val="FFAF67FE"/>
    <w:rsid w:val="FFBD4819"/>
    <w:rsid w:val="FFC60A54"/>
    <w:rsid w:val="FFC684D1"/>
    <w:rsid w:val="FFCCAF56"/>
    <w:rsid w:val="FFD213F0"/>
    <w:rsid w:val="FFD59605"/>
    <w:rsid w:val="FFD73714"/>
    <w:rsid w:val="FFD73753"/>
    <w:rsid w:val="FFD7B836"/>
    <w:rsid w:val="FFDB6FA8"/>
    <w:rsid w:val="FFDDB920"/>
    <w:rsid w:val="FFDF16E4"/>
    <w:rsid w:val="FFDFD355"/>
    <w:rsid w:val="FFDFDD95"/>
    <w:rsid w:val="FFE38466"/>
    <w:rsid w:val="FFE504B3"/>
    <w:rsid w:val="FFE6A5E3"/>
    <w:rsid w:val="FFE7BFDB"/>
    <w:rsid w:val="FFEA89B7"/>
    <w:rsid w:val="FFEBA925"/>
    <w:rsid w:val="FFEBEDF5"/>
    <w:rsid w:val="FFED4E6A"/>
    <w:rsid w:val="FFEFDA22"/>
    <w:rsid w:val="FFF50F9C"/>
    <w:rsid w:val="FFF724A2"/>
    <w:rsid w:val="FFF79ABD"/>
    <w:rsid w:val="FFF925DE"/>
    <w:rsid w:val="FFF94FB3"/>
    <w:rsid w:val="FFFA9A6E"/>
    <w:rsid w:val="FFFB0851"/>
    <w:rsid w:val="FFFB151C"/>
    <w:rsid w:val="FFFB2AE8"/>
    <w:rsid w:val="FFFD1546"/>
    <w:rsid w:val="FFFDC8A5"/>
    <w:rsid w:val="FFFE3721"/>
    <w:rsid w:val="FFFE665A"/>
    <w:rsid w:val="FFFEEDB5"/>
    <w:rsid w:val="FFFF014A"/>
    <w:rsid w:val="FFFF11D6"/>
    <w:rsid w:val="FFFF4948"/>
    <w:rsid w:val="FFFFE0EF"/>
    <w:rsid w:val="FFFFEC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semiHidden="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qFormat="1"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qFormat="1" w:uiPriority="99" w:semiHidden="0" w:name="footnote reference"/>
    <w:lsdException w:qFormat="1" w:unhideWhenUsed="0" w:uiPriority="99" w:semiHidden="0" w:name="annotation reference"/>
    <w:lsdException w:qFormat="1" w:uiPriority="99"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iPriority="99" w:semiHidden="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ocked="1"/>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200" w:firstLineChars="200"/>
      <w:jc w:val="both"/>
    </w:pPr>
    <w:rPr>
      <w:rFonts w:ascii="Times New Roman" w:hAnsi="Times New Roman" w:eastAsia="仿宋_GB2312" w:cs="Times New Roman"/>
      <w:kern w:val="2"/>
      <w:sz w:val="32"/>
      <w:lang w:val="en-US" w:eastAsia="zh-CN" w:bidi="ar-SA"/>
    </w:rPr>
  </w:style>
  <w:style w:type="paragraph" w:styleId="3">
    <w:name w:val="heading 1"/>
    <w:basedOn w:val="1"/>
    <w:next w:val="1"/>
    <w:link w:val="28"/>
    <w:qFormat/>
    <w:locked/>
    <w:uiPriority w:val="0"/>
    <w:pPr>
      <w:keepNext/>
      <w:keepLines/>
      <w:spacing w:line="520" w:lineRule="exact"/>
      <w:outlineLvl w:val="0"/>
    </w:pPr>
    <w:rPr>
      <w:rFonts w:eastAsia="黑体"/>
      <w:bCs/>
      <w:kern w:val="44"/>
      <w:szCs w:val="44"/>
    </w:rPr>
  </w:style>
  <w:style w:type="paragraph" w:styleId="4">
    <w:name w:val="heading 2"/>
    <w:basedOn w:val="1"/>
    <w:next w:val="1"/>
    <w:link w:val="29"/>
    <w:autoRedefine/>
    <w:unhideWhenUsed/>
    <w:qFormat/>
    <w:locked/>
    <w:uiPriority w:val="0"/>
    <w:pPr>
      <w:keepNext/>
      <w:keepLines/>
      <w:spacing w:line="520" w:lineRule="exact"/>
      <w:outlineLvl w:val="1"/>
    </w:pPr>
    <w:rPr>
      <w:rFonts w:ascii="Calibri Light" w:hAnsi="Calibri Light" w:eastAsia="楷体_GB2312"/>
      <w:bCs/>
      <w:szCs w:val="32"/>
    </w:rPr>
  </w:style>
  <w:style w:type="paragraph" w:styleId="5">
    <w:name w:val="heading 3"/>
    <w:basedOn w:val="1"/>
    <w:next w:val="1"/>
    <w:link w:val="30"/>
    <w:unhideWhenUsed/>
    <w:qFormat/>
    <w:locked/>
    <w:uiPriority w:val="0"/>
    <w:pPr>
      <w:keepNext/>
      <w:keepLines/>
      <w:spacing w:line="520" w:lineRule="exact"/>
      <w:ind w:firstLine="0" w:firstLineChars="0"/>
      <w:outlineLvl w:val="2"/>
    </w:pPr>
    <w:rPr>
      <w:rFonts w:ascii="仿宋_GB2312"/>
      <w:bCs/>
      <w:szCs w:val="32"/>
    </w:rPr>
  </w:style>
  <w:style w:type="paragraph" w:styleId="6">
    <w:name w:val="heading 4"/>
    <w:basedOn w:val="1"/>
    <w:next w:val="1"/>
    <w:link w:val="31"/>
    <w:autoRedefine/>
    <w:unhideWhenUsed/>
    <w:qFormat/>
    <w:locked/>
    <w:uiPriority w:val="0"/>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No Spacing"/>
    <w:basedOn w:val="1"/>
    <w:autoRedefine/>
    <w:qFormat/>
    <w:uiPriority w:val="0"/>
    <w:pPr>
      <w:adjustRightInd w:val="0"/>
      <w:snapToGrid w:val="0"/>
    </w:pPr>
    <w:rPr>
      <w:rFonts w:ascii="Tahoma" w:hAnsi="Tahoma" w:eastAsia="微软雅黑" w:cs="Times New Roman"/>
      <w:sz w:val="22"/>
      <w:szCs w:val="22"/>
      <w:lang w:val="en-US" w:eastAsia="zh-CN" w:bidi="ar-SA"/>
    </w:rPr>
  </w:style>
  <w:style w:type="paragraph" w:styleId="7">
    <w:name w:val="Document Map"/>
    <w:basedOn w:val="1"/>
    <w:link w:val="53"/>
    <w:autoRedefine/>
    <w:semiHidden/>
    <w:qFormat/>
    <w:uiPriority w:val="0"/>
    <w:pPr>
      <w:shd w:val="clear" w:color="auto" w:fill="000080"/>
      <w:spacing w:line="240" w:lineRule="auto"/>
      <w:ind w:firstLine="0" w:firstLineChars="0"/>
    </w:pPr>
    <w:rPr>
      <w:rFonts w:eastAsia="宋体"/>
      <w:sz w:val="21"/>
      <w:szCs w:val="24"/>
    </w:rPr>
  </w:style>
  <w:style w:type="paragraph" w:styleId="8">
    <w:name w:val="annotation text"/>
    <w:basedOn w:val="1"/>
    <w:link w:val="35"/>
    <w:autoRedefine/>
    <w:qFormat/>
    <w:uiPriority w:val="99"/>
    <w:pPr>
      <w:jc w:val="left"/>
    </w:pPr>
  </w:style>
  <w:style w:type="paragraph" w:styleId="9">
    <w:name w:val="Body Text"/>
    <w:basedOn w:val="1"/>
    <w:link w:val="50"/>
    <w:autoRedefine/>
    <w:qFormat/>
    <w:uiPriority w:val="0"/>
    <w:pPr>
      <w:spacing w:after="120" w:line="300" w:lineRule="auto"/>
    </w:pPr>
    <w:rPr>
      <w:snapToGrid w:val="0"/>
      <w:kern w:val="0"/>
      <w:szCs w:val="32"/>
    </w:rPr>
  </w:style>
  <w:style w:type="paragraph" w:styleId="10">
    <w:name w:val="Plain Text"/>
    <w:basedOn w:val="1"/>
    <w:link w:val="55"/>
    <w:unhideWhenUsed/>
    <w:qFormat/>
    <w:uiPriority w:val="99"/>
    <w:pPr>
      <w:spacing w:line="240" w:lineRule="auto"/>
      <w:ind w:firstLine="0" w:firstLineChars="0"/>
    </w:pPr>
    <w:rPr>
      <w:rFonts w:ascii="宋体" w:hAnsi="Courier New" w:eastAsia="宋体" w:cs="Courier New"/>
      <w:sz w:val="21"/>
      <w:szCs w:val="21"/>
    </w:rPr>
  </w:style>
  <w:style w:type="paragraph" w:styleId="11">
    <w:name w:val="Date"/>
    <w:basedOn w:val="1"/>
    <w:next w:val="1"/>
    <w:link w:val="64"/>
    <w:autoRedefine/>
    <w:unhideWhenUsed/>
    <w:qFormat/>
    <w:uiPriority w:val="99"/>
    <w:pPr>
      <w:spacing w:line="240" w:lineRule="auto"/>
      <w:ind w:left="100" w:leftChars="2500" w:firstLine="0" w:firstLineChars="0"/>
    </w:pPr>
    <w:rPr>
      <w:rFonts w:ascii="Calibri" w:hAnsi="Calibri" w:eastAsia="宋体"/>
      <w:sz w:val="21"/>
      <w:szCs w:val="22"/>
    </w:rPr>
  </w:style>
  <w:style w:type="paragraph" w:styleId="12">
    <w:name w:val="Balloon Text"/>
    <w:basedOn w:val="1"/>
    <w:link w:val="37"/>
    <w:autoRedefine/>
    <w:semiHidden/>
    <w:qFormat/>
    <w:uiPriority w:val="0"/>
    <w:rPr>
      <w:sz w:val="18"/>
      <w:szCs w:val="18"/>
    </w:rPr>
  </w:style>
  <w:style w:type="paragraph" w:styleId="13">
    <w:name w:val="footer"/>
    <w:basedOn w:val="1"/>
    <w:link w:val="33"/>
    <w:qFormat/>
    <w:uiPriority w:val="99"/>
    <w:pPr>
      <w:tabs>
        <w:tab w:val="center" w:pos="4153"/>
        <w:tab w:val="right" w:pos="8306"/>
      </w:tabs>
      <w:snapToGrid w:val="0"/>
      <w:jc w:val="left"/>
    </w:pPr>
    <w:rPr>
      <w:sz w:val="18"/>
      <w:szCs w:val="18"/>
    </w:rPr>
  </w:style>
  <w:style w:type="paragraph" w:styleId="14">
    <w:name w:val="header"/>
    <w:basedOn w:val="1"/>
    <w:link w:val="32"/>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54"/>
    <w:autoRedefine/>
    <w:unhideWhenUsed/>
    <w:qFormat/>
    <w:uiPriority w:val="99"/>
    <w:pPr>
      <w:snapToGrid w:val="0"/>
      <w:spacing w:line="240" w:lineRule="auto"/>
      <w:ind w:firstLine="0" w:firstLineChars="0"/>
      <w:jc w:val="left"/>
    </w:pPr>
    <w:rPr>
      <w:rFonts w:eastAsia="宋体"/>
      <w:sz w:val="18"/>
      <w:szCs w:val="18"/>
    </w:rPr>
  </w:style>
  <w:style w:type="paragraph" w:styleId="16">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7">
    <w:name w:val="Title"/>
    <w:basedOn w:val="1"/>
    <w:next w:val="1"/>
    <w:link w:val="41"/>
    <w:autoRedefine/>
    <w:qFormat/>
    <w:locked/>
    <w:uiPriority w:val="0"/>
    <w:pPr>
      <w:spacing w:before="240" w:after="60"/>
      <w:jc w:val="center"/>
      <w:outlineLvl w:val="0"/>
    </w:pPr>
    <w:rPr>
      <w:rFonts w:ascii="Calibri Light" w:hAnsi="Calibri Light" w:eastAsia="方正小标宋_GBK"/>
      <w:b/>
      <w:bCs/>
      <w:sz w:val="44"/>
      <w:szCs w:val="32"/>
    </w:rPr>
  </w:style>
  <w:style w:type="paragraph" w:styleId="18">
    <w:name w:val="annotation subject"/>
    <w:basedOn w:val="8"/>
    <w:next w:val="8"/>
    <w:link w:val="39"/>
    <w:autoRedefine/>
    <w:qFormat/>
    <w:uiPriority w:val="99"/>
    <w:rPr>
      <w:b/>
      <w:bCs/>
    </w:rPr>
  </w:style>
  <w:style w:type="table" w:styleId="20">
    <w:name w:val="Table Grid"/>
    <w:basedOn w:val="19"/>
    <w:autoRedefine/>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autoRedefine/>
    <w:qFormat/>
    <w:locked/>
    <w:uiPriority w:val="0"/>
    <w:rPr>
      <w:b/>
    </w:rPr>
  </w:style>
  <w:style w:type="character" w:styleId="23">
    <w:name w:val="page number"/>
    <w:autoRedefine/>
    <w:qFormat/>
    <w:uiPriority w:val="0"/>
    <w:rPr>
      <w:rFonts w:cs="Times New Roman"/>
    </w:rPr>
  </w:style>
  <w:style w:type="character" w:styleId="24">
    <w:name w:val="line number"/>
    <w:basedOn w:val="21"/>
    <w:autoRedefine/>
    <w:unhideWhenUsed/>
    <w:qFormat/>
    <w:uiPriority w:val="99"/>
  </w:style>
  <w:style w:type="character" w:styleId="25">
    <w:name w:val="Hyperlink"/>
    <w:basedOn w:val="21"/>
    <w:autoRedefine/>
    <w:semiHidden/>
    <w:unhideWhenUsed/>
    <w:qFormat/>
    <w:uiPriority w:val="0"/>
    <w:rPr>
      <w:color w:val="0000FF"/>
      <w:u w:val="single"/>
    </w:rPr>
  </w:style>
  <w:style w:type="character" w:styleId="26">
    <w:name w:val="annotation reference"/>
    <w:autoRedefine/>
    <w:qFormat/>
    <w:uiPriority w:val="99"/>
    <w:rPr>
      <w:sz w:val="21"/>
      <w:szCs w:val="21"/>
    </w:rPr>
  </w:style>
  <w:style w:type="character" w:styleId="27">
    <w:name w:val="footnote reference"/>
    <w:autoRedefine/>
    <w:unhideWhenUsed/>
    <w:qFormat/>
    <w:uiPriority w:val="99"/>
    <w:rPr>
      <w:vertAlign w:val="superscript"/>
    </w:rPr>
  </w:style>
  <w:style w:type="character" w:customStyle="1" w:styleId="28">
    <w:name w:val="标题 1 字符"/>
    <w:link w:val="3"/>
    <w:autoRedefine/>
    <w:qFormat/>
    <w:uiPriority w:val="0"/>
    <w:rPr>
      <w:rFonts w:ascii="Times New Roman" w:hAnsi="Times New Roman" w:eastAsia="黑体"/>
      <w:bCs/>
      <w:kern w:val="44"/>
      <w:sz w:val="32"/>
      <w:szCs w:val="44"/>
    </w:rPr>
  </w:style>
  <w:style w:type="character" w:customStyle="1" w:styleId="29">
    <w:name w:val="标题 2 字符"/>
    <w:link w:val="4"/>
    <w:autoRedefine/>
    <w:qFormat/>
    <w:uiPriority w:val="0"/>
    <w:rPr>
      <w:rFonts w:ascii="Calibri Light" w:hAnsi="Calibri Light" w:eastAsia="楷体_GB2312"/>
      <w:bCs/>
      <w:kern w:val="2"/>
      <w:sz w:val="32"/>
      <w:szCs w:val="32"/>
    </w:rPr>
  </w:style>
  <w:style w:type="character" w:customStyle="1" w:styleId="30">
    <w:name w:val="标题 3 字符"/>
    <w:link w:val="5"/>
    <w:autoRedefine/>
    <w:qFormat/>
    <w:uiPriority w:val="0"/>
    <w:rPr>
      <w:rFonts w:ascii="仿宋_GB2312" w:hAnsi="Times New Roman" w:eastAsia="仿宋_GB2312"/>
      <w:bCs/>
      <w:kern w:val="2"/>
      <w:sz w:val="32"/>
      <w:szCs w:val="32"/>
    </w:rPr>
  </w:style>
  <w:style w:type="character" w:customStyle="1" w:styleId="31">
    <w:name w:val="标题 4 字符"/>
    <w:basedOn w:val="21"/>
    <w:link w:val="6"/>
    <w:autoRedefine/>
    <w:qFormat/>
    <w:uiPriority w:val="0"/>
    <w:rPr>
      <w:rFonts w:asciiTheme="majorHAnsi" w:hAnsiTheme="majorHAnsi" w:eastAsiaTheme="majorEastAsia" w:cstheme="majorBidi"/>
      <w:b/>
      <w:bCs/>
      <w:kern w:val="2"/>
      <w:sz w:val="28"/>
      <w:szCs w:val="28"/>
    </w:rPr>
  </w:style>
  <w:style w:type="character" w:customStyle="1" w:styleId="32">
    <w:name w:val="页眉 字符"/>
    <w:link w:val="14"/>
    <w:autoRedefine/>
    <w:qFormat/>
    <w:locked/>
    <w:uiPriority w:val="99"/>
    <w:rPr>
      <w:rFonts w:cs="Times New Roman"/>
      <w:sz w:val="18"/>
      <w:szCs w:val="18"/>
    </w:rPr>
  </w:style>
  <w:style w:type="character" w:customStyle="1" w:styleId="33">
    <w:name w:val="页脚 字符"/>
    <w:link w:val="13"/>
    <w:autoRedefine/>
    <w:qFormat/>
    <w:locked/>
    <w:uiPriority w:val="99"/>
    <w:rPr>
      <w:rFonts w:cs="Times New Roman"/>
      <w:sz w:val="18"/>
      <w:szCs w:val="18"/>
    </w:rPr>
  </w:style>
  <w:style w:type="character" w:customStyle="1" w:styleId="34">
    <w:name w:val="f101"/>
    <w:autoRedefine/>
    <w:qFormat/>
    <w:uiPriority w:val="0"/>
    <w:rPr>
      <w:sz w:val="24"/>
    </w:rPr>
  </w:style>
  <w:style w:type="character" w:customStyle="1" w:styleId="35">
    <w:name w:val="批注文字 字符"/>
    <w:link w:val="8"/>
    <w:autoRedefine/>
    <w:qFormat/>
    <w:locked/>
    <w:uiPriority w:val="99"/>
    <w:rPr>
      <w:rFonts w:ascii="Times New Roman" w:hAnsi="Times New Roman" w:eastAsia="宋体" w:cs="Times New Roman"/>
      <w:sz w:val="20"/>
      <w:szCs w:val="20"/>
    </w:rPr>
  </w:style>
  <w:style w:type="paragraph" w:customStyle="1" w:styleId="36">
    <w:name w:val="列出段落1"/>
    <w:basedOn w:val="1"/>
    <w:autoRedefine/>
    <w:qFormat/>
    <w:uiPriority w:val="34"/>
    <w:pPr>
      <w:widowControl/>
      <w:ind w:firstLine="420"/>
      <w:jc w:val="left"/>
    </w:pPr>
    <w:rPr>
      <w:rFonts w:ascii="宋体" w:hAnsi="宋体" w:cs="宋体"/>
      <w:kern w:val="0"/>
      <w:sz w:val="24"/>
      <w:szCs w:val="24"/>
    </w:rPr>
  </w:style>
  <w:style w:type="character" w:customStyle="1" w:styleId="37">
    <w:name w:val="批注框文本 字符"/>
    <w:link w:val="12"/>
    <w:autoRedefine/>
    <w:qFormat/>
    <w:locked/>
    <w:uiPriority w:val="0"/>
    <w:rPr>
      <w:rFonts w:ascii="Times New Roman" w:hAnsi="Times New Roman" w:eastAsia="宋体" w:cs="Times New Roman"/>
      <w:sz w:val="18"/>
      <w:szCs w:val="18"/>
    </w:rPr>
  </w:style>
  <w:style w:type="paragraph" w:customStyle="1" w:styleId="38">
    <w:name w:val="默认段落字体 Para Char Char Char Char Char Char Char"/>
    <w:basedOn w:val="1"/>
    <w:autoRedefine/>
    <w:qFormat/>
    <w:uiPriority w:val="0"/>
    <w:pPr>
      <w:adjustRightInd w:val="0"/>
      <w:spacing w:line="360" w:lineRule="auto"/>
    </w:pPr>
    <w:rPr>
      <w:rFonts w:ascii="Tahoma" w:hAnsi="Tahoma"/>
      <w:kern w:val="0"/>
      <w:sz w:val="24"/>
    </w:rPr>
  </w:style>
  <w:style w:type="character" w:customStyle="1" w:styleId="39">
    <w:name w:val="批注主题 字符"/>
    <w:link w:val="18"/>
    <w:autoRedefine/>
    <w:qFormat/>
    <w:uiPriority w:val="99"/>
    <w:rPr>
      <w:rFonts w:ascii="Times New Roman" w:hAnsi="Times New Roman" w:eastAsia="宋体" w:cs="Times New Roman"/>
      <w:b/>
      <w:bCs/>
      <w:kern w:val="2"/>
      <w:sz w:val="21"/>
      <w:szCs w:val="20"/>
    </w:rPr>
  </w:style>
  <w:style w:type="paragraph" w:customStyle="1" w:styleId="40">
    <w:name w:val="修订1"/>
    <w:autoRedefine/>
    <w:hidden/>
    <w:qFormat/>
    <w:uiPriority w:val="99"/>
    <w:rPr>
      <w:rFonts w:ascii="Times New Roman" w:hAnsi="Times New Roman" w:eastAsia="宋体" w:cs="Times New Roman"/>
      <w:kern w:val="2"/>
      <w:sz w:val="21"/>
      <w:lang w:val="en-US" w:eastAsia="zh-CN" w:bidi="ar-SA"/>
    </w:rPr>
  </w:style>
  <w:style w:type="character" w:customStyle="1" w:styleId="41">
    <w:name w:val="标题 字符"/>
    <w:link w:val="17"/>
    <w:autoRedefine/>
    <w:qFormat/>
    <w:uiPriority w:val="0"/>
    <w:rPr>
      <w:rFonts w:ascii="Calibri Light" w:hAnsi="Calibri Light" w:eastAsia="方正小标宋_GBK" w:cs="Times New Roman"/>
      <w:b/>
      <w:bCs/>
      <w:kern w:val="2"/>
      <w:sz w:val="44"/>
      <w:szCs w:val="32"/>
    </w:rPr>
  </w:style>
  <w:style w:type="paragraph" w:styleId="42">
    <w:name w:val="List Paragraph"/>
    <w:basedOn w:val="1"/>
    <w:link w:val="63"/>
    <w:autoRedefine/>
    <w:qFormat/>
    <w:uiPriority w:val="34"/>
    <w:pPr>
      <w:spacing w:line="240" w:lineRule="auto"/>
    </w:pPr>
    <w:rPr>
      <w:rFonts w:ascii="Calibri" w:hAnsi="Calibri" w:eastAsia="宋体"/>
      <w:sz w:val="21"/>
      <w:szCs w:val="22"/>
    </w:rPr>
  </w:style>
  <w:style w:type="paragraph" w:customStyle="1" w:styleId="43">
    <w:name w:val="标题5"/>
    <w:basedOn w:val="1"/>
    <w:autoRedefine/>
    <w:qFormat/>
    <w:uiPriority w:val="0"/>
    <w:pPr>
      <w:snapToGrid w:val="0"/>
      <w:spacing w:before="50" w:after="50" w:line="245" w:lineRule="auto"/>
      <w:ind w:firstLine="0" w:firstLineChars="0"/>
      <w:jc w:val="left"/>
      <w:outlineLvl w:val="4"/>
    </w:pPr>
    <w:rPr>
      <w:rFonts w:eastAsia="方正小标宋简体"/>
      <w:spacing w:val="4"/>
      <w:sz w:val="20"/>
    </w:rPr>
  </w:style>
  <w:style w:type="paragraph" w:customStyle="1" w:styleId="44">
    <w:name w:val="段"/>
    <w:link w:val="45"/>
    <w:autoRedefine/>
    <w:qFormat/>
    <w:uiPriority w:val="0"/>
    <w:pPr>
      <w:autoSpaceDE w:val="0"/>
      <w:autoSpaceDN w:val="0"/>
      <w:ind w:firstLine="200"/>
      <w:jc w:val="both"/>
    </w:pPr>
    <w:rPr>
      <w:rFonts w:ascii="Times New Roman" w:hAnsi="Times New Roman" w:eastAsia="宋体" w:cs="Times New Roman"/>
      <w:sz w:val="21"/>
      <w:lang w:val="en-US" w:eastAsia="zh-CN" w:bidi="ar-SA"/>
    </w:rPr>
  </w:style>
  <w:style w:type="character" w:customStyle="1" w:styleId="45">
    <w:name w:val="段 Char"/>
    <w:link w:val="44"/>
    <w:autoRedefine/>
    <w:qFormat/>
    <w:uiPriority w:val="99"/>
    <w:rPr>
      <w:rFonts w:ascii="Times New Roman" w:hAnsi="Times New Roman"/>
      <w:sz w:val="21"/>
    </w:rPr>
  </w:style>
  <w:style w:type="paragraph" w:customStyle="1" w:styleId="46">
    <w:name w:val="表格正文文本"/>
    <w:basedOn w:val="1"/>
    <w:autoRedefine/>
    <w:qFormat/>
    <w:uiPriority w:val="0"/>
    <w:pPr>
      <w:widowControl/>
      <w:spacing w:line="240" w:lineRule="auto"/>
      <w:ind w:firstLine="0" w:firstLineChars="0"/>
      <w:jc w:val="center"/>
    </w:pPr>
    <w:rPr>
      <w:rFonts w:ascii="Tahoma" w:hAnsi="Tahoma" w:eastAsia="宋体"/>
      <w:kern w:val="0"/>
      <w:sz w:val="18"/>
    </w:rPr>
  </w:style>
  <w:style w:type="paragraph" w:customStyle="1" w:styleId="47">
    <w:name w:val="调查项目"/>
    <w:basedOn w:val="1"/>
    <w:autoRedefine/>
    <w:qFormat/>
    <w:uiPriority w:val="0"/>
    <w:pPr>
      <w:widowControl/>
      <w:spacing w:line="240" w:lineRule="auto"/>
      <w:ind w:firstLine="0" w:firstLineChars="0"/>
      <w:jc w:val="left"/>
      <w:outlineLvl w:val="1"/>
    </w:pPr>
    <w:rPr>
      <w:rFonts w:ascii="Tahoma" w:hAnsi="Tahoma" w:eastAsia="黑体"/>
      <w:bCs/>
      <w:color w:val="333399"/>
      <w:kern w:val="0"/>
      <w:sz w:val="18"/>
      <w:szCs w:val="18"/>
    </w:rPr>
  </w:style>
  <w:style w:type="paragraph" w:customStyle="1" w:styleId="48">
    <w:name w:val="列标题"/>
    <w:basedOn w:val="4"/>
    <w:autoRedefine/>
    <w:qFormat/>
    <w:uiPriority w:val="0"/>
    <w:pPr>
      <w:keepNext w:val="0"/>
      <w:keepLines w:val="0"/>
      <w:widowControl/>
      <w:spacing w:line="240" w:lineRule="auto"/>
      <w:ind w:firstLine="0" w:firstLineChars="0"/>
      <w:jc w:val="center"/>
    </w:pPr>
    <w:rPr>
      <w:rFonts w:ascii="Tahoma" w:hAnsi="Tahoma" w:eastAsia="黑体"/>
      <w:color w:val="333399"/>
      <w:kern w:val="0"/>
      <w:sz w:val="18"/>
      <w:szCs w:val="18"/>
    </w:rPr>
  </w:style>
  <w:style w:type="character" w:customStyle="1" w:styleId="49">
    <w:name w:val="页脚 Char"/>
    <w:autoRedefine/>
    <w:qFormat/>
    <w:uiPriority w:val="99"/>
    <w:rPr>
      <w:rFonts w:ascii="Times New Roman" w:hAnsi="Times New Roman" w:eastAsia="宋体" w:cs="Times New Roman"/>
      <w:sz w:val="18"/>
      <w:szCs w:val="18"/>
    </w:rPr>
  </w:style>
  <w:style w:type="character" w:customStyle="1" w:styleId="50">
    <w:name w:val="正文文本 字符"/>
    <w:basedOn w:val="21"/>
    <w:link w:val="9"/>
    <w:autoRedefine/>
    <w:qFormat/>
    <w:uiPriority w:val="0"/>
    <w:rPr>
      <w:rFonts w:ascii="Times New Roman" w:hAnsi="Times New Roman" w:eastAsia="仿宋_GB2312"/>
      <w:snapToGrid w:val="0"/>
      <w:sz w:val="32"/>
      <w:szCs w:val="32"/>
    </w:rPr>
  </w:style>
  <w:style w:type="paragraph" w:customStyle="1" w:styleId="51">
    <w:name w:val="正文 A"/>
    <w:autoRedefine/>
    <w:qFormat/>
    <w:uiPriority w:val="0"/>
    <w:pPr>
      <w:spacing w:after="160" w:line="259" w:lineRule="auto"/>
    </w:pPr>
    <w:rPr>
      <w:rFonts w:ascii="等线" w:hAnsi="等线" w:eastAsia="等线" w:cs="等线"/>
      <w:color w:val="000000"/>
      <w:sz w:val="22"/>
      <w:szCs w:val="22"/>
      <w:lang w:val="en-US" w:eastAsia="zh-CN" w:bidi="ar-SA"/>
    </w:rPr>
  </w:style>
  <w:style w:type="character" w:customStyle="1" w:styleId="52">
    <w:name w:val="页眉 Char"/>
    <w:autoRedefine/>
    <w:qFormat/>
    <w:uiPriority w:val="99"/>
    <w:rPr>
      <w:kern w:val="2"/>
      <w:sz w:val="18"/>
      <w:szCs w:val="18"/>
    </w:rPr>
  </w:style>
  <w:style w:type="character" w:customStyle="1" w:styleId="53">
    <w:name w:val="文档结构图 字符"/>
    <w:basedOn w:val="21"/>
    <w:link w:val="7"/>
    <w:autoRedefine/>
    <w:semiHidden/>
    <w:qFormat/>
    <w:uiPriority w:val="0"/>
    <w:rPr>
      <w:rFonts w:ascii="Times New Roman" w:hAnsi="Times New Roman"/>
      <w:kern w:val="2"/>
      <w:sz w:val="21"/>
      <w:szCs w:val="24"/>
      <w:shd w:val="clear" w:color="auto" w:fill="000080"/>
    </w:rPr>
  </w:style>
  <w:style w:type="character" w:customStyle="1" w:styleId="54">
    <w:name w:val="脚注文本 字符"/>
    <w:basedOn w:val="21"/>
    <w:link w:val="15"/>
    <w:autoRedefine/>
    <w:qFormat/>
    <w:uiPriority w:val="99"/>
    <w:rPr>
      <w:rFonts w:ascii="Times New Roman" w:hAnsi="Times New Roman"/>
      <w:kern w:val="2"/>
      <w:sz w:val="18"/>
      <w:szCs w:val="18"/>
    </w:rPr>
  </w:style>
  <w:style w:type="character" w:customStyle="1" w:styleId="55">
    <w:name w:val="纯文本 字符"/>
    <w:basedOn w:val="21"/>
    <w:link w:val="10"/>
    <w:autoRedefine/>
    <w:qFormat/>
    <w:uiPriority w:val="99"/>
    <w:rPr>
      <w:rFonts w:ascii="宋体" w:hAnsi="Courier New" w:cs="Courier New"/>
      <w:kern w:val="2"/>
      <w:sz w:val="21"/>
      <w:szCs w:val="21"/>
    </w:rPr>
  </w:style>
  <w:style w:type="paragraph" w:customStyle="1" w:styleId="56">
    <w:name w:val="列表段落1"/>
    <w:basedOn w:val="1"/>
    <w:autoRedefine/>
    <w:qFormat/>
    <w:uiPriority w:val="34"/>
    <w:pPr>
      <w:spacing w:line="240" w:lineRule="auto"/>
      <w:ind w:firstLine="420"/>
    </w:pPr>
    <w:rPr>
      <w:rFonts w:eastAsia="宋体"/>
      <w:sz w:val="21"/>
      <w:szCs w:val="24"/>
    </w:rPr>
  </w:style>
  <w:style w:type="paragraph" w:customStyle="1" w:styleId="57">
    <w:name w:val="王奕改内文"/>
    <w:basedOn w:val="1"/>
    <w:autoRedefine/>
    <w:qFormat/>
    <w:uiPriority w:val="0"/>
    <w:pPr>
      <w:widowControl/>
      <w:spacing w:line="360" w:lineRule="auto"/>
    </w:pPr>
    <w:rPr>
      <w:rFonts w:ascii="宋体" w:hAnsi="宋体" w:eastAsia="宋体"/>
      <w:color w:val="000000"/>
      <w:spacing w:val="-4"/>
      <w:kern w:val="0"/>
      <w:sz w:val="24"/>
    </w:rPr>
  </w:style>
  <w:style w:type="character" w:customStyle="1" w:styleId="58">
    <w:name w:val="fontstyle01"/>
    <w:autoRedefine/>
    <w:qFormat/>
    <w:uiPriority w:val="0"/>
    <w:rPr>
      <w:i/>
      <w:iCs/>
      <w:color w:val="262424"/>
      <w:sz w:val="20"/>
      <w:szCs w:val="20"/>
    </w:rPr>
  </w:style>
  <w:style w:type="character" w:customStyle="1" w:styleId="59">
    <w:name w:val="fontstyle21"/>
    <w:autoRedefine/>
    <w:qFormat/>
    <w:uiPriority w:val="0"/>
    <w:rPr>
      <w:color w:val="262424"/>
      <w:sz w:val="20"/>
      <w:szCs w:val="20"/>
    </w:rPr>
  </w:style>
  <w:style w:type="paragraph" w:customStyle="1" w:styleId="60">
    <w:name w:val="Style21"/>
    <w:basedOn w:val="1"/>
    <w:autoRedefine/>
    <w:qFormat/>
    <w:uiPriority w:val="0"/>
    <w:pPr>
      <w:autoSpaceDE w:val="0"/>
      <w:autoSpaceDN w:val="0"/>
      <w:adjustRightInd w:val="0"/>
      <w:spacing w:line="259" w:lineRule="exact"/>
      <w:ind w:firstLine="0" w:firstLineChars="0"/>
      <w:jc w:val="left"/>
    </w:pPr>
    <w:rPr>
      <w:rFonts w:eastAsia="宋体"/>
      <w:kern w:val="0"/>
      <w:sz w:val="24"/>
      <w:szCs w:val="24"/>
    </w:rPr>
  </w:style>
  <w:style w:type="character" w:customStyle="1" w:styleId="61">
    <w:name w:val="Font Style42"/>
    <w:autoRedefine/>
    <w:qFormat/>
    <w:uiPriority w:val="0"/>
    <w:rPr>
      <w:rFonts w:ascii="Times New Roman" w:hAnsi="Times New Roman" w:cs="Times New Roman"/>
      <w:b/>
      <w:bCs/>
      <w:sz w:val="20"/>
      <w:szCs w:val="20"/>
    </w:rPr>
  </w:style>
  <w:style w:type="character" w:customStyle="1" w:styleId="62">
    <w:name w:val="批注框文本 Char"/>
    <w:autoRedefine/>
    <w:qFormat/>
    <w:uiPriority w:val="0"/>
    <w:rPr>
      <w:rFonts w:ascii="Calibri" w:hAnsi="Calibri" w:eastAsia="宋体"/>
      <w:kern w:val="2"/>
      <w:sz w:val="18"/>
      <w:szCs w:val="18"/>
      <w:lang w:val="en-US" w:eastAsia="zh-CN" w:bidi="ar-SA"/>
    </w:rPr>
  </w:style>
  <w:style w:type="character" w:customStyle="1" w:styleId="63">
    <w:name w:val="列出段落 字符"/>
    <w:link w:val="42"/>
    <w:autoRedefine/>
    <w:qFormat/>
    <w:uiPriority w:val="34"/>
    <w:rPr>
      <w:kern w:val="2"/>
      <w:sz w:val="21"/>
      <w:szCs w:val="22"/>
    </w:rPr>
  </w:style>
  <w:style w:type="character" w:customStyle="1" w:styleId="64">
    <w:name w:val="日期 字符"/>
    <w:basedOn w:val="21"/>
    <w:link w:val="11"/>
    <w:autoRedefine/>
    <w:qFormat/>
    <w:uiPriority w:val="99"/>
    <w:rPr>
      <w:kern w:val="2"/>
      <w:sz w:val="21"/>
      <w:szCs w:val="22"/>
    </w:rPr>
  </w:style>
  <w:style w:type="paragraph" w:customStyle="1" w:styleId="65">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66">
    <w:name w:val="前言、引言标题"/>
    <w:next w:val="1"/>
    <w:autoRedefine/>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7">
    <w:name w:val="章标题"/>
    <w:next w:val="44"/>
    <w:autoRedefine/>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68">
    <w:name w:val="一级条标题"/>
    <w:basedOn w:val="67"/>
    <w:next w:val="44"/>
    <w:autoRedefine/>
    <w:qFormat/>
    <w:uiPriority w:val="0"/>
    <w:pPr>
      <w:numPr>
        <w:ilvl w:val="2"/>
      </w:numPr>
      <w:spacing w:beforeLines="0" w:afterLines="0"/>
      <w:outlineLvl w:val="2"/>
    </w:pPr>
  </w:style>
  <w:style w:type="paragraph" w:customStyle="1" w:styleId="69">
    <w:name w:val="二级条标题"/>
    <w:basedOn w:val="68"/>
    <w:next w:val="44"/>
    <w:autoRedefine/>
    <w:qFormat/>
    <w:uiPriority w:val="0"/>
    <w:pPr>
      <w:numPr>
        <w:ilvl w:val="3"/>
      </w:numPr>
      <w:outlineLvl w:val="3"/>
    </w:pPr>
  </w:style>
  <w:style w:type="paragraph" w:customStyle="1" w:styleId="70">
    <w:name w:val="三级条标题"/>
    <w:basedOn w:val="69"/>
    <w:next w:val="44"/>
    <w:autoRedefine/>
    <w:qFormat/>
    <w:uiPriority w:val="0"/>
    <w:pPr>
      <w:numPr>
        <w:ilvl w:val="4"/>
      </w:numPr>
      <w:outlineLvl w:val="4"/>
    </w:pPr>
  </w:style>
  <w:style w:type="paragraph" w:customStyle="1" w:styleId="71">
    <w:name w:val="四级条标题"/>
    <w:basedOn w:val="70"/>
    <w:next w:val="44"/>
    <w:autoRedefine/>
    <w:qFormat/>
    <w:uiPriority w:val="0"/>
    <w:pPr>
      <w:numPr>
        <w:ilvl w:val="5"/>
      </w:numPr>
      <w:outlineLvl w:val="5"/>
    </w:pPr>
  </w:style>
  <w:style w:type="paragraph" w:customStyle="1" w:styleId="72">
    <w:name w:val="五级条标题"/>
    <w:basedOn w:val="71"/>
    <w:next w:val="44"/>
    <w:autoRedefine/>
    <w:qFormat/>
    <w:uiPriority w:val="0"/>
    <w:pPr>
      <w:numPr>
        <w:ilvl w:val="6"/>
      </w:numPr>
      <w:outlineLvl w:val="6"/>
    </w:pPr>
  </w:style>
  <w:style w:type="paragraph" w:customStyle="1" w:styleId="73">
    <w:name w:val="修订2"/>
    <w:autoRedefine/>
    <w:hidden/>
    <w:unhideWhenUsed/>
    <w:qFormat/>
    <w:uiPriority w:val="99"/>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thtfpc</Company>
  <Pages>36</Pages>
  <Words>10008</Words>
  <Characters>11063</Characters>
  <Lines>115</Lines>
  <Paragraphs>32</Paragraphs>
  <TotalTime>7</TotalTime>
  <ScaleCrop>false</ScaleCrop>
  <LinksUpToDate>false</LinksUpToDate>
  <CharactersWithSpaces>11141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2023-12-18T01:33:00Z</dcterms:created>
  <dc:creator>thtfpc user</dc:creator>
  <cp:lastModifiedBy>Qy</cp:lastModifiedBy>
  <cp:lastPrinted>2026-06-12T01:54:00Z</cp:lastPrinted>
  <dcterms:modified xsi:type="dcterms:W3CDTF">2026-07-27T03:00:09Z</dcterms:modified>
  <dc:title>微波治疗设备产品注册技术审评要点</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F776CFFD36FC4637821ADC5E56D6ACE3_13</vt:lpwstr>
  </property>
  <property fmtid="{D5CDD505-2E9C-101B-9397-08002B2CF9AE}" pid="4" name="KSOTemplateDocerSaveRecord">
    <vt:lpwstr>eyJoZGlkIjoiZWI2MzdiYWIxOWY1YWQ1ZjM3ZTU5ZDU1NDcwODZlMjAiLCJ1c2VySWQiOiI0NTc5MDYwNDgifQ==</vt:lpwstr>
  </property>
</Properties>
</file>