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8C8F3">
      <w:pPr>
        <w:spacing w:line="520" w:lineRule="exact"/>
        <w:ind w:firstLine="0" w:firstLineChars="0"/>
        <w:jc w:val="center"/>
        <w:rPr>
          <w:rFonts w:hint="eastAsia" w:ascii="Times New Roman" w:hAnsi="Times New Roman" w:eastAsia="方正小标宋简体" w:cs="Times New Roman"/>
          <w:kern w:val="0"/>
          <w:sz w:val="44"/>
          <w:szCs w:val="44"/>
          <w:lang w:eastAsia="zh-CN"/>
        </w:rPr>
      </w:pPr>
      <w:r>
        <w:rPr>
          <w:rFonts w:hint="eastAsia" w:ascii="Times New Roman" w:hAnsi="Times New Roman" w:eastAsia="方正小标宋简体" w:cs="Times New Roman"/>
          <w:kern w:val="0"/>
          <w:sz w:val="44"/>
          <w:szCs w:val="44"/>
          <w:lang w:eastAsia="zh-CN"/>
        </w:rPr>
        <w:t>内窥镜膨腔泵注册审查指导原则</w:t>
      </w:r>
    </w:p>
    <w:p w14:paraId="116582F9">
      <w:pPr>
        <w:spacing w:line="520" w:lineRule="exact"/>
        <w:ind w:firstLine="0" w:firstLineChars="0"/>
        <w:jc w:val="center"/>
        <w:rPr>
          <w:rFonts w:hint="eastAsia" w:ascii="Times New Roman" w:hAnsi="Times New Roman" w:eastAsia="方正小标宋简体" w:cs="Times New Roman"/>
          <w:kern w:val="0"/>
          <w:sz w:val="44"/>
          <w:szCs w:val="44"/>
          <w:lang w:val="en-US" w:eastAsia="zh-CN"/>
        </w:rPr>
      </w:pPr>
      <w:r>
        <w:rPr>
          <w:rFonts w:hint="eastAsia" w:ascii="Times New Roman" w:hAnsi="Times New Roman" w:eastAsia="方正小标宋简体" w:cs="Times New Roman"/>
          <w:kern w:val="0"/>
          <w:sz w:val="44"/>
          <w:szCs w:val="44"/>
          <w:lang w:eastAsia="zh-CN"/>
        </w:rPr>
        <w:t>（征求意见稿）</w:t>
      </w:r>
    </w:p>
    <w:p w14:paraId="00049B38">
      <w:pPr>
        <w:spacing w:line="520" w:lineRule="exact"/>
        <w:ind w:firstLine="640" w:firstLineChars="200"/>
        <w:jc w:val="left"/>
        <w:rPr>
          <w:rFonts w:ascii="Times New Roman" w:hAnsi="Times New Roman" w:eastAsia="仿宋_GB2312" w:cs="Times New Roman"/>
          <w:kern w:val="0"/>
          <w:sz w:val="32"/>
          <w:szCs w:val="32"/>
        </w:rPr>
      </w:pPr>
    </w:p>
    <w:p w14:paraId="78B6C1F8">
      <w:pPr>
        <w:spacing w:line="520" w:lineRule="exact"/>
        <w:ind w:firstLine="640" w:firstLineChars="200"/>
        <w:jc w:val="both"/>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本指导原则旨在为技术审评部门审评</w:t>
      </w:r>
      <w:r>
        <w:rPr>
          <w:rFonts w:hint="eastAsia" w:ascii="Times New Roman" w:hAnsi="Times New Roman" w:eastAsia="仿宋_GB2312" w:cs="Times New Roman"/>
          <w:kern w:val="0"/>
          <w:sz w:val="32"/>
          <w:szCs w:val="32"/>
          <w:lang w:eastAsia="zh-CN"/>
        </w:rPr>
        <w:t>内窥镜膨腔泵</w:t>
      </w:r>
      <w:r>
        <w:rPr>
          <w:rFonts w:ascii="Times New Roman" w:hAnsi="Times New Roman" w:eastAsia="仿宋_GB2312" w:cs="Times New Roman"/>
          <w:kern w:val="0"/>
          <w:sz w:val="32"/>
          <w:szCs w:val="32"/>
        </w:rPr>
        <w:t>注册申报资料提供参考，同时也用于指导注册申请人对申报资料的准备及撰写。</w:t>
      </w:r>
    </w:p>
    <w:p w14:paraId="1CA65EA0">
      <w:pPr>
        <w:spacing w:line="520" w:lineRule="exact"/>
        <w:ind w:firstLine="640" w:firstLineChars="200"/>
        <w:jc w:val="left"/>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本指导原则是对</w:t>
      </w:r>
      <w:r>
        <w:rPr>
          <w:rFonts w:hint="eastAsia" w:ascii="Times New Roman" w:hAnsi="Times New Roman" w:eastAsia="仿宋_GB2312" w:cs="Times New Roman"/>
          <w:kern w:val="0"/>
          <w:sz w:val="32"/>
          <w:szCs w:val="32"/>
          <w:lang w:eastAsia="zh-CN"/>
        </w:rPr>
        <w:t>内窥镜膨腔泵</w:t>
      </w:r>
      <w:r>
        <w:rPr>
          <w:rFonts w:ascii="Times New Roman" w:hAnsi="Times New Roman" w:eastAsia="仿宋_GB2312" w:cs="Times New Roman"/>
          <w:kern w:val="0"/>
          <w:sz w:val="32"/>
          <w:szCs w:val="32"/>
        </w:rPr>
        <w:t>的一般要求，注册申请人应依据产品的具体特性确定其中内容是否适用，若不适用，需具体阐述理由及相应的科学依据，并依据产品的具体特性对注册申报资料的内容进行充实和细化。</w:t>
      </w:r>
    </w:p>
    <w:p w14:paraId="1BE4D122">
      <w:pPr>
        <w:spacing w:line="520" w:lineRule="exact"/>
        <w:ind w:firstLine="640" w:firstLineChars="200"/>
        <w:jc w:val="both"/>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本指导原则是供注册申请人和审评人员使用的指导文件，不涉及注册审批等行政事项，亦不作为法规强制执行，如有能够满足法规要求的其他方法，也可以采用，但应提供详细的研究资料和验证资料。应在遵循相关法规的前提下使用本指导原则。</w:t>
      </w:r>
    </w:p>
    <w:p w14:paraId="53C6BF5D">
      <w:pPr>
        <w:spacing w:line="520" w:lineRule="exact"/>
        <w:ind w:firstLine="640" w:firstLineChars="200"/>
        <w:jc w:val="left"/>
        <w:rPr>
          <w:rFonts w:eastAsia="仿宋_GB2312"/>
          <w:color w:val="000000" w:themeColor="text1"/>
          <w:szCs w:val="32"/>
          <w14:textFill>
            <w14:solidFill>
              <w14:schemeClr w14:val="tx1"/>
            </w14:solidFill>
          </w14:textFill>
        </w:rPr>
      </w:pPr>
      <w:r>
        <w:rPr>
          <w:rFonts w:ascii="Times New Roman" w:hAnsi="Times New Roman" w:eastAsia="仿宋_GB2312" w:cs="Times New Roman"/>
          <w:kern w:val="0"/>
          <w:sz w:val="32"/>
          <w:szCs w:val="32"/>
        </w:rPr>
        <w:t>本指导原则是在现行法规、标准体系及当前认知水平下制定的，随着法规、标准体系的不断完善和科学技术的不断发展，本指导原则相关内容也将适时进行调整。</w:t>
      </w:r>
    </w:p>
    <w:p w14:paraId="24AA2A21">
      <w:pPr>
        <w:spacing w:line="560" w:lineRule="exact"/>
        <w:ind w:firstLine="640" w:firstLineChars="200"/>
        <w:jc w:val="left"/>
        <w:outlineLvl w:val="0"/>
        <w:rPr>
          <w:rFonts w:hint="eastAsia" w:ascii="Times New Roman" w:hAnsi="Times New Roman" w:eastAsia="黑体" w:cs="Times New Roman"/>
          <w:color w:val="000000"/>
          <w:sz w:val="32"/>
          <w:szCs w:val="32"/>
          <w:lang w:eastAsia="zh-CN"/>
        </w:rPr>
      </w:pPr>
      <w:bookmarkStart w:id="0" w:name="_Toc433873342"/>
      <w:bookmarkStart w:id="1" w:name="_Toc249149178"/>
      <w:bookmarkStart w:id="2" w:name="_Toc247524264"/>
      <w:bookmarkStart w:id="3" w:name="_Toc248742177"/>
      <w:bookmarkStart w:id="4" w:name="_Toc248765073"/>
      <w:bookmarkStart w:id="5" w:name="_Toc249239093"/>
      <w:bookmarkStart w:id="6" w:name="_Toc249173840"/>
      <w:bookmarkStart w:id="7" w:name="_Toc247522868"/>
      <w:bookmarkStart w:id="8" w:name="_Toc248738678"/>
      <w:bookmarkStart w:id="9" w:name="_Toc249150280"/>
      <w:bookmarkStart w:id="10" w:name="_Toc249174071"/>
      <w:bookmarkStart w:id="11" w:name="_Toc249157943"/>
      <w:bookmarkStart w:id="12" w:name="_Toc249148754"/>
      <w:bookmarkStart w:id="13" w:name="_Toc249173577"/>
      <w:bookmarkStart w:id="14" w:name="_Toc249150351"/>
      <w:r>
        <w:rPr>
          <w:rFonts w:hint="eastAsia" w:ascii="Times New Roman" w:hAnsi="Times New Roman" w:eastAsia="黑体" w:cs="Times New Roman"/>
          <w:color w:val="000000"/>
          <w:sz w:val="32"/>
          <w:szCs w:val="32"/>
          <w:lang w:eastAsia="zh-CN"/>
        </w:rPr>
        <w:t>一、适用范围</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02DA57FC">
      <w:pPr>
        <w:spacing w:line="560" w:lineRule="exact"/>
        <w:ind w:firstLine="640" w:firstLineChars="200"/>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本指导原则适用于在内窥镜诊断和或治疗</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/手术中，</w:t>
      </w:r>
      <w:r>
        <w:rPr>
          <w:rFonts w:hint="eastAsia" w:ascii="Times New Roman" w:hAnsi="Times New Roman" w:eastAsia="仿宋_GB2312" w:cs="Times New Roman"/>
          <w:i w:val="0"/>
          <w:iCs w:val="0"/>
          <w:caps w:val="0"/>
          <w:color w:val="000000" w:themeColor="text1"/>
          <w:spacing w:val="0"/>
          <w:sz w:val="32"/>
          <w:szCs w:val="32"/>
          <w:shd w:val="clear"/>
          <w14:textFill>
            <w14:solidFill>
              <w14:schemeClr w14:val="tx1"/>
            </w14:solidFill>
          </w14:textFill>
        </w:rPr>
        <w:t>向人体体腔内泵入液体介质并维持适当压力，以扩张体腔</w:t>
      </w:r>
      <w:r>
        <w:rPr>
          <w:rFonts w:hint="eastAsia" w:ascii="Times New Roman" w:hAnsi="Times New Roman" w:eastAsia="仿宋_GB2312" w:cs="Times New Roman"/>
          <w:i w:val="0"/>
          <w:iCs w:val="0"/>
          <w:caps w:val="0"/>
          <w:color w:val="000000" w:themeColor="text1"/>
          <w:spacing w:val="0"/>
          <w:sz w:val="32"/>
          <w:szCs w:val="32"/>
          <w:shd w:val="clear"/>
          <w:lang w:eastAsia="zh-CN"/>
          <w14:textFill>
            <w14:solidFill>
              <w14:schemeClr w14:val="tx1"/>
            </w14:solidFill>
          </w14:textFill>
        </w:rPr>
        <w:t>，</w:t>
      </w:r>
      <w:r>
        <w:rPr>
          <w:rFonts w:hint="eastAsia" w:ascii="Times New Roman" w:hAnsi="Times New Roman" w:eastAsia="仿宋_GB2312" w:cs="Times New Roman"/>
          <w:i w:val="0"/>
          <w:iCs w:val="0"/>
          <w:caps w:val="0"/>
          <w:color w:val="000000" w:themeColor="text1"/>
          <w:spacing w:val="0"/>
          <w:sz w:val="32"/>
          <w:szCs w:val="32"/>
          <w:shd w:val="clear"/>
          <w14:textFill>
            <w14:solidFill>
              <w14:schemeClr w14:val="tx1"/>
            </w14:solidFill>
          </w14:textFill>
        </w:rPr>
        <w:t>为内窥镜检查或手术提供良好观察操作空间的内窥镜膨腔泵产品</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。根据2017版《医疗器械分类目录》，该类产品分类编码为06-</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15</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-0</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管理类别为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II类。</w:t>
      </w:r>
    </w:p>
    <w:p w14:paraId="0C8F841C">
      <w:pPr>
        <w:spacing w:line="560" w:lineRule="exact"/>
        <w:ind w:firstLine="640" w:firstLineChars="200"/>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本指导原则仅适用于液体介质（如生理盐水、甘露醇等）的膨腔设备。不适用于气体介质的膨腔设备。</w:t>
      </w:r>
    </w:p>
    <w:p w14:paraId="084AF87F">
      <w:pPr>
        <w:spacing w:line="560" w:lineRule="exact"/>
        <w:ind w:firstLine="640" w:firstLineChars="200"/>
        <w:jc w:val="left"/>
        <w:outlineLvl w:val="0"/>
        <w:rPr>
          <w:rFonts w:hint="eastAsia" w:ascii="Times New Roman" w:hAnsi="Times New Roman" w:eastAsia="黑体" w:cs="Times New Roman"/>
          <w:color w:val="000000"/>
          <w:sz w:val="32"/>
          <w:szCs w:val="32"/>
          <w:lang w:eastAsia="zh-CN"/>
        </w:rPr>
      </w:pPr>
      <w:bookmarkStart w:id="15" w:name="_Toc434250577"/>
      <w:bookmarkStart w:id="16" w:name="_Toc437263339"/>
      <w:bookmarkStart w:id="17" w:name="_Toc434250167"/>
      <w:r>
        <w:rPr>
          <w:rFonts w:hint="eastAsia" w:ascii="Times New Roman" w:hAnsi="Times New Roman" w:eastAsia="黑体" w:cs="Times New Roman"/>
          <w:color w:val="000000"/>
          <w:sz w:val="32"/>
          <w:szCs w:val="32"/>
          <w:lang w:eastAsia="zh-CN"/>
        </w:rPr>
        <w:t>二、注册审查要点</w:t>
      </w:r>
    </w:p>
    <w:p w14:paraId="2F4647D4">
      <w:pPr>
        <w:spacing w:line="560" w:lineRule="exact"/>
        <w:ind w:firstLine="640" w:firstLineChars="200"/>
        <w:rPr>
          <w:rFonts w:hint="eastAsia" w:ascii="Times New Roman" w:hAnsi="Times New Roman" w:eastAsia="楷体_GB2312" w:cs="Times New Roman"/>
          <w:sz w:val="32"/>
          <w:szCs w:val="32"/>
          <w:lang w:eastAsia="zh-CN"/>
        </w:rPr>
      </w:pPr>
      <w:r>
        <w:rPr>
          <w:rFonts w:hint="eastAsia" w:ascii="Times New Roman" w:hAnsi="Times New Roman" w:eastAsia="楷体_GB2312" w:cs="Times New Roman"/>
          <w:sz w:val="32"/>
          <w:szCs w:val="32"/>
          <w:lang w:eastAsia="zh-CN"/>
        </w:rPr>
        <w:t>（一）监管信息</w:t>
      </w:r>
    </w:p>
    <w:p w14:paraId="35717FEF">
      <w:pPr>
        <w:overflowPunct w:val="0"/>
        <w:autoSpaceDE w:val="0"/>
        <w:autoSpaceDN w:val="0"/>
        <w:spacing w:line="520" w:lineRule="exact"/>
        <w:ind w:firstLine="640" w:firstLineChars="200"/>
        <w:rPr>
          <w:rFonts w:hint="eastAsia"/>
          <w:lang w:eastAsia="zh-CN"/>
        </w:rPr>
      </w:pPr>
      <w:r>
        <w:rPr>
          <w:rFonts w:hint="eastAsia" w:eastAsia="仿宋_GB2312"/>
          <w:sz w:val="32"/>
          <w:szCs w:val="32"/>
        </w:rPr>
        <w:t>明确申请表中</w:t>
      </w:r>
      <w:r>
        <w:rPr>
          <w:rFonts w:eastAsia="仿宋_GB2312"/>
          <w:snapToGrid w:val="0"/>
          <w:kern w:val="0"/>
          <w:sz w:val="32"/>
          <w:szCs w:val="32"/>
        </w:rPr>
        <w:t>产品名称</w:t>
      </w:r>
      <w:r>
        <w:rPr>
          <w:rFonts w:hint="eastAsia" w:eastAsia="仿宋_GB2312"/>
          <w:snapToGrid w:val="0"/>
          <w:kern w:val="0"/>
          <w:sz w:val="32"/>
          <w:szCs w:val="32"/>
        </w:rPr>
        <w:t>、</w:t>
      </w:r>
      <w:r>
        <w:rPr>
          <w:rFonts w:eastAsia="仿宋_GB2312"/>
          <w:snapToGrid w:val="0"/>
          <w:kern w:val="0"/>
          <w:sz w:val="32"/>
          <w:szCs w:val="32"/>
        </w:rPr>
        <w:t>管理类别、分类编码</w:t>
      </w:r>
      <w:r>
        <w:rPr>
          <w:rFonts w:hint="eastAsia" w:eastAsia="仿宋_GB2312"/>
          <w:snapToGrid w:val="0"/>
          <w:kern w:val="0"/>
          <w:sz w:val="32"/>
          <w:szCs w:val="32"/>
        </w:rPr>
        <w:t>、型号规格、产品组成等信息</w:t>
      </w:r>
      <w:r>
        <w:rPr>
          <w:rFonts w:eastAsia="仿宋_GB2312"/>
          <w:snapToGrid w:val="0"/>
          <w:kern w:val="0"/>
          <w:sz w:val="32"/>
          <w:szCs w:val="32"/>
        </w:rPr>
        <w:t>。</w:t>
      </w:r>
    </w:p>
    <w:p w14:paraId="7D4F0DEE">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1.产品名称</w:t>
      </w:r>
    </w:p>
    <w:p w14:paraId="5F40E724">
      <w:pPr>
        <w:spacing w:line="560" w:lineRule="exact"/>
        <w:ind w:firstLine="640" w:firstLineChars="200"/>
        <w:rPr>
          <w:rFonts w:hint="eastAsia" w:eastAsia="仿宋_GB2312"/>
          <w:sz w:val="32"/>
          <w:szCs w:val="32"/>
          <w:lang w:val="en-US" w:eastAsia="zh-CN"/>
        </w:rPr>
      </w:pPr>
      <w:r>
        <w:rPr>
          <w:rFonts w:hint="eastAsia" w:eastAsia="仿宋_GB2312"/>
          <w:snapToGrid w:val="0"/>
          <w:kern w:val="0"/>
          <w:sz w:val="32"/>
          <w:szCs w:val="32"/>
        </w:rPr>
        <w:t>产品命名需符合《医疗器械通用名称命名规则》</w:t>
      </w:r>
      <w:r>
        <w:rPr>
          <w:rFonts w:hint="eastAsia" w:eastAsia="仿宋_GB2312"/>
          <w:snapToGrid w:val="0"/>
          <w:kern w:val="0"/>
          <w:sz w:val="32"/>
          <w:szCs w:val="32"/>
          <w:lang w:eastAsia="zh-CN"/>
        </w:rPr>
        <w:t>、</w:t>
      </w:r>
      <w:r>
        <w:rPr>
          <w:rFonts w:hint="eastAsia" w:eastAsia="仿宋_GB2312"/>
          <w:snapToGrid w:val="0"/>
          <w:kern w:val="0"/>
          <w:sz w:val="32"/>
          <w:szCs w:val="32"/>
        </w:rPr>
        <w:t>《医用成像器械通用名称命名指导原则》</w:t>
      </w:r>
      <w:r>
        <w:rPr>
          <w:rFonts w:hint="eastAsia" w:eastAsia="仿宋_GB2312"/>
          <w:sz w:val="32"/>
          <w:szCs w:val="32"/>
        </w:rPr>
        <w:t>等相关法规、规范性文件的要求</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。建议用通用名称：医用内窥镜膨腔泵、内窥镜膨腔泵、医用膨腔泵</w:t>
      </w:r>
      <w:r>
        <w:rPr>
          <w:rFonts w:hint="eastAsia" w:ascii="Times New Roman" w:hAnsi="Times New Roman" w:eastAsia="仿宋_GB2312" w:cs="Times New Roman"/>
          <w:color w:val="auto"/>
          <w:sz w:val="32"/>
          <w:szCs w:val="32"/>
          <w:lang w:val="en-US" w:eastAsia="zh-CN"/>
        </w:rPr>
        <w:t>、内窥镜子宫膨腔泵</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等。</w:t>
      </w:r>
      <w:r>
        <w:rPr>
          <w:rFonts w:hint="eastAsia" w:eastAsia="仿宋_GB2312"/>
          <w:sz w:val="32"/>
          <w:szCs w:val="32"/>
        </w:rPr>
        <w:t>产品名称应为通用名，不应包括产品型号、系列</w:t>
      </w:r>
      <w:r>
        <w:rPr>
          <w:rFonts w:hint="eastAsia" w:eastAsia="仿宋_GB2312"/>
          <w:sz w:val="32"/>
          <w:szCs w:val="32"/>
          <w:lang w:eastAsia="zh-CN"/>
        </w:rPr>
        <w:t>。</w:t>
      </w:r>
    </w:p>
    <w:p w14:paraId="06798FEA">
      <w:pPr>
        <w:spacing w:line="560" w:lineRule="exact"/>
        <w:ind w:firstLine="640" w:firstLineChars="200"/>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分类编码和管理类别</w:t>
      </w:r>
    </w:p>
    <w:p w14:paraId="56556D75">
      <w:pPr>
        <w:spacing w:line="560" w:lineRule="exact"/>
        <w:ind w:firstLine="640" w:firstLineChars="200"/>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内窥镜膨腔泵产品按第二类医疗器械管理，分类编码为06-15-06。</w:t>
      </w:r>
    </w:p>
    <w:bookmarkEnd w:id="15"/>
    <w:bookmarkEnd w:id="16"/>
    <w:bookmarkEnd w:id="17"/>
    <w:p w14:paraId="7C88239D">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.注册单元划分</w:t>
      </w:r>
    </w:p>
    <w:p w14:paraId="6A2A99D5">
      <w:pPr>
        <w:spacing w:line="560" w:lineRule="exact"/>
        <w:ind w:firstLine="640" w:firstLineChars="200"/>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注册单元划分应符合《医疗器械注册单元划分指导原则》的要求，原则上以产品的技术原理、结构组成、性能指标和适用范围为划分依据。</w:t>
      </w:r>
    </w:p>
    <w:p w14:paraId="18D28BB1">
      <w:pPr>
        <w:spacing w:line="560" w:lineRule="exact"/>
        <w:ind w:firstLine="640" w:firstLineChars="200"/>
        <w:rPr>
          <w:rFonts w:hint="eastAsia" w:ascii="Times New Roman" w:hAnsi="Times New Roman" w:eastAsia="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b w:val="0"/>
          <w:bCs w:val="0"/>
          <w:i w:val="0"/>
          <w:iCs w:val="0"/>
          <w:caps w:val="0"/>
          <w:color w:val="000000" w:themeColor="text1"/>
          <w:spacing w:val="0"/>
          <w:sz w:val="32"/>
          <w:szCs w:val="32"/>
          <w:shd w:val="clear"/>
          <w:lang w:eastAsia="zh-CN"/>
          <w14:textFill>
            <w14:solidFill>
              <w14:schemeClr w14:val="tx1"/>
            </w14:solidFill>
          </w14:textFill>
        </w:rPr>
        <w:t>（</w:t>
      </w:r>
      <w:r>
        <w:rPr>
          <w:rFonts w:hint="eastAsia" w:ascii="Times New Roman" w:hAnsi="Times New Roman" w:eastAsia="仿宋_GB2312" w:cs="Times New Roman"/>
          <w:b w:val="0"/>
          <w:bCs w:val="0"/>
          <w:i w:val="0"/>
          <w:iCs w:val="0"/>
          <w:caps w:val="0"/>
          <w:color w:val="000000" w:themeColor="text1"/>
          <w:spacing w:val="0"/>
          <w:sz w:val="32"/>
          <w:szCs w:val="32"/>
          <w:shd w:val="clear"/>
          <w:lang w:val="en-US" w:eastAsia="zh-CN"/>
          <w14:textFill>
            <w14:solidFill>
              <w14:schemeClr w14:val="tx1"/>
            </w14:solidFill>
          </w14:textFill>
        </w:rPr>
        <w:t>1）</w:t>
      </w:r>
      <w:r>
        <w:rPr>
          <w:rFonts w:hint="eastAsia" w:ascii="Times New Roman" w:hAnsi="Times New Roman" w:eastAsia="仿宋_GB2312" w:cs="Times New Roman"/>
          <w:b w:val="0"/>
          <w:bCs w:val="0"/>
          <w:i w:val="0"/>
          <w:iCs w:val="0"/>
          <w:caps w:val="0"/>
          <w:color w:val="000000" w:themeColor="text1"/>
          <w:spacing w:val="0"/>
          <w:sz w:val="32"/>
          <w:szCs w:val="32"/>
          <w:shd w:val="clear"/>
          <w14:textFill>
            <w14:solidFill>
              <w14:schemeClr w14:val="tx1"/>
            </w14:solidFill>
          </w14:textFill>
        </w:rPr>
        <w:t>适用部位不同的，应考虑划分为不同的注册单元。</w:t>
      </w:r>
      <w:r>
        <w:rPr>
          <w:rFonts w:hint="eastAsia" w:ascii="Times New Roman" w:hAnsi="Times New Roman" w:eastAsia="仿宋_GB2312" w:cs="Times New Roman"/>
          <w:i w:val="0"/>
          <w:iCs w:val="0"/>
          <w:caps w:val="0"/>
          <w:color w:val="000000" w:themeColor="text1"/>
          <w:spacing w:val="0"/>
          <w:sz w:val="32"/>
          <w:szCs w:val="32"/>
          <w:shd w:val="clear"/>
          <w14:textFill>
            <w14:solidFill>
              <w14:schemeClr w14:val="tx1"/>
            </w14:solidFill>
          </w14:textFill>
        </w:rPr>
        <w:t>例如，专门用于扩张子宫的膨腔泵与通用型膨腔泵，因临床应用场景、性能需求和风险考量存在显著差异，应分别划分注册单元。</w:t>
      </w:r>
    </w:p>
    <w:p w14:paraId="419E8D45">
      <w:pPr>
        <w:spacing w:line="560" w:lineRule="exact"/>
        <w:ind w:firstLine="640" w:firstLineChars="200"/>
        <w:rPr>
          <w:rFonts w:hint="eastAsia" w:ascii="Times New Roman" w:hAnsi="Times New Roman" w:eastAsia="仿宋_GB2312" w:cs="Times New Roman"/>
          <w:i w:val="0"/>
          <w:iCs w:val="0"/>
          <w:caps w:val="0"/>
          <w:color w:val="000000" w:themeColor="text1"/>
          <w:spacing w:val="0"/>
          <w:sz w:val="32"/>
          <w:szCs w:val="32"/>
          <w:shd w:val="clear"/>
          <w14:textFill>
            <w14:solidFill>
              <w14:schemeClr w14:val="tx1"/>
            </w14:solidFill>
          </w14:textFill>
        </w:rPr>
      </w:pPr>
      <w:r>
        <w:rPr>
          <w:rFonts w:hint="eastAsia" w:ascii="Times New Roman" w:hAnsi="Times New Roman" w:eastAsia="仿宋_GB2312" w:cs="Times New Roman"/>
          <w:b w:val="0"/>
          <w:bCs w:val="0"/>
          <w:i w:val="0"/>
          <w:iCs w:val="0"/>
          <w:caps w:val="0"/>
          <w:color w:val="000000" w:themeColor="text1"/>
          <w:spacing w:val="0"/>
          <w:sz w:val="32"/>
          <w:szCs w:val="32"/>
          <w:shd w:val="clear"/>
          <w:lang w:eastAsia="zh-CN"/>
          <w14:textFill>
            <w14:solidFill>
              <w14:schemeClr w14:val="tx1"/>
            </w14:solidFill>
          </w14:textFill>
        </w:rPr>
        <w:t>（</w:t>
      </w:r>
      <w:r>
        <w:rPr>
          <w:rFonts w:hint="eastAsia" w:ascii="Times New Roman" w:hAnsi="Times New Roman" w:eastAsia="仿宋_GB2312" w:cs="Times New Roman"/>
          <w:b w:val="0"/>
          <w:bCs w:val="0"/>
          <w:i w:val="0"/>
          <w:iCs w:val="0"/>
          <w:caps w:val="0"/>
          <w:color w:val="000000" w:themeColor="text1"/>
          <w:spacing w:val="0"/>
          <w:sz w:val="32"/>
          <w:szCs w:val="32"/>
          <w:shd w:val="clear"/>
          <w:lang w:val="en-US" w:eastAsia="zh-CN"/>
          <w14:textFill>
            <w14:solidFill>
              <w14:schemeClr w14:val="tx1"/>
            </w14:solidFill>
          </w14:textFill>
        </w:rPr>
        <w:t>2）</w:t>
      </w:r>
      <w:r>
        <w:rPr>
          <w:rFonts w:hint="eastAsia" w:ascii="Times New Roman" w:hAnsi="Times New Roman" w:eastAsia="仿宋_GB2312" w:cs="Times New Roman"/>
          <w:b w:val="0"/>
          <w:bCs w:val="0"/>
          <w:i w:val="0"/>
          <w:iCs w:val="0"/>
          <w:caps w:val="0"/>
          <w:color w:val="000000" w:themeColor="text1"/>
          <w:spacing w:val="0"/>
          <w:sz w:val="32"/>
          <w:szCs w:val="32"/>
          <w:shd w:val="clear"/>
          <w14:textFill>
            <w14:solidFill>
              <w14:schemeClr w14:val="tx1"/>
            </w14:solidFill>
          </w14:textFill>
        </w:rPr>
        <w:t>配套使用的灌注附件可与主机作为同一注册单元申报，也可单独注册。</w:t>
      </w:r>
      <w:r>
        <w:rPr>
          <w:rFonts w:hint="eastAsia" w:ascii="Times New Roman" w:hAnsi="Times New Roman" w:eastAsia="仿宋_GB2312" w:cs="Times New Roman"/>
          <w:i w:val="0"/>
          <w:iCs w:val="0"/>
          <w:caps w:val="0"/>
          <w:color w:val="000000" w:themeColor="text1"/>
          <w:spacing w:val="0"/>
          <w:sz w:val="32"/>
          <w:szCs w:val="32"/>
          <w:shd w:val="clear"/>
          <w14:textFill>
            <w14:solidFill>
              <w14:schemeClr w14:val="tx1"/>
            </w14:solidFill>
          </w14:textFill>
        </w:rPr>
        <w:t>若单独注册，需在申报资料中明确其兼容或配合使用的具体</w:t>
      </w:r>
      <w:r>
        <w:rPr>
          <w:rFonts w:hint="eastAsia" w:ascii="Times New Roman" w:hAnsi="Times New Roman" w:eastAsia="仿宋_GB2312" w:cs="Times New Roman"/>
          <w:i w:val="0"/>
          <w:iCs w:val="0"/>
          <w:caps w:val="0"/>
          <w:color w:val="000000" w:themeColor="text1"/>
          <w:spacing w:val="0"/>
          <w:sz w:val="32"/>
          <w:szCs w:val="32"/>
          <w:shd w:val="clear"/>
          <w:lang w:eastAsia="zh-CN"/>
          <w14:textFill>
            <w14:solidFill>
              <w14:schemeClr w14:val="tx1"/>
            </w14:solidFill>
          </w14:textFill>
        </w:rPr>
        <w:t>灌注附件的</w:t>
      </w:r>
      <w:r>
        <w:rPr>
          <w:rFonts w:hint="eastAsia" w:ascii="Times New Roman" w:hAnsi="Times New Roman" w:eastAsia="仿宋_GB2312" w:cs="Times New Roman"/>
          <w:i w:val="0"/>
          <w:iCs w:val="0"/>
          <w:caps w:val="0"/>
          <w:color w:val="000000" w:themeColor="text1"/>
          <w:spacing w:val="0"/>
          <w:sz w:val="32"/>
          <w:szCs w:val="32"/>
          <w:shd w:val="clear"/>
          <w14:textFill>
            <w14:solidFill>
              <w14:schemeClr w14:val="tx1"/>
            </w14:solidFill>
          </w14:textFill>
        </w:rPr>
        <w:t>信息（如制造商、型号等）。</w:t>
      </w:r>
    </w:p>
    <w:p w14:paraId="5ACB9676">
      <w:pPr>
        <w:spacing w:line="560" w:lineRule="exact"/>
        <w:ind w:firstLine="640" w:firstLineChars="200"/>
        <w:rPr>
          <w:rFonts w:hint="eastAsia" w:ascii="Times New Roman" w:hAnsi="Times New Roman" w:eastAsia="楷体_GB2312" w:cs="Times New Roman"/>
          <w:sz w:val="32"/>
          <w:szCs w:val="32"/>
          <w:lang w:eastAsia="zh-CN"/>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楷体_GB2312" w:cs="Times New Roman"/>
          <w:sz w:val="32"/>
          <w:szCs w:val="32"/>
          <w:lang w:eastAsia="zh-CN"/>
        </w:rPr>
        <w:t>二）综述资料</w:t>
      </w:r>
    </w:p>
    <w:p w14:paraId="017542A1">
      <w:pPr>
        <w:pStyle w:val="20"/>
        <w:overflowPunct w:val="0"/>
        <w:autoSpaceDE w:val="0"/>
        <w:autoSpaceDN w:val="0"/>
        <w:spacing w:line="520" w:lineRule="exact"/>
        <w:ind w:right="210" w:firstLine="640"/>
        <w:outlineLvl w:val="3"/>
        <w:rPr>
          <w:rFonts w:ascii="Times New Roman" w:hAnsi="Times New Roman" w:eastAsia="仿宋_GB2312"/>
          <w:snapToGrid w:val="0"/>
          <w:kern w:val="0"/>
          <w:sz w:val="32"/>
          <w:szCs w:val="32"/>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1</w:t>
      </w:r>
      <w:r>
        <w:rPr>
          <w:rFonts w:hint="eastAsia" w:ascii="Times New Roman" w:hAnsi="Times New Roman" w:eastAsia="仿宋_GB2312"/>
          <w:snapToGrid w:val="0"/>
          <w:kern w:val="0"/>
          <w:sz w:val="32"/>
          <w:szCs w:val="32"/>
        </w:rPr>
        <w:t>.1器械及操作原理描述</w:t>
      </w:r>
    </w:p>
    <w:p w14:paraId="74D4E1C6">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1.1.1工作原理</w:t>
      </w:r>
    </w:p>
    <w:p w14:paraId="23964860">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需详述产品的工作原理，例如：产品利用电路控制电机的转动，电机旋转带动滚轮的转动来挤压灌注管路，迫使灌注管路里的液体定向流动，产生一定压强，从而扩张人体体腔，为内窥镜检查或手术提供良好的观察操作空间。</w:t>
      </w:r>
    </w:p>
    <w:p w14:paraId="4D3639AB">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1.1.2结构组成</w:t>
      </w:r>
    </w:p>
    <w:p w14:paraId="208A9F11">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eastAsia="仿宋_GB2312"/>
          <w:sz w:val="32"/>
          <w:szCs w:val="32"/>
        </w:rPr>
        <w:t>描述产品的结构组成</w:t>
      </w:r>
      <w:r>
        <w:rPr>
          <w:rFonts w:hint="eastAsia" w:eastAsia="仿宋_GB2312"/>
          <w:sz w:val="32"/>
          <w:szCs w:val="32"/>
          <w:lang w:eastAsia="zh-CN"/>
        </w:rPr>
        <w:t>。</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通常由主机、灌注附件、电源线、脚踏开关（如有）等</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组成</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。主机一般由开关电源、控制面板、显示器、驱动器、伺服电机、压力传感器、流量传感器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等</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组成，灌注附件一般由硅胶管、插针、固定卡扣、压力座、硅胶膜、接头等组成。应详细描述产品结构组成、主要功能及其组成部件的功能、产品图示（含接口、操控面板等细节），含有多个组成部分的，应说明其连接方式或组装关系。应描述</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灌注附件</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的</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组成部件、与人体直接/间接接触的组件</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材质</w:t>
      </w:r>
      <w:r>
        <w:rPr>
          <w:rFonts w:hint="eastAsia" w:eastAsia="仿宋_GB2312"/>
          <w:sz w:val="32"/>
          <w:szCs w:val="32"/>
          <w:lang w:eastAsia="zh-CN"/>
        </w:rPr>
        <w:t>。</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常用主机结构示意图及相应附件描述示例如下：</w:t>
      </w:r>
    </w:p>
    <w:p w14:paraId="69AEDF23">
      <w:pPr>
        <w:spacing w:line="560" w:lineRule="exact"/>
      </w:pPr>
      <w:r>
        <w:drawing>
          <wp:anchor distT="0" distB="0" distL="114935" distR="114935" simplePos="0" relativeHeight="251660288" behindDoc="0" locked="0" layoutInCell="1" allowOverlap="1">
            <wp:simplePos x="0" y="0"/>
            <wp:positionH relativeFrom="column">
              <wp:posOffset>969645</wp:posOffset>
            </wp:positionH>
            <wp:positionV relativeFrom="paragraph">
              <wp:posOffset>66675</wp:posOffset>
            </wp:positionV>
            <wp:extent cx="3268345" cy="1337945"/>
            <wp:effectExtent l="0" t="0" r="8255" b="1460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grayscl/>
                    </a:blip>
                    <a:stretch>
                      <a:fillRect/>
                    </a:stretch>
                  </pic:blipFill>
                  <pic:spPr>
                    <a:xfrm>
                      <a:off x="0" y="0"/>
                      <a:ext cx="3268345" cy="1337945"/>
                    </a:xfrm>
                    <a:prstGeom prst="rect">
                      <a:avLst/>
                    </a:prstGeom>
                    <a:noFill/>
                    <a:ln>
                      <a:noFill/>
                    </a:ln>
                  </pic:spPr>
                </pic:pic>
              </a:graphicData>
            </a:graphic>
          </wp:anchor>
        </w:drawing>
      </w:r>
    </w:p>
    <w:p w14:paraId="23774B61">
      <w:pPr>
        <w:spacing w:line="560" w:lineRule="exact"/>
      </w:pPr>
    </w:p>
    <w:p w14:paraId="0B675387">
      <w:pPr>
        <w:spacing w:line="560" w:lineRule="exact"/>
        <w:jc w:val="both"/>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p>
    <w:p w14:paraId="52BC2B4F">
      <w:pPr>
        <w:spacing w:line="560" w:lineRule="exact"/>
        <w:jc w:val="both"/>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p>
    <w:p w14:paraId="51F248F1">
      <w:pPr>
        <w:spacing w:line="560" w:lineRule="exact"/>
        <w:jc w:val="both"/>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sz w:val="24"/>
        </w:rPr>
        <w:drawing>
          <wp:anchor distT="0" distB="0" distL="114300" distR="114300" simplePos="0" relativeHeight="251659264" behindDoc="0" locked="0" layoutInCell="1" allowOverlap="1">
            <wp:simplePos x="0" y="0"/>
            <wp:positionH relativeFrom="column">
              <wp:posOffset>-71755</wp:posOffset>
            </wp:positionH>
            <wp:positionV relativeFrom="page">
              <wp:posOffset>8012430</wp:posOffset>
            </wp:positionV>
            <wp:extent cx="5468620" cy="1613535"/>
            <wp:effectExtent l="0" t="0" r="17780" b="5715"/>
            <wp:wrapNone/>
            <wp:docPr id="2" name="图片 2" descr="05e76de730f1ef76cffdaa50b0bba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5e76de730f1ef76cffdaa50b0bba4a"/>
                    <pic:cNvPicPr>
                      <a:picLocks noChangeAspect="1"/>
                    </pic:cNvPicPr>
                  </pic:nvPicPr>
                  <pic:blipFill>
                    <a:blip r:embed="rId6"/>
                    <a:stretch>
                      <a:fillRect/>
                    </a:stretch>
                  </pic:blipFill>
                  <pic:spPr>
                    <a:xfrm>
                      <a:off x="0" y="0"/>
                      <a:ext cx="5468620" cy="1613535"/>
                    </a:xfrm>
                    <a:prstGeom prst="rect">
                      <a:avLst/>
                    </a:prstGeom>
                    <a:noFill/>
                    <a:ln>
                      <a:noFill/>
                    </a:ln>
                  </pic:spPr>
                </pic:pic>
              </a:graphicData>
            </a:graphic>
          </wp:anchor>
        </w:drawing>
      </w:r>
    </w:p>
    <w:p w14:paraId="3961A62A">
      <w:pPr>
        <w:spacing w:line="560" w:lineRule="exact"/>
        <w:jc w:val="both"/>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p>
    <w:p w14:paraId="02A62D64">
      <w:pPr>
        <w:spacing w:line="560" w:lineRule="exact"/>
        <w:jc w:val="both"/>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p>
    <w:p w14:paraId="5698C22A">
      <w:pPr>
        <w:spacing w:line="560" w:lineRule="exact"/>
        <w:jc w:val="both"/>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p>
    <w:p w14:paraId="636E0D37">
      <w:pPr>
        <w:spacing w:line="560" w:lineRule="exact"/>
        <w:ind w:firstLine="0" w:firstLineChars="0"/>
        <w:rPr>
          <w:rFonts w:hint="eastAsia" w:ascii="Times New Roman" w:hAnsi="Times New Roman" w:eastAsia="仿宋_GB2312" w:cs="Times New Roman"/>
          <w:i w:val="0"/>
          <w:iCs w:val="0"/>
          <w:caps w:val="0"/>
          <w:color w:val="000000" w:themeColor="text1"/>
          <w:spacing w:val="0"/>
          <w:sz w:val="32"/>
          <w:szCs w:val="32"/>
          <w:shd w:val="clear"/>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其中，1/2/3/4为硅胶管。</w:t>
      </w:r>
    </w:p>
    <w:p w14:paraId="02DC4068">
      <w:pPr>
        <w:spacing w:line="560" w:lineRule="exact"/>
        <w:ind w:firstLine="2880" w:firstLineChars="900"/>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sz w:val="32"/>
          <w:szCs w:val="32"/>
          <w:shd w:val="clear"/>
          <w14:textFill>
            <w14:solidFill>
              <w14:schemeClr w14:val="tx1"/>
            </w14:solidFill>
          </w14:textFill>
        </w:rPr>
        <w:t>图1 结构示意图</w:t>
      </w:r>
    </w:p>
    <w:p w14:paraId="74EFFC23">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2.型号规格</w:t>
      </w:r>
    </w:p>
    <w:p w14:paraId="5FB1A52A">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对于存在多种型号规格的产品，应当明确各型号规格的区别。应当采用对比表或带有说明性文字的图片、图表，描述各种型号规格的结构组成（或配置）、功能、产品特征和运行模式、技术参数等内容。</w:t>
      </w:r>
    </w:p>
    <w:p w14:paraId="4A0160BD">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3.包装描述</w:t>
      </w:r>
    </w:p>
    <w:p w14:paraId="66DD7DDD">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申报产品需要描述注册单元内所有产品组成的包装情况，说明包装清单和包装方式，提供包装图示。</w:t>
      </w:r>
    </w:p>
    <w:p w14:paraId="0F307655">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4.与其他同类产品的区别</w:t>
      </w:r>
    </w:p>
    <w:p w14:paraId="40255A30">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应提供同品种对比产品（在国、内外已上市产品）或前代产品的信息，并阐述申请注册的产品开发的背景和目的。对于同类产品，需说明作为研究开发所参照的理由。应详细描述申请注册产品和参照产品的差异，应列表描述包括结构组成、工作原理及其他功能等。</w:t>
      </w:r>
    </w:p>
    <w:p w14:paraId="0F9C8EF6">
      <w:pPr>
        <w:numPr>
          <w:ilvl w:val="0"/>
          <w:numId w:val="0"/>
        </w:num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适用范围和禁忌</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证</w:t>
      </w:r>
    </w:p>
    <w:p w14:paraId="336E8DAB">
      <w:pPr>
        <w:pStyle w:val="20"/>
        <w:overflowPunct w:val="0"/>
        <w:autoSpaceDE w:val="0"/>
        <w:autoSpaceDN w:val="0"/>
        <w:spacing w:line="520" w:lineRule="exact"/>
        <w:ind w:right="210" w:firstLine="640"/>
        <w:outlineLvl w:val="3"/>
        <w:rPr>
          <w:rFonts w:ascii="Times New Roman" w:hAnsi="Times New Roman" w:eastAsia="仿宋_GB2312"/>
          <w:snapToGrid w:val="0"/>
          <w:kern w:val="0"/>
          <w:sz w:val="32"/>
          <w:szCs w:val="32"/>
        </w:rPr>
      </w:pPr>
      <w:r>
        <w:rPr>
          <w:rFonts w:hint="eastAsia" w:ascii="Times New Roman" w:hAnsi="Times New Roman" w:eastAsia="仿宋_GB2312"/>
          <w:snapToGrid w:val="0"/>
          <w:kern w:val="0"/>
          <w:sz w:val="32"/>
          <w:szCs w:val="32"/>
        </w:rPr>
        <w:t>2.1</w:t>
      </w:r>
      <w:r>
        <w:rPr>
          <w:rFonts w:ascii="Times New Roman" w:hAnsi="Times New Roman" w:eastAsia="仿宋_GB2312"/>
          <w:snapToGrid w:val="0"/>
          <w:kern w:val="0"/>
          <w:sz w:val="32"/>
          <w:szCs w:val="32"/>
        </w:rPr>
        <w:t>适用范围</w:t>
      </w:r>
    </w:p>
    <w:p w14:paraId="64D217BC">
      <w:pPr>
        <w:pStyle w:val="20"/>
        <w:overflowPunct w:val="0"/>
        <w:autoSpaceDE w:val="0"/>
        <w:autoSpaceDN w:val="0"/>
        <w:spacing w:line="520" w:lineRule="exact"/>
        <w:ind w:right="210" w:firstLine="640"/>
        <w:outlineLvl w:val="3"/>
        <w:rPr>
          <w:rFonts w:eastAsia="仿宋_GB2312" w:cs="仿宋_GB2312"/>
          <w:snapToGrid w:val="0"/>
          <w:kern w:val="0"/>
          <w:sz w:val="32"/>
          <w:szCs w:val="32"/>
        </w:rPr>
      </w:pPr>
      <w:r>
        <w:rPr>
          <w:rFonts w:hint="eastAsia" w:eastAsia="仿宋_GB2312" w:cs="仿宋_GB2312"/>
          <w:snapToGrid w:val="0"/>
          <w:kern w:val="0"/>
          <w:sz w:val="32"/>
          <w:szCs w:val="32"/>
        </w:rPr>
        <w:t>产品具体适用范围应与申报产品功能、临床应用范围相一致。</w:t>
      </w:r>
      <w:r>
        <w:rPr>
          <w:rFonts w:hint="eastAsia" w:eastAsia="仿宋_GB2312" w:cs="仿宋_GB2312"/>
          <w:snapToGrid w:val="0"/>
          <w:kern w:val="0"/>
          <w:sz w:val="32"/>
          <w:szCs w:val="32"/>
          <w:lang w:eastAsia="zh-CN"/>
        </w:rPr>
        <w:t>内窥镜膨腔泵</w:t>
      </w:r>
      <w:r>
        <w:rPr>
          <w:rFonts w:hint="eastAsia" w:eastAsia="仿宋_GB2312" w:cs="仿宋_GB2312"/>
          <w:snapToGrid w:val="0"/>
          <w:kern w:val="0"/>
          <w:sz w:val="32"/>
          <w:szCs w:val="32"/>
        </w:rPr>
        <w:t>的预期用途一般可</w:t>
      </w:r>
      <w:r>
        <w:rPr>
          <w:rFonts w:hint="eastAsia" w:eastAsia="仿宋_GB2312" w:cs="仿宋_GB2312"/>
          <w:snapToGrid w:val="0"/>
          <w:kern w:val="0"/>
          <w:sz w:val="32"/>
          <w:szCs w:val="32"/>
          <w:lang w:val="en-US" w:eastAsia="zh-CN"/>
        </w:rPr>
        <w:t>表述</w:t>
      </w:r>
      <w:r>
        <w:rPr>
          <w:rFonts w:hint="eastAsia" w:eastAsia="仿宋_GB2312" w:cs="仿宋_GB2312"/>
          <w:snapToGrid w:val="0"/>
          <w:kern w:val="0"/>
          <w:sz w:val="32"/>
          <w:szCs w:val="32"/>
        </w:rPr>
        <w:t>为：</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用于在内窥镜诊断和/或治疗/手术中扩张人体体腔，为内窥镜检查或手术提供良好的观察操作空间</w:t>
      </w:r>
      <w:r>
        <w:rPr>
          <w:rFonts w:hint="eastAsia" w:eastAsia="仿宋_GB2312" w:cs="仿宋_GB2312"/>
          <w:snapToGrid w:val="0"/>
          <w:kern w:val="0"/>
          <w:sz w:val="32"/>
          <w:szCs w:val="32"/>
        </w:rPr>
        <w:t>。</w:t>
      </w:r>
    </w:p>
    <w:p w14:paraId="4A9B95E5">
      <w:pPr>
        <w:pStyle w:val="20"/>
        <w:overflowPunct w:val="0"/>
        <w:autoSpaceDE w:val="0"/>
        <w:autoSpaceDN w:val="0"/>
        <w:spacing w:line="520" w:lineRule="exact"/>
        <w:ind w:right="210" w:firstLine="640"/>
        <w:outlineLvl w:val="3"/>
        <w:rPr>
          <w:rFonts w:ascii="Times New Roman" w:hAnsi="Times New Roman" w:eastAsia="仿宋_GB2312"/>
          <w:snapToGrid w:val="0"/>
          <w:kern w:val="0"/>
          <w:sz w:val="32"/>
          <w:szCs w:val="32"/>
        </w:rPr>
      </w:pPr>
      <w:r>
        <w:rPr>
          <w:rFonts w:hint="eastAsia" w:ascii="Times New Roman" w:hAnsi="Times New Roman" w:eastAsia="仿宋_GB2312"/>
          <w:snapToGrid w:val="0"/>
          <w:kern w:val="0"/>
          <w:sz w:val="32"/>
          <w:szCs w:val="32"/>
        </w:rPr>
        <w:t>2.</w:t>
      </w:r>
      <w:r>
        <w:rPr>
          <w:rFonts w:hint="eastAsia" w:ascii="Times New Roman" w:hAnsi="Times New Roman" w:eastAsia="仿宋_GB2312"/>
          <w:snapToGrid w:val="0"/>
          <w:kern w:val="0"/>
          <w:sz w:val="32"/>
          <w:szCs w:val="32"/>
          <w:lang w:val="en-US" w:eastAsia="zh-CN"/>
        </w:rPr>
        <w:t>2</w:t>
      </w:r>
      <w:r>
        <w:rPr>
          <w:rFonts w:ascii="Times New Roman" w:hAnsi="Times New Roman" w:eastAsia="仿宋_GB2312"/>
          <w:snapToGrid w:val="0"/>
          <w:kern w:val="0"/>
          <w:sz w:val="32"/>
          <w:szCs w:val="32"/>
        </w:rPr>
        <w:t>预期使用环境</w:t>
      </w:r>
    </w:p>
    <w:p w14:paraId="33858095">
      <w:pPr>
        <w:overflowPunct w:val="0"/>
        <w:autoSpaceDE w:val="0"/>
        <w:autoSpaceDN w:val="0"/>
        <w:spacing w:line="520" w:lineRule="exact"/>
        <w:ind w:firstLine="640" w:firstLineChars="200"/>
        <w:rPr>
          <w:rFonts w:eastAsia="仿宋_GB2312"/>
          <w:snapToGrid w:val="0"/>
          <w:kern w:val="0"/>
          <w:sz w:val="32"/>
          <w:szCs w:val="32"/>
        </w:rPr>
      </w:pPr>
      <w:r>
        <w:rPr>
          <w:rFonts w:hint="eastAsia" w:eastAsia="仿宋_GB2312"/>
          <w:snapToGrid w:val="0"/>
          <w:kern w:val="0"/>
          <w:sz w:val="32"/>
          <w:szCs w:val="32"/>
        </w:rPr>
        <w:t>需</w:t>
      </w:r>
      <w:r>
        <w:rPr>
          <w:rFonts w:eastAsia="仿宋_GB2312"/>
          <w:snapToGrid w:val="0"/>
          <w:kern w:val="0"/>
          <w:sz w:val="32"/>
          <w:szCs w:val="32"/>
        </w:rPr>
        <w:t>明确设备使用场</w:t>
      </w:r>
      <w:r>
        <w:rPr>
          <w:rFonts w:hint="eastAsia" w:eastAsia="仿宋_GB2312"/>
          <w:snapToGrid w:val="0"/>
          <w:kern w:val="0"/>
          <w:sz w:val="32"/>
          <w:szCs w:val="32"/>
        </w:rPr>
        <w:t>所</w:t>
      </w:r>
      <w:r>
        <w:rPr>
          <w:rFonts w:eastAsia="仿宋_GB2312"/>
          <w:snapToGrid w:val="0"/>
          <w:kern w:val="0"/>
          <w:sz w:val="32"/>
          <w:szCs w:val="32"/>
        </w:rPr>
        <w:t>和使用环境要求。</w:t>
      </w:r>
    </w:p>
    <w:p w14:paraId="23663EE1">
      <w:pPr>
        <w:overflowPunct w:val="0"/>
        <w:autoSpaceDE w:val="0"/>
        <w:autoSpaceDN w:val="0"/>
        <w:spacing w:line="520" w:lineRule="exact"/>
        <w:ind w:firstLine="640" w:firstLineChars="200"/>
        <w:rPr>
          <w:rFonts w:eastAsia="仿宋_GB2312"/>
          <w:snapToGrid w:val="0"/>
          <w:kern w:val="0"/>
          <w:sz w:val="32"/>
          <w:szCs w:val="32"/>
        </w:rPr>
      </w:pPr>
      <w:r>
        <w:rPr>
          <w:rFonts w:eastAsia="仿宋_GB2312"/>
          <w:snapToGrid w:val="0"/>
          <w:kern w:val="0"/>
          <w:sz w:val="32"/>
          <w:szCs w:val="32"/>
        </w:rPr>
        <w:t>设备使用场</w:t>
      </w:r>
      <w:r>
        <w:rPr>
          <w:rFonts w:hint="eastAsia" w:eastAsia="仿宋_GB2312"/>
          <w:snapToGrid w:val="0"/>
          <w:kern w:val="0"/>
          <w:sz w:val="32"/>
          <w:szCs w:val="32"/>
        </w:rPr>
        <w:t>所</w:t>
      </w:r>
      <w:r>
        <w:rPr>
          <w:rFonts w:eastAsia="仿宋_GB2312"/>
          <w:snapToGrid w:val="0"/>
          <w:kern w:val="0"/>
          <w:sz w:val="32"/>
          <w:szCs w:val="32"/>
        </w:rPr>
        <w:t>包括：医疗机构等。</w:t>
      </w:r>
    </w:p>
    <w:p w14:paraId="73B54743">
      <w:pPr>
        <w:overflowPunct w:val="0"/>
        <w:autoSpaceDE w:val="0"/>
        <w:autoSpaceDN w:val="0"/>
        <w:spacing w:line="520" w:lineRule="exact"/>
        <w:ind w:firstLine="640" w:firstLineChars="200"/>
        <w:rPr>
          <w:rFonts w:eastAsia="仿宋_GB2312"/>
          <w:snapToGrid w:val="0"/>
          <w:kern w:val="0"/>
          <w:sz w:val="32"/>
          <w:szCs w:val="32"/>
        </w:rPr>
      </w:pPr>
      <w:r>
        <w:rPr>
          <w:rFonts w:eastAsia="仿宋_GB2312"/>
          <w:snapToGrid w:val="0"/>
          <w:kern w:val="0"/>
          <w:sz w:val="32"/>
          <w:szCs w:val="32"/>
        </w:rPr>
        <w:t>使用环境要求</w:t>
      </w:r>
      <w:r>
        <w:rPr>
          <w:rFonts w:hint="eastAsia" w:eastAsia="仿宋_GB2312"/>
          <w:snapToGrid w:val="0"/>
          <w:kern w:val="0"/>
          <w:sz w:val="32"/>
          <w:szCs w:val="32"/>
        </w:rPr>
        <w:t>需</w:t>
      </w:r>
      <w:r>
        <w:rPr>
          <w:rFonts w:eastAsia="仿宋_GB2312"/>
          <w:snapToGrid w:val="0"/>
          <w:kern w:val="0"/>
          <w:sz w:val="32"/>
          <w:szCs w:val="32"/>
        </w:rPr>
        <w:t>至少包括：使用的适宜温度、湿度、大气压。</w:t>
      </w:r>
    </w:p>
    <w:p w14:paraId="11B42988">
      <w:pPr>
        <w:pStyle w:val="20"/>
        <w:overflowPunct w:val="0"/>
        <w:autoSpaceDE w:val="0"/>
        <w:autoSpaceDN w:val="0"/>
        <w:spacing w:line="520" w:lineRule="exact"/>
        <w:ind w:right="210" w:firstLine="640"/>
        <w:outlineLvl w:val="3"/>
        <w:rPr>
          <w:rFonts w:ascii="Times New Roman" w:hAnsi="Times New Roman" w:eastAsia="仿宋_GB2312"/>
          <w:snapToGrid w:val="0"/>
          <w:kern w:val="0"/>
          <w:sz w:val="32"/>
          <w:szCs w:val="32"/>
        </w:rPr>
      </w:pPr>
      <w:r>
        <w:rPr>
          <w:rFonts w:hint="eastAsia" w:ascii="Times New Roman" w:hAnsi="Times New Roman" w:eastAsia="仿宋_GB2312"/>
          <w:snapToGrid w:val="0"/>
          <w:kern w:val="0"/>
          <w:sz w:val="32"/>
          <w:szCs w:val="32"/>
        </w:rPr>
        <w:t>2.3适用人群</w:t>
      </w:r>
    </w:p>
    <w:p w14:paraId="7EA5C6F6">
      <w:pPr>
        <w:pStyle w:val="20"/>
        <w:overflowPunct w:val="0"/>
        <w:autoSpaceDE w:val="0"/>
        <w:autoSpaceDN w:val="0"/>
        <w:spacing w:line="520" w:lineRule="exact"/>
        <w:ind w:right="210" w:firstLine="640"/>
        <w:outlineLvl w:val="3"/>
        <w:rPr>
          <w:rFonts w:ascii="Times New Roman" w:hAnsi="Times New Roman" w:eastAsia="仿宋_GB2312"/>
          <w:snapToGrid w:val="0"/>
          <w:kern w:val="0"/>
          <w:sz w:val="32"/>
          <w:szCs w:val="32"/>
        </w:rPr>
      </w:pPr>
      <w:r>
        <w:rPr>
          <w:rFonts w:ascii="Times New Roman" w:hAnsi="Times New Roman" w:eastAsia="仿宋_GB2312"/>
          <w:snapToGrid w:val="0"/>
          <w:kern w:val="0"/>
          <w:sz w:val="32"/>
          <w:szCs w:val="32"/>
        </w:rPr>
        <w:t>应详述</w:t>
      </w:r>
      <w:r>
        <w:rPr>
          <w:rFonts w:hint="eastAsia" w:ascii="Times New Roman" w:hAnsi="Times New Roman" w:eastAsia="仿宋_GB2312"/>
          <w:snapToGrid w:val="0"/>
          <w:kern w:val="0"/>
          <w:sz w:val="32"/>
          <w:szCs w:val="32"/>
        </w:rPr>
        <w:t>申报</w:t>
      </w:r>
      <w:r>
        <w:rPr>
          <w:rFonts w:ascii="Times New Roman" w:hAnsi="Times New Roman" w:eastAsia="仿宋_GB2312"/>
          <w:snapToGrid w:val="0"/>
          <w:kern w:val="0"/>
          <w:sz w:val="32"/>
          <w:szCs w:val="32"/>
        </w:rPr>
        <w:t>产品的适用人群</w:t>
      </w:r>
      <w:r>
        <w:rPr>
          <w:rFonts w:hint="eastAsia" w:ascii="Times New Roman" w:hAnsi="Times New Roman" w:eastAsia="仿宋_GB2312"/>
          <w:snapToGrid w:val="0"/>
          <w:kern w:val="0"/>
          <w:sz w:val="32"/>
          <w:szCs w:val="32"/>
          <w:lang w:eastAsia="zh-CN"/>
        </w:rPr>
        <w:t>，</w:t>
      </w:r>
      <w:r>
        <w:rPr>
          <w:rFonts w:hint="eastAsia" w:ascii="Times New Roman" w:hAnsi="Times New Roman" w:eastAsia="仿宋_GB2312"/>
          <w:snapToGrid w:val="0"/>
          <w:kern w:val="0"/>
          <w:sz w:val="32"/>
          <w:szCs w:val="32"/>
          <w:lang w:val="en-US" w:eastAsia="zh-CN"/>
        </w:rPr>
        <w:t>如成人、儿童等</w:t>
      </w:r>
      <w:r>
        <w:rPr>
          <w:rFonts w:ascii="Times New Roman" w:hAnsi="Times New Roman" w:eastAsia="仿宋_GB2312"/>
          <w:snapToGrid w:val="0"/>
          <w:kern w:val="0"/>
          <w:sz w:val="32"/>
          <w:szCs w:val="32"/>
        </w:rPr>
        <w:t>。</w:t>
      </w:r>
    </w:p>
    <w:p w14:paraId="3D7E1C49">
      <w:pPr>
        <w:overflowPunct w:val="0"/>
        <w:autoSpaceDE w:val="0"/>
        <w:autoSpaceDN w:val="0"/>
        <w:adjustRightInd w:val="0"/>
        <w:spacing w:line="520" w:lineRule="exact"/>
        <w:ind w:firstLine="640" w:firstLineChars="200"/>
        <w:rPr>
          <w:rFonts w:eastAsia="仿宋_GB2312"/>
          <w:snapToGrid w:val="0"/>
          <w:kern w:val="0"/>
          <w:sz w:val="32"/>
          <w:szCs w:val="32"/>
        </w:rPr>
      </w:pPr>
      <w:r>
        <w:rPr>
          <w:rFonts w:hint="eastAsia" w:ascii="Times New Roman" w:hAnsi="Times New Roman" w:eastAsia="仿宋_GB2312" w:cs="Times New Roman"/>
          <w:snapToGrid w:val="0"/>
          <w:kern w:val="0"/>
          <w:sz w:val="32"/>
          <w:szCs w:val="32"/>
          <w:lang w:val="en-US" w:eastAsia="zh-CN" w:bidi="ar-SA"/>
        </w:rPr>
        <w:t>2.4</w:t>
      </w:r>
      <w:r>
        <w:rPr>
          <w:rFonts w:eastAsia="仿宋_GB2312"/>
          <w:snapToGrid w:val="0"/>
          <w:kern w:val="0"/>
          <w:sz w:val="32"/>
          <w:szCs w:val="32"/>
        </w:rPr>
        <w:t>禁忌证</w:t>
      </w:r>
    </w:p>
    <w:p w14:paraId="5F3243E3">
      <w:pPr>
        <w:pStyle w:val="20"/>
        <w:overflowPunct w:val="0"/>
        <w:autoSpaceDE w:val="0"/>
        <w:autoSpaceDN w:val="0"/>
        <w:spacing w:line="520" w:lineRule="exact"/>
        <w:ind w:right="210" w:firstLine="640"/>
        <w:outlineLvl w:val="3"/>
        <w:rPr>
          <w:rFonts w:hint="default" w:ascii="Times New Roman" w:hAnsi="Times New Roman" w:eastAsia="仿宋_GB2312" w:cs="Times New Roman"/>
          <w:strike w:val="0"/>
          <w:snapToGrid w:val="0"/>
          <w:kern w:val="0"/>
          <w:sz w:val="32"/>
          <w:szCs w:val="32"/>
          <w:lang w:val="en-US" w:eastAsia="zh-CN"/>
        </w:rPr>
      </w:pPr>
      <w:r>
        <w:rPr>
          <w:rFonts w:ascii="Times New Roman" w:hAnsi="Times New Roman" w:eastAsia="仿宋_GB2312" w:cs="Times New Roman"/>
          <w:i w:val="0"/>
          <w:iCs w:val="0"/>
          <w:caps w:val="0"/>
          <w:snapToGrid w:val="0"/>
          <w:spacing w:val="0"/>
          <w:kern w:val="0"/>
          <w:sz w:val="32"/>
          <w:szCs w:val="32"/>
          <w:shd w:val="clear"/>
        </w:rPr>
        <w:t>应明确申报产品的禁忌证，即不适宜应用该产品的特定人群、疾病或生理状况（如：严重凝血功能障碍、特定部位感染、妊娠期患者等），并提供相关依据。</w:t>
      </w:r>
    </w:p>
    <w:p w14:paraId="188D312C">
      <w:pPr>
        <w:overflowPunct w:val="0"/>
        <w:autoSpaceDE w:val="0"/>
        <w:autoSpaceDN w:val="0"/>
        <w:adjustRightInd w:val="0"/>
        <w:spacing w:line="520" w:lineRule="exact"/>
        <w:ind w:firstLine="640" w:firstLineChars="200"/>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3.申报产品上市历史</w:t>
      </w:r>
    </w:p>
    <w:p w14:paraId="5B71D630">
      <w:pPr>
        <w:spacing w:line="520" w:lineRule="exact"/>
        <w:ind w:firstLine="640" w:firstLineChars="200"/>
        <w:rPr>
          <w:rFonts w:ascii="Calibri" w:hAnsi="Calibri" w:eastAsia="仿宋_GB2312" w:cs="仿宋_GB2312"/>
          <w:snapToGrid w:val="0"/>
          <w:kern w:val="0"/>
          <w:sz w:val="32"/>
          <w:szCs w:val="32"/>
        </w:rPr>
      </w:pPr>
      <w:r>
        <w:rPr>
          <w:rFonts w:hint="eastAsia" w:ascii="Calibri" w:hAnsi="Calibri" w:eastAsia="仿宋_GB2312" w:cs="仿宋_GB2312"/>
          <w:snapToGrid w:val="0"/>
          <w:kern w:val="0"/>
          <w:sz w:val="32"/>
          <w:szCs w:val="32"/>
        </w:rPr>
        <w:t>如适用，提交申报产品在各国家或地区的上市批准时间、销售情况。如有不良事件和召回，分别对申报产品上市后发生的不良事件、召回的发生时间、申请人采取的处理和解决方案、相关部门的调查处理情况等进行描述。</w:t>
      </w:r>
    </w:p>
    <w:p w14:paraId="1E8ADDDF">
      <w:pPr>
        <w:spacing w:line="520" w:lineRule="exact"/>
        <w:ind w:firstLine="640" w:firstLineChars="200"/>
        <w:rPr>
          <w:rFonts w:ascii="Calibri" w:hAnsi="Calibri" w:eastAsia="仿宋_GB2312" w:cs="仿宋_GB2312"/>
          <w:snapToGrid w:val="0"/>
          <w:kern w:val="0"/>
          <w:sz w:val="32"/>
          <w:szCs w:val="32"/>
        </w:rPr>
      </w:pPr>
      <w:r>
        <w:rPr>
          <w:rFonts w:hint="eastAsia" w:ascii="Times New Roman" w:hAnsi="Times New Roman" w:eastAsia="仿宋_GB2312" w:cs="Times New Roman"/>
          <w:snapToGrid w:val="0"/>
          <w:kern w:val="0"/>
          <w:sz w:val="32"/>
          <w:szCs w:val="32"/>
          <w:lang w:val="en-US" w:eastAsia="zh-CN" w:bidi="ar-SA"/>
        </w:rPr>
        <w:t>4.</w:t>
      </w:r>
      <w:r>
        <w:rPr>
          <w:rFonts w:hint="eastAsia" w:ascii="Calibri" w:hAnsi="Calibri" w:eastAsia="仿宋_GB2312" w:cs="仿宋_GB2312"/>
          <w:snapToGrid w:val="0"/>
          <w:kern w:val="0"/>
          <w:sz w:val="32"/>
          <w:szCs w:val="32"/>
        </w:rPr>
        <w:t>其他</w:t>
      </w:r>
    </w:p>
    <w:p w14:paraId="42B637FC">
      <w:pPr>
        <w:spacing w:line="520" w:lineRule="exact"/>
        <w:ind w:firstLine="640" w:firstLineChars="200"/>
        <w:rPr>
          <w:rFonts w:ascii="Calibri" w:hAnsi="Calibri" w:eastAsia="仿宋_GB2312" w:cs="仿宋_GB2312"/>
          <w:snapToGrid w:val="0"/>
          <w:kern w:val="0"/>
          <w:sz w:val="32"/>
          <w:szCs w:val="32"/>
        </w:rPr>
      </w:pPr>
      <w:r>
        <w:rPr>
          <w:rFonts w:hint="eastAsia" w:ascii="Times New Roman" w:hAnsi="Times New Roman" w:eastAsia="仿宋_GB2312" w:cs="Times New Roman"/>
          <w:snapToGrid w:val="0"/>
          <w:kern w:val="0"/>
          <w:sz w:val="32"/>
          <w:szCs w:val="32"/>
          <w:lang w:val="en-US" w:eastAsia="zh-CN" w:bidi="ar-SA"/>
        </w:rPr>
        <w:t>4.1</w:t>
      </w:r>
      <w:r>
        <w:rPr>
          <w:rFonts w:hint="eastAsia" w:ascii="Calibri" w:hAnsi="Calibri" w:eastAsia="仿宋_GB2312" w:cs="仿宋_GB2312"/>
          <w:i w:val="0"/>
          <w:iCs w:val="0"/>
          <w:caps w:val="0"/>
          <w:snapToGrid w:val="0"/>
          <w:spacing w:val="0"/>
          <w:kern w:val="0"/>
          <w:sz w:val="32"/>
          <w:szCs w:val="32"/>
          <w:shd w:val="clear"/>
        </w:rPr>
        <w:t>若内窥镜膨腔泵为独立工作模式，与其他设备（如内窥镜、图像处理器等）无电气或数据接口交互，则无需提供其他设备的注册证信息和接口要求</w:t>
      </w:r>
      <w:r>
        <w:rPr>
          <w:rFonts w:hint="eastAsia" w:ascii="Calibri" w:hAnsi="Calibri" w:eastAsia="仿宋_GB2312" w:cs="仿宋_GB2312"/>
          <w:snapToGrid w:val="0"/>
          <w:kern w:val="0"/>
          <w:sz w:val="32"/>
          <w:szCs w:val="32"/>
        </w:rPr>
        <w:t>。</w:t>
      </w:r>
    </w:p>
    <w:p w14:paraId="7C1975AA">
      <w:pPr>
        <w:spacing w:line="520" w:lineRule="exact"/>
        <w:ind w:firstLine="640" w:firstLineChars="200"/>
        <w:rPr>
          <w:rFonts w:hint="eastAsia"/>
          <w:lang w:eastAsia="zh-CN"/>
        </w:rPr>
      </w:pPr>
      <w:r>
        <w:rPr>
          <w:rFonts w:hint="eastAsia" w:ascii="Times New Roman" w:hAnsi="Times New Roman" w:eastAsia="仿宋_GB2312" w:cs="Times New Roman"/>
          <w:snapToGrid w:val="0"/>
          <w:kern w:val="0"/>
          <w:sz w:val="32"/>
          <w:szCs w:val="32"/>
          <w:lang w:val="en-US" w:eastAsia="zh-CN" w:bidi="ar-SA"/>
        </w:rPr>
        <w:t>4.2</w:t>
      </w:r>
      <w:r>
        <w:rPr>
          <w:rFonts w:hint="eastAsia" w:ascii="Calibri" w:hAnsi="Calibri" w:eastAsia="仿宋_GB2312" w:cs="仿宋_GB2312"/>
          <w:i w:val="0"/>
          <w:iCs w:val="0"/>
          <w:caps w:val="0"/>
          <w:snapToGrid w:val="0"/>
          <w:spacing w:val="0"/>
          <w:kern w:val="0"/>
          <w:sz w:val="32"/>
          <w:szCs w:val="32"/>
          <w:shd w:val="clear"/>
        </w:rPr>
        <w:t>若内窥镜膨腔泵与其他设备存在接口通信，并实现交互控制，则应明确配合使用设备的注册证信息（包含设备型号、软件版本等）、接口类型、通信协议及数据格式等要求</w:t>
      </w:r>
      <w:r>
        <w:rPr>
          <w:rFonts w:hint="eastAsia" w:ascii="Calibri" w:hAnsi="Calibri" w:eastAsia="仿宋_GB2312" w:cs="仿宋_GB2312"/>
          <w:snapToGrid w:val="0"/>
          <w:kern w:val="0"/>
          <w:sz w:val="32"/>
          <w:szCs w:val="32"/>
        </w:rPr>
        <w:t>。</w:t>
      </w:r>
    </w:p>
    <w:p w14:paraId="46BCB71C">
      <w:pPr>
        <w:spacing w:line="560" w:lineRule="exact"/>
        <w:ind w:firstLine="640" w:firstLineChars="200"/>
        <w:rPr>
          <w:rFonts w:hint="eastAsia" w:ascii="Times New Roman" w:hAnsi="Times New Roman" w:eastAsia="楷体_GB2312" w:cs="Times New Roman"/>
          <w:sz w:val="32"/>
          <w:szCs w:val="32"/>
          <w:lang w:eastAsia="zh-CN"/>
        </w:rPr>
      </w:pPr>
      <w:bookmarkStart w:id="18" w:name="_Toc433873349"/>
      <w:r>
        <w:rPr>
          <w:rFonts w:hint="eastAsia" w:ascii="Times New Roman" w:hAnsi="Times New Roman" w:eastAsia="楷体_GB2312" w:cs="Times New Roman"/>
          <w:sz w:val="32"/>
          <w:szCs w:val="32"/>
          <w:lang w:eastAsia="zh-CN"/>
        </w:rPr>
        <w:t>（三）非临床资料</w:t>
      </w:r>
    </w:p>
    <w:p w14:paraId="1F505C3A">
      <w:pPr>
        <w:numPr>
          <w:ilvl w:val="0"/>
          <w:numId w:val="0"/>
        </w:num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产品风险管理资料</w:t>
      </w:r>
    </w:p>
    <w:p w14:paraId="7561F7AB">
      <w:pPr>
        <w:overflowPunct w:val="0"/>
        <w:autoSpaceDE w:val="0"/>
        <w:autoSpaceDN w:val="0"/>
        <w:spacing w:line="520" w:lineRule="exact"/>
        <w:ind w:firstLine="640" w:firstLineChars="200"/>
        <w:outlineLvl w:val="2"/>
        <w:rPr>
          <w:rFonts w:eastAsia="仿宋_GB2312"/>
          <w:snapToGrid w:val="0"/>
          <w:kern w:val="0"/>
          <w:sz w:val="32"/>
          <w:szCs w:val="32"/>
        </w:rPr>
      </w:pPr>
      <w:r>
        <w:rPr>
          <w:rFonts w:hint="eastAsia" w:eastAsia="仿宋_GB2312"/>
          <w:snapToGrid w:val="0"/>
          <w:kern w:val="0"/>
          <w:sz w:val="32"/>
          <w:szCs w:val="32"/>
        </w:rPr>
        <w:t>注册申请人需对产品全生命周期实施风险管理，依据</w:t>
      </w:r>
      <w:r>
        <w:rPr>
          <w:rFonts w:hint="default" w:ascii="Times New Roman" w:hAnsi="Times New Roman" w:eastAsia="仿宋_GB2312" w:cs="Times New Roman"/>
          <w:snapToGrid w:val="0"/>
          <w:kern w:val="0"/>
          <w:sz w:val="32"/>
          <w:szCs w:val="32"/>
        </w:rPr>
        <w:t>GB/T 42062</w:t>
      </w:r>
      <w:r>
        <w:rPr>
          <w:rFonts w:hint="eastAsia" w:eastAsia="仿宋_GB2312"/>
          <w:snapToGrid w:val="0"/>
          <w:kern w:val="0"/>
          <w:sz w:val="32"/>
          <w:szCs w:val="32"/>
        </w:rPr>
        <w:t xml:space="preserve"> 《医疗器械 风险管理对医疗器械的应用》，提供产品风险管理报告。</w:t>
      </w:r>
    </w:p>
    <w:p w14:paraId="02569479">
      <w:pPr>
        <w:overflowPunct w:val="0"/>
        <w:autoSpaceDE w:val="0"/>
        <w:autoSpaceDN w:val="0"/>
        <w:spacing w:line="520" w:lineRule="exact"/>
        <w:ind w:firstLine="640" w:firstLineChars="200"/>
        <w:outlineLvl w:val="2"/>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eastAsia="仿宋_GB2312"/>
          <w:snapToGrid w:val="0"/>
          <w:kern w:val="0"/>
          <w:sz w:val="32"/>
          <w:szCs w:val="32"/>
        </w:rPr>
        <w:t>申请人需重点说明：申报产品的研制阶段已对有关可能的危险及产生的风险进行了估计和评价，针对性地实施了降低风险的技术和管理方面的措施。产品性能测试对上述措施的有效性进行了验证，达到了通用和专用标准的要求。申请人对所有剩余风险进行了评价，全部达到可接受的水平。产品风险分析资料需为申请人关于产品安全性的承诺提供支持</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14:paraId="0CF16B15">
      <w:pPr>
        <w:spacing w:line="520" w:lineRule="exact"/>
        <w:ind w:firstLine="2520" w:firstLineChars="900"/>
        <w:jc w:val="both"/>
        <w:rPr>
          <w:rFonts w:ascii="黑体" w:hAnsi="黑体" w:eastAsia="黑体"/>
          <w:sz w:val="28"/>
          <w:szCs w:val="28"/>
        </w:rPr>
      </w:pPr>
      <w:r>
        <w:rPr>
          <w:rFonts w:ascii="黑体" w:hAnsi="黑体" w:eastAsia="黑体"/>
          <w:sz w:val="28"/>
          <w:szCs w:val="28"/>
        </w:rPr>
        <w:t>表</w:t>
      </w:r>
      <w:r>
        <w:rPr>
          <w:rFonts w:hint="eastAsia" w:ascii="黑体" w:hAnsi="黑体" w:eastAsia="黑体"/>
          <w:sz w:val="28"/>
          <w:szCs w:val="28"/>
        </w:rPr>
        <w:t>1</w:t>
      </w:r>
      <w:r>
        <w:rPr>
          <w:rFonts w:ascii="黑体" w:hAnsi="黑体" w:eastAsia="黑体"/>
          <w:sz w:val="28"/>
          <w:szCs w:val="28"/>
        </w:rPr>
        <w:t xml:space="preserve"> </w:t>
      </w:r>
      <w:r>
        <w:rPr>
          <w:rFonts w:hint="eastAsia" w:ascii="黑体" w:hAnsi="黑体" w:eastAsia="黑体"/>
          <w:sz w:val="28"/>
          <w:szCs w:val="28"/>
        </w:rPr>
        <w:t xml:space="preserve"> </w:t>
      </w:r>
      <w:r>
        <w:rPr>
          <w:rFonts w:ascii="黑体" w:hAnsi="黑体" w:eastAsia="黑体"/>
          <w:sz w:val="28"/>
          <w:szCs w:val="28"/>
        </w:rPr>
        <w:t>初始事件和环境</w:t>
      </w:r>
    </w:p>
    <w:tbl>
      <w:tblPr>
        <w:tblStyle w:val="9"/>
        <w:tblW w:w="9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0"/>
        <w:gridCol w:w="7244"/>
      </w:tblGrid>
      <w:tr w14:paraId="581E2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0" w:type="dxa"/>
            <w:vAlign w:val="center"/>
          </w:tcPr>
          <w:p w14:paraId="734162C4">
            <w:pPr>
              <w:autoSpaceDE w:val="0"/>
              <w:autoSpaceDN w:val="0"/>
              <w:adjustRightInd w:val="0"/>
              <w:spacing w:line="480" w:lineRule="exact"/>
              <w:ind w:right="-67" w:rightChars="-32"/>
              <w:jc w:val="center"/>
              <w:rPr>
                <w:rFonts w:ascii="黑体" w:hAnsi="黑体" w:eastAsia="黑体"/>
                <w:kern w:val="0"/>
                <w:sz w:val="28"/>
                <w:szCs w:val="28"/>
              </w:rPr>
            </w:pPr>
            <w:r>
              <w:rPr>
                <w:rFonts w:ascii="黑体" w:hAnsi="黑体" w:eastAsia="黑体"/>
                <w:kern w:val="0"/>
                <w:sz w:val="28"/>
                <w:szCs w:val="28"/>
              </w:rPr>
              <w:t>通用类别</w:t>
            </w:r>
          </w:p>
        </w:tc>
        <w:tc>
          <w:tcPr>
            <w:tcW w:w="7244" w:type="dxa"/>
            <w:vAlign w:val="center"/>
          </w:tcPr>
          <w:p w14:paraId="033381CA">
            <w:pPr>
              <w:autoSpaceDE w:val="0"/>
              <w:autoSpaceDN w:val="0"/>
              <w:adjustRightInd w:val="0"/>
              <w:spacing w:line="480" w:lineRule="exact"/>
              <w:ind w:right="-67" w:rightChars="-32"/>
              <w:jc w:val="center"/>
              <w:rPr>
                <w:rFonts w:ascii="黑体" w:hAnsi="黑体" w:eastAsia="黑体"/>
                <w:kern w:val="0"/>
                <w:sz w:val="28"/>
                <w:szCs w:val="28"/>
              </w:rPr>
            </w:pPr>
            <w:r>
              <w:rPr>
                <w:rFonts w:ascii="黑体" w:hAnsi="黑体" w:eastAsia="黑体"/>
                <w:kern w:val="0"/>
                <w:sz w:val="28"/>
                <w:szCs w:val="28"/>
              </w:rPr>
              <w:t>初始</w:t>
            </w:r>
            <w:r>
              <w:rPr>
                <w:rFonts w:hint="eastAsia" w:ascii="黑体" w:hAnsi="黑体" w:eastAsia="黑体"/>
                <w:kern w:val="0"/>
                <w:sz w:val="28"/>
                <w:szCs w:val="28"/>
                <w:lang w:eastAsia="zh-CN"/>
              </w:rPr>
              <w:t>事件</w:t>
            </w:r>
            <w:r>
              <w:rPr>
                <w:rFonts w:ascii="黑体" w:hAnsi="黑体" w:eastAsia="黑体"/>
                <w:kern w:val="0"/>
                <w:sz w:val="28"/>
                <w:szCs w:val="28"/>
              </w:rPr>
              <w:t>和环境示例</w:t>
            </w:r>
          </w:p>
        </w:tc>
      </w:tr>
      <w:tr w14:paraId="66CE6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jc w:val="center"/>
        </w:trPr>
        <w:tc>
          <w:tcPr>
            <w:tcW w:w="2360" w:type="dxa"/>
            <w:vAlign w:val="center"/>
          </w:tcPr>
          <w:p w14:paraId="0031777B">
            <w:pPr>
              <w:autoSpaceDE w:val="0"/>
              <w:autoSpaceDN w:val="0"/>
              <w:adjustRightInd w:val="0"/>
              <w:spacing w:line="480" w:lineRule="exact"/>
              <w:ind w:right="-67" w:rightChars="-32"/>
              <w:jc w:val="center"/>
              <w:rPr>
                <w:rFonts w:eastAsia="仿宋_GB2312"/>
                <w:kern w:val="0"/>
                <w:sz w:val="28"/>
                <w:szCs w:val="28"/>
              </w:rPr>
            </w:pPr>
            <w:r>
              <w:rPr>
                <w:rFonts w:eastAsia="仿宋_GB2312"/>
                <w:kern w:val="0"/>
                <w:sz w:val="28"/>
                <w:szCs w:val="28"/>
              </w:rPr>
              <w:t>不完整的要求</w:t>
            </w:r>
          </w:p>
        </w:tc>
        <w:tc>
          <w:tcPr>
            <w:tcW w:w="7244" w:type="dxa"/>
            <w:vAlign w:val="center"/>
          </w:tcPr>
          <w:p w14:paraId="3012EAFC">
            <w:pPr>
              <w:autoSpaceDE w:val="0"/>
              <w:autoSpaceDN w:val="0"/>
              <w:adjustRightInd w:val="0"/>
              <w:spacing w:line="480" w:lineRule="exact"/>
              <w:ind w:right="-67" w:rightChars="-32"/>
              <w:rPr>
                <w:rFonts w:eastAsia="仿宋_GB2312"/>
                <w:kern w:val="0"/>
                <w:sz w:val="28"/>
                <w:szCs w:val="28"/>
              </w:rPr>
            </w:pPr>
            <w:r>
              <w:rPr>
                <w:rFonts w:eastAsia="仿宋_GB2312"/>
                <w:kern w:val="0"/>
                <w:sz w:val="28"/>
                <w:szCs w:val="28"/>
              </w:rPr>
              <w:t>性能要求不符合</w:t>
            </w:r>
          </w:p>
          <w:p w14:paraId="4B67E462">
            <w:pPr>
              <w:autoSpaceDE w:val="0"/>
              <w:autoSpaceDN w:val="0"/>
              <w:adjustRightInd w:val="0"/>
              <w:spacing w:line="480" w:lineRule="exact"/>
              <w:ind w:right="-67" w:rightChars="-32"/>
              <w:rPr>
                <w:rFonts w:eastAsia="仿宋_GB2312"/>
                <w:kern w:val="0"/>
                <w:sz w:val="28"/>
                <w:szCs w:val="28"/>
              </w:rPr>
            </w:pPr>
            <w:r>
              <w:rPr>
                <w:rFonts w:eastAsia="仿宋_GB2312"/>
                <w:kern w:val="0"/>
                <w:sz w:val="28"/>
                <w:szCs w:val="28"/>
              </w:rPr>
              <w:t>测量准确性等不符合要求</w:t>
            </w:r>
          </w:p>
          <w:p w14:paraId="13A76F02">
            <w:pPr>
              <w:autoSpaceDE w:val="0"/>
              <w:autoSpaceDN w:val="0"/>
              <w:adjustRightInd w:val="0"/>
              <w:spacing w:line="480" w:lineRule="exact"/>
              <w:ind w:right="-67" w:rightChars="-32"/>
              <w:rPr>
                <w:rFonts w:eastAsia="仿宋_GB2312"/>
                <w:kern w:val="0"/>
                <w:sz w:val="28"/>
                <w:szCs w:val="28"/>
              </w:rPr>
            </w:pPr>
            <w:r>
              <w:rPr>
                <w:rFonts w:eastAsia="仿宋_GB2312"/>
                <w:kern w:val="0"/>
                <w:sz w:val="28"/>
                <w:szCs w:val="28"/>
              </w:rPr>
              <w:t>说明书未对</w:t>
            </w:r>
            <w:r>
              <w:rPr>
                <w:rFonts w:hint="eastAsia" w:eastAsia="仿宋_GB2312"/>
                <w:kern w:val="0"/>
                <w:sz w:val="28"/>
                <w:szCs w:val="28"/>
                <w:lang w:eastAsia="zh-CN"/>
              </w:rPr>
              <w:t>膨腔泵</w:t>
            </w:r>
            <w:r>
              <w:rPr>
                <w:rFonts w:eastAsia="仿宋_GB2312"/>
                <w:kern w:val="0"/>
                <w:sz w:val="28"/>
                <w:szCs w:val="28"/>
              </w:rPr>
              <w:t>的使用操作方法进行准确的描述与说明</w:t>
            </w:r>
          </w:p>
        </w:tc>
      </w:tr>
      <w:tr w14:paraId="4C688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2360" w:type="dxa"/>
            <w:vAlign w:val="center"/>
          </w:tcPr>
          <w:p w14:paraId="4218BCD3">
            <w:pPr>
              <w:autoSpaceDE w:val="0"/>
              <w:autoSpaceDN w:val="0"/>
              <w:adjustRightInd w:val="0"/>
              <w:spacing w:line="480" w:lineRule="exact"/>
              <w:ind w:right="-67" w:rightChars="-32"/>
              <w:jc w:val="center"/>
              <w:rPr>
                <w:rFonts w:eastAsia="仿宋_GB2312"/>
                <w:kern w:val="0"/>
                <w:sz w:val="28"/>
                <w:szCs w:val="28"/>
              </w:rPr>
            </w:pPr>
            <w:r>
              <w:rPr>
                <w:rFonts w:eastAsia="仿宋_GB2312"/>
                <w:kern w:val="0"/>
                <w:sz w:val="28"/>
                <w:szCs w:val="28"/>
              </w:rPr>
              <w:t>制造过程</w:t>
            </w:r>
          </w:p>
        </w:tc>
        <w:tc>
          <w:tcPr>
            <w:tcW w:w="7244" w:type="dxa"/>
            <w:vAlign w:val="center"/>
          </w:tcPr>
          <w:p w14:paraId="32262548">
            <w:pPr>
              <w:autoSpaceDE w:val="0"/>
              <w:autoSpaceDN w:val="0"/>
              <w:adjustRightInd w:val="0"/>
              <w:spacing w:line="480" w:lineRule="exact"/>
              <w:ind w:right="-67" w:rightChars="-32"/>
              <w:rPr>
                <w:rFonts w:eastAsia="仿宋_GB2312"/>
                <w:kern w:val="0"/>
                <w:sz w:val="28"/>
                <w:szCs w:val="28"/>
              </w:rPr>
            </w:pPr>
            <w:r>
              <w:rPr>
                <w:rFonts w:eastAsia="仿宋_GB2312"/>
                <w:kern w:val="0"/>
                <w:sz w:val="28"/>
                <w:szCs w:val="28"/>
              </w:rPr>
              <w:t>控制程序（包括软件）修改未经验证，导致产品的测量误差不符合要求</w:t>
            </w:r>
            <w:r>
              <w:rPr>
                <w:rFonts w:hint="eastAsia" w:eastAsia="仿宋_GB2312"/>
                <w:kern w:val="0"/>
                <w:sz w:val="28"/>
                <w:szCs w:val="28"/>
              </w:rPr>
              <w:t>。</w:t>
            </w:r>
          </w:p>
          <w:p w14:paraId="7C02363B">
            <w:pPr>
              <w:autoSpaceDE w:val="0"/>
              <w:autoSpaceDN w:val="0"/>
              <w:adjustRightInd w:val="0"/>
              <w:spacing w:line="480" w:lineRule="exact"/>
              <w:ind w:right="-67" w:rightChars="-32"/>
              <w:rPr>
                <w:rFonts w:eastAsia="仿宋_GB2312"/>
                <w:kern w:val="0"/>
                <w:sz w:val="28"/>
                <w:szCs w:val="28"/>
              </w:rPr>
            </w:pPr>
            <w:r>
              <w:rPr>
                <w:rFonts w:eastAsia="仿宋_GB2312"/>
                <w:kern w:val="0"/>
                <w:sz w:val="28"/>
                <w:szCs w:val="28"/>
              </w:rPr>
              <w:t>生产过程中关键工序控制点未进行检测，导致部件、整机不合格</w:t>
            </w:r>
            <w:r>
              <w:rPr>
                <w:rFonts w:hint="eastAsia" w:eastAsia="仿宋_GB2312"/>
                <w:kern w:val="0"/>
                <w:sz w:val="28"/>
                <w:szCs w:val="28"/>
              </w:rPr>
              <w:t>。</w:t>
            </w:r>
          </w:p>
          <w:p w14:paraId="5B09748A">
            <w:pPr>
              <w:autoSpaceDE w:val="0"/>
              <w:autoSpaceDN w:val="0"/>
              <w:adjustRightInd w:val="0"/>
              <w:spacing w:line="480" w:lineRule="exact"/>
              <w:ind w:right="-67" w:rightChars="-32"/>
              <w:rPr>
                <w:rFonts w:eastAsia="仿宋_GB2312"/>
                <w:kern w:val="0"/>
                <w:sz w:val="28"/>
                <w:szCs w:val="28"/>
              </w:rPr>
            </w:pPr>
            <w:r>
              <w:rPr>
                <w:rFonts w:eastAsia="仿宋_GB2312"/>
                <w:kern w:val="0"/>
                <w:sz w:val="28"/>
                <w:szCs w:val="28"/>
              </w:rPr>
              <w:t>供方的控制不充分：外购件、外协件供方选择不当，外购件、外协件未进行有效进货检验等</w:t>
            </w:r>
            <w:r>
              <w:rPr>
                <w:rFonts w:hint="eastAsia" w:eastAsia="仿宋_GB2312"/>
                <w:kern w:val="0"/>
                <w:sz w:val="28"/>
                <w:szCs w:val="28"/>
              </w:rPr>
              <w:t>。</w:t>
            </w:r>
          </w:p>
        </w:tc>
      </w:tr>
      <w:tr w14:paraId="3879E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0" w:type="dxa"/>
            <w:vAlign w:val="center"/>
          </w:tcPr>
          <w:p w14:paraId="059BA32C">
            <w:pPr>
              <w:autoSpaceDE w:val="0"/>
              <w:autoSpaceDN w:val="0"/>
              <w:adjustRightInd w:val="0"/>
              <w:spacing w:line="480" w:lineRule="exact"/>
              <w:ind w:right="-67" w:rightChars="-32"/>
              <w:jc w:val="center"/>
              <w:rPr>
                <w:rFonts w:eastAsia="仿宋_GB2312"/>
                <w:kern w:val="0"/>
                <w:sz w:val="28"/>
                <w:szCs w:val="28"/>
              </w:rPr>
            </w:pPr>
            <w:r>
              <w:rPr>
                <w:rFonts w:eastAsia="仿宋_GB2312"/>
                <w:kern w:val="0"/>
                <w:sz w:val="28"/>
                <w:szCs w:val="28"/>
              </w:rPr>
              <w:t>运输和贮存</w:t>
            </w:r>
          </w:p>
        </w:tc>
        <w:tc>
          <w:tcPr>
            <w:tcW w:w="7244" w:type="dxa"/>
            <w:vAlign w:val="center"/>
          </w:tcPr>
          <w:p w14:paraId="6FE7EA78">
            <w:pPr>
              <w:autoSpaceDE w:val="0"/>
              <w:autoSpaceDN w:val="0"/>
              <w:adjustRightInd w:val="0"/>
              <w:spacing w:line="480" w:lineRule="exact"/>
              <w:ind w:right="-67" w:rightChars="-32"/>
              <w:rPr>
                <w:rFonts w:eastAsia="仿宋_GB2312"/>
                <w:kern w:val="0"/>
                <w:sz w:val="28"/>
                <w:szCs w:val="28"/>
              </w:rPr>
            </w:pPr>
            <w:r>
              <w:rPr>
                <w:rFonts w:eastAsia="仿宋_GB2312"/>
                <w:kern w:val="0"/>
                <w:sz w:val="28"/>
                <w:szCs w:val="28"/>
              </w:rPr>
              <w:t>不适当的包装</w:t>
            </w:r>
          </w:p>
          <w:p w14:paraId="0B17FEBE">
            <w:pPr>
              <w:autoSpaceDE w:val="0"/>
              <w:autoSpaceDN w:val="0"/>
              <w:adjustRightInd w:val="0"/>
              <w:spacing w:line="480" w:lineRule="exact"/>
              <w:ind w:right="-67" w:rightChars="-32"/>
              <w:rPr>
                <w:rFonts w:eastAsia="仿宋_GB2312"/>
                <w:kern w:val="0"/>
                <w:sz w:val="28"/>
                <w:szCs w:val="28"/>
              </w:rPr>
            </w:pPr>
            <w:r>
              <w:rPr>
                <w:rFonts w:eastAsia="仿宋_GB2312"/>
                <w:kern w:val="0"/>
                <w:sz w:val="28"/>
                <w:szCs w:val="28"/>
              </w:rPr>
              <w:t>不恰当的环境条件等</w:t>
            </w:r>
          </w:p>
        </w:tc>
      </w:tr>
      <w:tr w14:paraId="38B33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0" w:type="dxa"/>
            <w:vAlign w:val="center"/>
          </w:tcPr>
          <w:p w14:paraId="09F6F8A4">
            <w:pPr>
              <w:autoSpaceDE w:val="0"/>
              <w:autoSpaceDN w:val="0"/>
              <w:adjustRightInd w:val="0"/>
              <w:spacing w:line="480" w:lineRule="exact"/>
              <w:ind w:right="-67" w:rightChars="-32"/>
              <w:jc w:val="center"/>
              <w:rPr>
                <w:rFonts w:eastAsia="仿宋_GB2312"/>
                <w:kern w:val="0"/>
                <w:sz w:val="28"/>
                <w:szCs w:val="28"/>
              </w:rPr>
            </w:pPr>
            <w:r>
              <w:rPr>
                <w:rFonts w:eastAsia="仿宋_GB2312"/>
                <w:kern w:val="0"/>
                <w:sz w:val="28"/>
                <w:szCs w:val="28"/>
              </w:rPr>
              <w:t>环境因素</w:t>
            </w:r>
          </w:p>
        </w:tc>
        <w:tc>
          <w:tcPr>
            <w:tcW w:w="7244" w:type="dxa"/>
            <w:vAlign w:val="center"/>
          </w:tcPr>
          <w:p w14:paraId="5A1E3A6E">
            <w:pPr>
              <w:autoSpaceDE w:val="0"/>
              <w:autoSpaceDN w:val="0"/>
              <w:adjustRightInd w:val="0"/>
              <w:spacing w:line="480" w:lineRule="exact"/>
              <w:ind w:right="-67" w:rightChars="-32"/>
              <w:rPr>
                <w:rFonts w:eastAsia="仿宋_GB2312"/>
                <w:kern w:val="0"/>
                <w:sz w:val="28"/>
                <w:szCs w:val="28"/>
              </w:rPr>
            </w:pPr>
            <w:r>
              <w:rPr>
                <w:rFonts w:eastAsia="仿宋_GB2312"/>
                <w:kern w:val="0"/>
                <w:sz w:val="28"/>
                <w:szCs w:val="28"/>
              </w:rPr>
              <w:t>过冷、过热的环境</w:t>
            </w:r>
          </w:p>
          <w:p w14:paraId="75AA727C">
            <w:pPr>
              <w:autoSpaceDE w:val="0"/>
              <w:autoSpaceDN w:val="0"/>
              <w:adjustRightInd w:val="0"/>
              <w:spacing w:line="480" w:lineRule="exact"/>
              <w:ind w:right="-67" w:rightChars="-32"/>
              <w:rPr>
                <w:rFonts w:eastAsia="仿宋_GB2312"/>
                <w:kern w:val="0"/>
                <w:sz w:val="28"/>
                <w:szCs w:val="28"/>
              </w:rPr>
            </w:pPr>
            <w:r>
              <w:rPr>
                <w:rFonts w:eastAsia="仿宋_GB2312"/>
                <w:kern w:val="0"/>
                <w:sz w:val="28"/>
                <w:szCs w:val="28"/>
              </w:rPr>
              <w:t>不适当的能量供应</w:t>
            </w:r>
          </w:p>
          <w:p w14:paraId="0F174916">
            <w:pPr>
              <w:autoSpaceDE w:val="0"/>
              <w:autoSpaceDN w:val="0"/>
              <w:adjustRightInd w:val="0"/>
              <w:spacing w:line="480" w:lineRule="exact"/>
              <w:ind w:right="-67" w:rightChars="-32"/>
              <w:rPr>
                <w:rFonts w:eastAsia="仿宋_GB2312"/>
                <w:kern w:val="0"/>
                <w:sz w:val="28"/>
                <w:szCs w:val="28"/>
              </w:rPr>
            </w:pPr>
            <w:r>
              <w:rPr>
                <w:rFonts w:eastAsia="仿宋_GB2312"/>
                <w:kern w:val="0"/>
                <w:sz w:val="28"/>
                <w:szCs w:val="28"/>
              </w:rPr>
              <w:t>电磁场等</w:t>
            </w:r>
          </w:p>
        </w:tc>
      </w:tr>
      <w:tr w14:paraId="1242B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2360" w:type="dxa"/>
            <w:vAlign w:val="center"/>
          </w:tcPr>
          <w:p w14:paraId="34A88ED9">
            <w:pPr>
              <w:autoSpaceDE w:val="0"/>
              <w:autoSpaceDN w:val="0"/>
              <w:adjustRightInd w:val="0"/>
              <w:spacing w:line="480" w:lineRule="exact"/>
              <w:ind w:right="-67" w:rightChars="-32"/>
              <w:jc w:val="center"/>
              <w:rPr>
                <w:rFonts w:eastAsia="仿宋_GB2312"/>
                <w:kern w:val="0"/>
                <w:sz w:val="28"/>
                <w:szCs w:val="28"/>
              </w:rPr>
            </w:pPr>
            <w:r>
              <w:rPr>
                <w:rFonts w:eastAsia="仿宋_GB2312"/>
                <w:kern w:val="0"/>
                <w:sz w:val="28"/>
                <w:szCs w:val="28"/>
              </w:rPr>
              <w:t>清洁、消毒和灭菌</w:t>
            </w:r>
          </w:p>
        </w:tc>
        <w:tc>
          <w:tcPr>
            <w:tcW w:w="7244" w:type="dxa"/>
            <w:vAlign w:val="center"/>
          </w:tcPr>
          <w:p w14:paraId="0567967B">
            <w:pPr>
              <w:autoSpaceDE w:val="0"/>
              <w:autoSpaceDN w:val="0"/>
              <w:adjustRightInd w:val="0"/>
              <w:spacing w:line="480" w:lineRule="exact"/>
              <w:ind w:right="-67" w:rightChars="-32"/>
              <w:rPr>
                <w:rFonts w:eastAsia="仿宋_GB2312"/>
                <w:kern w:val="0"/>
                <w:sz w:val="28"/>
                <w:szCs w:val="28"/>
              </w:rPr>
            </w:pPr>
            <w:r>
              <w:rPr>
                <w:rFonts w:eastAsia="仿宋_GB2312"/>
                <w:kern w:val="0"/>
                <w:sz w:val="28"/>
                <w:szCs w:val="28"/>
              </w:rPr>
              <w:t>使用者未按要求进行清洁、更换等</w:t>
            </w:r>
          </w:p>
        </w:tc>
      </w:tr>
      <w:tr w14:paraId="52923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2360" w:type="dxa"/>
            <w:vAlign w:val="center"/>
          </w:tcPr>
          <w:p w14:paraId="2334E180">
            <w:pPr>
              <w:autoSpaceDE w:val="0"/>
              <w:autoSpaceDN w:val="0"/>
              <w:adjustRightInd w:val="0"/>
              <w:spacing w:line="480" w:lineRule="exact"/>
              <w:ind w:right="-67" w:rightChars="-32"/>
              <w:jc w:val="center"/>
              <w:rPr>
                <w:rFonts w:eastAsia="仿宋_GB2312"/>
                <w:kern w:val="0"/>
                <w:sz w:val="28"/>
                <w:szCs w:val="28"/>
              </w:rPr>
            </w:pPr>
            <w:r>
              <w:rPr>
                <w:rFonts w:eastAsia="仿宋_GB2312"/>
                <w:kern w:val="0"/>
                <w:sz w:val="28"/>
                <w:szCs w:val="28"/>
              </w:rPr>
              <w:t>处置和废弃</w:t>
            </w:r>
          </w:p>
        </w:tc>
        <w:tc>
          <w:tcPr>
            <w:tcW w:w="7244" w:type="dxa"/>
            <w:vAlign w:val="center"/>
          </w:tcPr>
          <w:p w14:paraId="78D05B46">
            <w:pPr>
              <w:autoSpaceDE w:val="0"/>
              <w:autoSpaceDN w:val="0"/>
              <w:adjustRightInd w:val="0"/>
              <w:spacing w:line="480" w:lineRule="exact"/>
              <w:ind w:right="-67" w:rightChars="-32"/>
              <w:rPr>
                <w:rFonts w:eastAsia="仿宋_GB2312"/>
                <w:kern w:val="0"/>
                <w:sz w:val="28"/>
                <w:szCs w:val="28"/>
              </w:rPr>
            </w:pPr>
            <w:r>
              <w:rPr>
                <w:rFonts w:eastAsia="仿宋_GB2312"/>
                <w:kern w:val="0"/>
                <w:sz w:val="28"/>
                <w:szCs w:val="28"/>
              </w:rPr>
              <w:t>产品使用后处置问题等</w:t>
            </w:r>
          </w:p>
        </w:tc>
      </w:tr>
      <w:tr w14:paraId="7481B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2360" w:type="dxa"/>
            <w:vAlign w:val="center"/>
          </w:tcPr>
          <w:p w14:paraId="1C799571">
            <w:pPr>
              <w:autoSpaceDE w:val="0"/>
              <w:autoSpaceDN w:val="0"/>
              <w:adjustRightInd w:val="0"/>
              <w:spacing w:line="480" w:lineRule="exact"/>
              <w:ind w:right="-67" w:rightChars="-32"/>
              <w:jc w:val="center"/>
              <w:rPr>
                <w:rFonts w:eastAsia="仿宋_GB2312"/>
                <w:kern w:val="0"/>
                <w:sz w:val="28"/>
                <w:szCs w:val="28"/>
              </w:rPr>
            </w:pPr>
            <w:r>
              <w:rPr>
                <w:rFonts w:eastAsia="仿宋_GB2312"/>
                <w:kern w:val="0"/>
                <w:sz w:val="28"/>
                <w:szCs w:val="28"/>
              </w:rPr>
              <w:t>人为因素</w:t>
            </w:r>
          </w:p>
        </w:tc>
        <w:tc>
          <w:tcPr>
            <w:tcW w:w="7244" w:type="dxa"/>
            <w:vAlign w:val="center"/>
          </w:tcPr>
          <w:p w14:paraId="6FFA2CF0">
            <w:pPr>
              <w:autoSpaceDE w:val="0"/>
              <w:autoSpaceDN w:val="0"/>
              <w:adjustRightInd w:val="0"/>
              <w:spacing w:line="480" w:lineRule="exact"/>
              <w:ind w:right="-67" w:rightChars="-32"/>
              <w:rPr>
                <w:rFonts w:eastAsia="仿宋_GB2312"/>
                <w:kern w:val="0"/>
                <w:sz w:val="28"/>
                <w:szCs w:val="28"/>
              </w:rPr>
            </w:pPr>
            <w:r>
              <w:rPr>
                <w:rFonts w:eastAsia="仿宋_GB2312"/>
                <w:kern w:val="0"/>
                <w:sz w:val="28"/>
                <w:szCs w:val="28"/>
              </w:rPr>
              <w:t>设计缺陷引发的使用错误等</w:t>
            </w:r>
          </w:p>
          <w:p w14:paraId="6ABEE266">
            <w:pPr>
              <w:autoSpaceDE w:val="0"/>
              <w:autoSpaceDN w:val="0"/>
              <w:adjustRightInd w:val="0"/>
              <w:spacing w:line="480" w:lineRule="exact"/>
              <w:ind w:right="-67" w:rightChars="-32"/>
              <w:rPr>
                <w:rFonts w:eastAsia="仿宋_GB2312"/>
                <w:kern w:val="0"/>
                <w:sz w:val="28"/>
                <w:szCs w:val="28"/>
              </w:rPr>
            </w:pPr>
            <w:r>
              <w:rPr>
                <w:rFonts w:eastAsia="仿宋_GB2312"/>
                <w:kern w:val="0"/>
                <w:sz w:val="28"/>
                <w:szCs w:val="28"/>
              </w:rPr>
              <w:t>——易混淆的或缺少使用说明书</w:t>
            </w:r>
          </w:p>
          <w:p w14:paraId="6423106C">
            <w:pPr>
              <w:autoSpaceDE w:val="0"/>
              <w:autoSpaceDN w:val="0"/>
              <w:adjustRightInd w:val="0"/>
              <w:spacing w:line="480" w:lineRule="exact"/>
              <w:ind w:right="-67" w:rightChars="-32"/>
              <w:rPr>
                <w:rFonts w:eastAsia="仿宋_GB2312"/>
                <w:kern w:val="0"/>
                <w:sz w:val="28"/>
                <w:szCs w:val="28"/>
              </w:rPr>
            </w:pPr>
            <w:r>
              <w:rPr>
                <w:rFonts w:eastAsia="仿宋_GB2312"/>
                <w:kern w:val="0"/>
                <w:sz w:val="28"/>
                <w:szCs w:val="28"/>
              </w:rPr>
              <w:t>——不正确的测量和计量</w:t>
            </w:r>
          </w:p>
        </w:tc>
      </w:tr>
      <w:tr w14:paraId="5A716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2360" w:type="dxa"/>
            <w:vAlign w:val="center"/>
          </w:tcPr>
          <w:p w14:paraId="20F8B6D8">
            <w:pPr>
              <w:autoSpaceDE w:val="0"/>
              <w:autoSpaceDN w:val="0"/>
              <w:adjustRightInd w:val="0"/>
              <w:spacing w:line="480" w:lineRule="exact"/>
              <w:ind w:right="-67" w:rightChars="-32"/>
              <w:jc w:val="center"/>
              <w:rPr>
                <w:rFonts w:eastAsia="仿宋_GB2312"/>
                <w:kern w:val="0"/>
                <w:sz w:val="28"/>
                <w:szCs w:val="28"/>
              </w:rPr>
            </w:pPr>
            <w:r>
              <w:rPr>
                <w:rFonts w:eastAsia="仿宋_GB2312"/>
                <w:kern w:val="0"/>
                <w:sz w:val="28"/>
                <w:szCs w:val="28"/>
              </w:rPr>
              <w:t>失效模式</w:t>
            </w:r>
          </w:p>
        </w:tc>
        <w:tc>
          <w:tcPr>
            <w:tcW w:w="7244" w:type="dxa"/>
            <w:vAlign w:val="center"/>
          </w:tcPr>
          <w:p w14:paraId="6EBC47C9">
            <w:pPr>
              <w:autoSpaceDE w:val="0"/>
              <w:autoSpaceDN w:val="0"/>
              <w:adjustRightInd w:val="0"/>
              <w:spacing w:line="480" w:lineRule="exact"/>
              <w:ind w:right="-67" w:rightChars="-32"/>
              <w:rPr>
                <w:rFonts w:eastAsia="仿宋_GB2312"/>
                <w:kern w:val="0"/>
                <w:sz w:val="28"/>
                <w:szCs w:val="28"/>
              </w:rPr>
            </w:pPr>
            <w:r>
              <w:rPr>
                <w:rFonts w:eastAsia="仿宋_GB2312"/>
                <w:kern w:val="0"/>
                <w:sz w:val="28"/>
                <w:szCs w:val="28"/>
              </w:rPr>
              <w:t>由于老化、磨损和重复使用而导致功能退化/疲劳失效等</w:t>
            </w:r>
          </w:p>
        </w:tc>
      </w:tr>
    </w:tbl>
    <w:p w14:paraId="7CC64110">
      <w:pPr>
        <w:spacing w:line="520" w:lineRule="exact"/>
        <w:jc w:val="center"/>
        <w:rPr>
          <w:rFonts w:ascii="黑体" w:hAnsi="黑体" w:eastAsia="黑体"/>
          <w:sz w:val="28"/>
          <w:szCs w:val="28"/>
        </w:rPr>
      </w:pPr>
      <w:r>
        <w:rPr>
          <w:rFonts w:ascii="黑体" w:hAnsi="黑体" w:eastAsia="黑体"/>
          <w:sz w:val="28"/>
          <w:szCs w:val="28"/>
        </w:rPr>
        <w:t>表</w:t>
      </w:r>
      <w:r>
        <w:rPr>
          <w:rFonts w:hint="eastAsia" w:ascii="黑体" w:hAnsi="黑体" w:eastAsia="黑体"/>
          <w:sz w:val="28"/>
          <w:szCs w:val="28"/>
        </w:rPr>
        <w:t xml:space="preserve">2  </w:t>
      </w:r>
      <w:r>
        <w:rPr>
          <w:rFonts w:ascii="黑体" w:hAnsi="黑体" w:eastAsia="黑体"/>
          <w:sz w:val="28"/>
          <w:szCs w:val="28"/>
        </w:rPr>
        <w:t>危险（源）、可预见的事件序列、危险情况和</w:t>
      </w:r>
    </w:p>
    <w:p w14:paraId="2C019BAF">
      <w:pPr>
        <w:spacing w:line="520" w:lineRule="exact"/>
        <w:jc w:val="center"/>
        <w:rPr>
          <w:rFonts w:ascii="黑体" w:hAnsi="黑体" w:eastAsia="黑体"/>
          <w:sz w:val="28"/>
          <w:szCs w:val="28"/>
        </w:rPr>
      </w:pPr>
      <w:r>
        <w:rPr>
          <w:rFonts w:ascii="黑体" w:hAnsi="黑体" w:eastAsia="黑体"/>
          <w:sz w:val="28"/>
          <w:szCs w:val="28"/>
        </w:rPr>
        <w:t>可</w:t>
      </w:r>
      <w:r>
        <w:rPr>
          <w:rFonts w:hint="eastAsia" w:ascii="黑体" w:hAnsi="黑体" w:eastAsia="黑体"/>
          <w:sz w:val="28"/>
          <w:szCs w:val="28"/>
        </w:rPr>
        <w:t>能</w:t>
      </w:r>
      <w:r>
        <w:rPr>
          <w:rFonts w:ascii="黑体" w:hAnsi="黑体" w:eastAsia="黑体"/>
          <w:sz w:val="28"/>
          <w:szCs w:val="28"/>
        </w:rPr>
        <w:t>发生的损害之间的关系示例</w:t>
      </w:r>
    </w:p>
    <w:tbl>
      <w:tblPr>
        <w:tblStyle w:val="9"/>
        <w:tblW w:w="9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3060"/>
        <w:gridCol w:w="2666"/>
        <w:gridCol w:w="2337"/>
      </w:tblGrid>
      <w:tr w14:paraId="0B7A8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vAlign w:val="center"/>
          </w:tcPr>
          <w:p w14:paraId="6954321B">
            <w:pPr>
              <w:autoSpaceDE w:val="0"/>
              <w:autoSpaceDN w:val="0"/>
              <w:adjustRightInd w:val="0"/>
              <w:spacing w:line="440" w:lineRule="exact"/>
              <w:ind w:right="-67" w:rightChars="-32"/>
              <w:jc w:val="center"/>
              <w:rPr>
                <w:rFonts w:ascii="黑体" w:hAnsi="黑体" w:eastAsia="黑体"/>
                <w:kern w:val="0"/>
                <w:sz w:val="28"/>
                <w:szCs w:val="28"/>
              </w:rPr>
            </w:pPr>
            <w:r>
              <w:rPr>
                <w:rFonts w:ascii="黑体" w:hAnsi="黑体" w:eastAsia="黑体"/>
                <w:kern w:val="0"/>
                <w:sz w:val="28"/>
                <w:szCs w:val="28"/>
              </w:rPr>
              <w:t>危险（源）</w:t>
            </w:r>
          </w:p>
        </w:tc>
        <w:tc>
          <w:tcPr>
            <w:tcW w:w="3060" w:type="dxa"/>
            <w:vAlign w:val="center"/>
          </w:tcPr>
          <w:p w14:paraId="57070E6D">
            <w:pPr>
              <w:autoSpaceDE w:val="0"/>
              <w:autoSpaceDN w:val="0"/>
              <w:adjustRightInd w:val="0"/>
              <w:spacing w:line="440" w:lineRule="exact"/>
              <w:ind w:right="-67" w:rightChars="-32"/>
              <w:rPr>
                <w:rFonts w:ascii="黑体" w:hAnsi="黑体" w:eastAsia="黑体"/>
                <w:kern w:val="0"/>
                <w:sz w:val="28"/>
                <w:szCs w:val="28"/>
              </w:rPr>
            </w:pPr>
            <w:r>
              <w:rPr>
                <w:rFonts w:ascii="黑体" w:hAnsi="黑体" w:eastAsia="黑体"/>
                <w:kern w:val="0"/>
                <w:sz w:val="28"/>
                <w:szCs w:val="28"/>
              </w:rPr>
              <w:t>可预见的事件序列</w:t>
            </w:r>
          </w:p>
        </w:tc>
        <w:tc>
          <w:tcPr>
            <w:tcW w:w="2666" w:type="dxa"/>
            <w:vAlign w:val="center"/>
          </w:tcPr>
          <w:p w14:paraId="34706144">
            <w:pPr>
              <w:autoSpaceDE w:val="0"/>
              <w:autoSpaceDN w:val="0"/>
              <w:adjustRightInd w:val="0"/>
              <w:spacing w:line="440" w:lineRule="exact"/>
              <w:ind w:right="-67" w:rightChars="-32"/>
              <w:rPr>
                <w:rFonts w:ascii="黑体" w:hAnsi="黑体" w:eastAsia="黑体"/>
                <w:kern w:val="0"/>
                <w:sz w:val="28"/>
                <w:szCs w:val="28"/>
              </w:rPr>
            </w:pPr>
            <w:r>
              <w:rPr>
                <w:rFonts w:ascii="黑体" w:hAnsi="黑体" w:eastAsia="黑体"/>
                <w:kern w:val="0"/>
                <w:sz w:val="28"/>
                <w:szCs w:val="28"/>
              </w:rPr>
              <w:t>危险情况</w:t>
            </w:r>
          </w:p>
        </w:tc>
        <w:tc>
          <w:tcPr>
            <w:tcW w:w="2337" w:type="dxa"/>
            <w:vAlign w:val="center"/>
          </w:tcPr>
          <w:p w14:paraId="042494B2">
            <w:pPr>
              <w:autoSpaceDE w:val="0"/>
              <w:autoSpaceDN w:val="0"/>
              <w:adjustRightInd w:val="0"/>
              <w:spacing w:line="440" w:lineRule="exact"/>
              <w:ind w:right="-67" w:rightChars="-32"/>
              <w:rPr>
                <w:rFonts w:ascii="黑体" w:hAnsi="黑体" w:eastAsia="黑体"/>
                <w:kern w:val="0"/>
                <w:sz w:val="28"/>
                <w:szCs w:val="28"/>
              </w:rPr>
            </w:pPr>
            <w:r>
              <w:rPr>
                <w:rFonts w:ascii="黑体" w:hAnsi="黑体" w:eastAsia="黑体"/>
                <w:kern w:val="0"/>
                <w:sz w:val="28"/>
                <w:szCs w:val="28"/>
              </w:rPr>
              <w:t>可能发生的损害</w:t>
            </w:r>
          </w:p>
        </w:tc>
      </w:tr>
      <w:tr w14:paraId="2D879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vMerge w:val="restart"/>
            <w:vAlign w:val="center"/>
          </w:tcPr>
          <w:p w14:paraId="27F48DF2">
            <w:pPr>
              <w:autoSpaceDE w:val="0"/>
              <w:autoSpaceDN w:val="0"/>
              <w:adjustRightInd w:val="0"/>
              <w:spacing w:line="440" w:lineRule="exact"/>
              <w:ind w:right="-67" w:rightChars="-32"/>
              <w:jc w:val="center"/>
              <w:rPr>
                <w:rFonts w:eastAsia="仿宋_GB2312"/>
                <w:kern w:val="0"/>
                <w:sz w:val="28"/>
                <w:szCs w:val="28"/>
              </w:rPr>
            </w:pPr>
            <w:r>
              <w:rPr>
                <w:rFonts w:eastAsia="仿宋_GB2312"/>
                <w:kern w:val="0"/>
                <w:sz w:val="28"/>
                <w:szCs w:val="28"/>
              </w:rPr>
              <w:t>电磁能量</w:t>
            </w:r>
          </w:p>
        </w:tc>
        <w:tc>
          <w:tcPr>
            <w:tcW w:w="3060" w:type="dxa"/>
            <w:vAlign w:val="center"/>
          </w:tcPr>
          <w:p w14:paraId="35B1ACFC">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在强电磁辐射源边使用</w:t>
            </w:r>
            <w:r>
              <w:rPr>
                <w:rFonts w:hint="eastAsia" w:eastAsia="仿宋_GB2312"/>
                <w:kern w:val="0"/>
                <w:sz w:val="28"/>
                <w:szCs w:val="28"/>
                <w:lang w:val="en-US" w:eastAsia="zh-CN"/>
              </w:rPr>
              <w:t>膨腔泵</w:t>
            </w:r>
            <w:r>
              <w:rPr>
                <w:rFonts w:eastAsia="仿宋_GB2312"/>
                <w:kern w:val="0"/>
                <w:sz w:val="28"/>
                <w:szCs w:val="28"/>
              </w:rPr>
              <w:t>测量</w:t>
            </w:r>
          </w:p>
        </w:tc>
        <w:tc>
          <w:tcPr>
            <w:tcW w:w="2666" w:type="dxa"/>
            <w:vAlign w:val="center"/>
          </w:tcPr>
          <w:p w14:paraId="08FACA3B">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电磁干扰程序运行/抗</w:t>
            </w:r>
            <w:r>
              <w:rPr>
                <w:rFonts w:hint="eastAsia" w:eastAsia="仿宋_GB2312"/>
                <w:kern w:val="0"/>
                <w:sz w:val="28"/>
                <w:szCs w:val="28"/>
              </w:rPr>
              <w:t>干扰</w:t>
            </w:r>
            <w:r>
              <w:rPr>
                <w:rFonts w:eastAsia="仿宋_GB2312"/>
                <w:kern w:val="0"/>
                <w:sz w:val="28"/>
                <w:szCs w:val="28"/>
              </w:rPr>
              <w:t>电磁配置不当或无配置</w:t>
            </w:r>
          </w:p>
        </w:tc>
        <w:tc>
          <w:tcPr>
            <w:tcW w:w="2337" w:type="dxa"/>
            <w:vAlign w:val="center"/>
          </w:tcPr>
          <w:p w14:paraId="67E58E90">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导致反馈系统测量错误、测量结果误差过大。</w:t>
            </w:r>
          </w:p>
        </w:tc>
      </w:tr>
      <w:tr w14:paraId="0BE1A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1512" w:type="dxa"/>
            <w:vMerge w:val="continue"/>
            <w:vAlign w:val="center"/>
          </w:tcPr>
          <w:p w14:paraId="39DC4A74">
            <w:pPr>
              <w:autoSpaceDE w:val="0"/>
              <w:autoSpaceDN w:val="0"/>
              <w:adjustRightInd w:val="0"/>
              <w:spacing w:line="440" w:lineRule="exact"/>
              <w:ind w:right="-67" w:rightChars="-32"/>
              <w:jc w:val="center"/>
              <w:rPr>
                <w:rFonts w:eastAsia="仿宋_GB2312"/>
                <w:kern w:val="0"/>
                <w:sz w:val="28"/>
                <w:szCs w:val="28"/>
              </w:rPr>
            </w:pPr>
          </w:p>
        </w:tc>
        <w:tc>
          <w:tcPr>
            <w:tcW w:w="3060" w:type="dxa"/>
            <w:vAlign w:val="center"/>
          </w:tcPr>
          <w:p w14:paraId="4E655F52">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静电放电</w:t>
            </w:r>
          </w:p>
        </w:tc>
        <w:tc>
          <w:tcPr>
            <w:tcW w:w="2666" w:type="dxa"/>
            <w:vAlign w:val="center"/>
          </w:tcPr>
          <w:p w14:paraId="58E7EAEB">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干扰程序运行/接地不良或无接地</w:t>
            </w:r>
          </w:p>
        </w:tc>
        <w:tc>
          <w:tcPr>
            <w:tcW w:w="2337" w:type="dxa"/>
            <w:vAlign w:val="center"/>
          </w:tcPr>
          <w:p w14:paraId="6C01A6E3">
            <w:pPr>
              <w:autoSpaceDE w:val="0"/>
              <w:autoSpaceDN w:val="0"/>
              <w:adjustRightInd w:val="0"/>
              <w:spacing w:line="440" w:lineRule="exact"/>
              <w:ind w:right="-67" w:rightChars="-32"/>
              <w:rPr>
                <w:rFonts w:eastAsia="仿宋_GB2312"/>
                <w:spacing w:val="-8"/>
                <w:kern w:val="0"/>
                <w:sz w:val="28"/>
                <w:szCs w:val="28"/>
              </w:rPr>
            </w:pPr>
            <w:r>
              <w:rPr>
                <w:rFonts w:eastAsia="仿宋_GB2312"/>
                <w:spacing w:val="-8"/>
                <w:kern w:val="0"/>
                <w:sz w:val="28"/>
                <w:szCs w:val="28"/>
              </w:rPr>
              <w:t>导致测量结果误差过大、或数据擦除。</w:t>
            </w:r>
          </w:p>
        </w:tc>
      </w:tr>
      <w:tr w14:paraId="60EDD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vAlign w:val="center"/>
          </w:tcPr>
          <w:p w14:paraId="6E55DB71">
            <w:pPr>
              <w:autoSpaceDE w:val="0"/>
              <w:autoSpaceDN w:val="0"/>
              <w:adjustRightInd w:val="0"/>
              <w:spacing w:line="440" w:lineRule="exact"/>
              <w:ind w:right="-67" w:rightChars="-32"/>
              <w:jc w:val="center"/>
              <w:rPr>
                <w:rFonts w:eastAsia="仿宋_GB2312"/>
                <w:kern w:val="0"/>
                <w:sz w:val="28"/>
                <w:szCs w:val="28"/>
              </w:rPr>
            </w:pPr>
            <w:r>
              <w:rPr>
                <w:rFonts w:eastAsia="仿宋_GB2312"/>
                <w:kern w:val="0"/>
                <w:sz w:val="28"/>
                <w:szCs w:val="28"/>
              </w:rPr>
              <w:t>漏电流</w:t>
            </w:r>
          </w:p>
        </w:tc>
        <w:tc>
          <w:tcPr>
            <w:tcW w:w="3060" w:type="dxa"/>
            <w:vAlign w:val="center"/>
          </w:tcPr>
          <w:p w14:paraId="4F57CDF9">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产品漏电流超标</w:t>
            </w:r>
          </w:p>
        </w:tc>
        <w:tc>
          <w:tcPr>
            <w:tcW w:w="2666" w:type="dxa"/>
            <w:vAlign w:val="center"/>
          </w:tcPr>
          <w:p w14:paraId="033267CE">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 xml:space="preserve">外壳、可触及金属与带电部分隔离/保护不够 </w:t>
            </w:r>
          </w:p>
        </w:tc>
        <w:tc>
          <w:tcPr>
            <w:tcW w:w="2337" w:type="dxa"/>
            <w:vAlign w:val="center"/>
          </w:tcPr>
          <w:p w14:paraId="6F617714">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漏电流超出允许值，导致对人身电击伤害。</w:t>
            </w:r>
          </w:p>
        </w:tc>
      </w:tr>
      <w:tr w14:paraId="1C86E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vAlign w:val="center"/>
          </w:tcPr>
          <w:p w14:paraId="76B355EA">
            <w:pPr>
              <w:autoSpaceDE w:val="0"/>
              <w:autoSpaceDN w:val="0"/>
              <w:adjustRightInd w:val="0"/>
              <w:spacing w:line="440" w:lineRule="exact"/>
              <w:ind w:right="-67" w:rightChars="-32"/>
              <w:jc w:val="center"/>
              <w:rPr>
                <w:rFonts w:eastAsia="仿宋_GB2312"/>
                <w:kern w:val="0"/>
                <w:sz w:val="28"/>
                <w:szCs w:val="28"/>
              </w:rPr>
            </w:pPr>
            <w:r>
              <w:rPr>
                <w:rFonts w:eastAsia="仿宋_GB2312"/>
                <w:kern w:val="0"/>
                <w:sz w:val="28"/>
                <w:szCs w:val="28"/>
              </w:rPr>
              <w:t>热能</w:t>
            </w:r>
          </w:p>
        </w:tc>
        <w:tc>
          <w:tcPr>
            <w:tcW w:w="3060" w:type="dxa"/>
            <w:vAlign w:val="center"/>
          </w:tcPr>
          <w:p w14:paraId="3B6D3421">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电子元器件发热</w:t>
            </w:r>
          </w:p>
        </w:tc>
        <w:tc>
          <w:tcPr>
            <w:tcW w:w="2666" w:type="dxa"/>
            <w:vAlign w:val="center"/>
          </w:tcPr>
          <w:p w14:paraId="7244C921">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使用环境过热/电流过大</w:t>
            </w:r>
          </w:p>
        </w:tc>
        <w:tc>
          <w:tcPr>
            <w:tcW w:w="2337" w:type="dxa"/>
            <w:vAlign w:val="center"/>
          </w:tcPr>
          <w:p w14:paraId="2199CE98">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产品损坏。</w:t>
            </w:r>
          </w:p>
        </w:tc>
      </w:tr>
      <w:tr w14:paraId="659C2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jc w:val="center"/>
        </w:trPr>
        <w:tc>
          <w:tcPr>
            <w:tcW w:w="1512" w:type="dxa"/>
            <w:vMerge w:val="restart"/>
            <w:vAlign w:val="center"/>
          </w:tcPr>
          <w:p w14:paraId="14C6EF70">
            <w:pPr>
              <w:autoSpaceDE w:val="0"/>
              <w:autoSpaceDN w:val="0"/>
              <w:adjustRightInd w:val="0"/>
              <w:spacing w:line="440" w:lineRule="exact"/>
              <w:ind w:right="-67" w:rightChars="-32"/>
              <w:jc w:val="center"/>
              <w:rPr>
                <w:rFonts w:eastAsia="仿宋_GB2312"/>
                <w:kern w:val="0"/>
                <w:sz w:val="28"/>
                <w:szCs w:val="28"/>
              </w:rPr>
            </w:pPr>
            <w:r>
              <w:rPr>
                <w:rFonts w:eastAsia="仿宋_GB2312"/>
                <w:kern w:val="0"/>
                <w:sz w:val="28"/>
                <w:szCs w:val="28"/>
              </w:rPr>
              <w:t>机械能</w:t>
            </w:r>
          </w:p>
        </w:tc>
        <w:tc>
          <w:tcPr>
            <w:tcW w:w="3060" w:type="dxa"/>
            <w:vAlign w:val="center"/>
          </w:tcPr>
          <w:p w14:paraId="0A57390B">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lang w:eastAsia="zh-CN"/>
              </w:rPr>
              <w:t>膨腔泵</w:t>
            </w:r>
            <w:r>
              <w:rPr>
                <w:rFonts w:eastAsia="仿宋_GB2312"/>
                <w:kern w:val="0"/>
                <w:sz w:val="28"/>
                <w:szCs w:val="28"/>
              </w:rPr>
              <w:t>摔落、践踏后使</w:t>
            </w:r>
            <w:r>
              <w:rPr>
                <w:rFonts w:hint="eastAsia" w:eastAsia="仿宋_GB2312"/>
                <w:kern w:val="0"/>
                <w:sz w:val="28"/>
                <w:szCs w:val="28"/>
                <w:lang w:eastAsia="zh-CN"/>
              </w:rPr>
              <w:t>膨腔泵</w:t>
            </w:r>
            <w:r>
              <w:rPr>
                <w:rFonts w:eastAsia="仿宋_GB2312"/>
                <w:kern w:val="0"/>
                <w:sz w:val="28"/>
                <w:szCs w:val="28"/>
              </w:rPr>
              <w:t>外表破损</w:t>
            </w:r>
          </w:p>
        </w:tc>
        <w:tc>
          <w:tcPr>
            <w:tcW w:w="2666" w:type="dxa"/>
            <w:vAlign w:val="center"/>
          </w:tcPr>
          <w:p w14:paraId="75557B3E">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造成</w:t>
            </w:r>
            <w:r>
              <w:rPr>
                <w:rFonts w:hint="eastAsia" w:eastAsia="仿宋_GB2312"/>
                <w:kern w:val="0"/>
                <w:sz w:val="28"/>
                <w:szCs w:val="28"/>
                <w:lang w:eastAsia="zh-CN"/>
              </w:rPr>
              <w:t>膨腔泵</w:t>
            </w:r>
            <w:r>
              <w:rPr>
                <w:rFonts w:eastAsia="仿宋_GB2312"/>
                <w:kern w:val="0"/>
                <w:sz w:val="28"/>
                <w:szCs w:val="28"/>
              </w:rPr>
              <w:t>外壳出现锋棱</w:t>
            </w:r>
          </w:p>
        </w:tc>
        <w:tc>
          <w:tcPr>
            <w:tcW w:w="2337" w:type="dxa"/>
            <w:vAlign w:val="center"/>
          </w:tcPr>
          <w:p w14:paraId="1B6DBFE4">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被</w:t>
            </w:r>
            <w:r>
              <w:rPr>
                <w:rFonts w:hint="eastAsia" w:eastAsia="仿宋_GB2312"/>
                <w:kern w:val="0"/>
                <w:sz w:val="28"/>
                <w:szCs w:val="28"/>
                <w:lang w:eastAsia="zh-CN"/>
              </w:rPr>
              <w:t>膨腔泵</w:t>
            </w:r>
            <w:r>
              <w:rPr>
                <w:rFonts w:eastAsia="仿宋_GB2312"/>
                <w:kern w:val="0"/>
                <w:sz w:val="28"/>
                <w:szCs w:val="28"/>
              </w:rPr>
              <w:t>划伤。</w:t>
            </w:r>
          </w:p>
        </w:tc>
      </w:tr>
      <w:tr w14:paraId="0C425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6" w:hRule="atLeast"/>
          <w:jc w:val="center"/>
        </w:trPr>
        <w:tc>
          <w:tcPr>
            <w:tcW w:w="1512" w:type="dxa"/>
            <w:vMerge w:val="continue"/>
            <w:vAlign w:val="center"/>
          </w:tcPr>
          <w:p w14:paraId="367AAE9A">
            <w:pPr>
              <w:autoSpaceDE w:val="0"/>
              <w:autoSpaceDN w:val="0"/>
              <w:adjustRightInd w:val="0"/>
              <w:spacing w:line="440" w:lineRule="exact"/>
              <w:ind w:right="-67" w:rightChars="-32"/>
              <w:jc w:val="center"/>
              <w:rPr>
                <w:rFonts w:eastAsia="仿宋_GB2312"/>
                <w:kern w:val="0"/>
                <w:sz w:val="28"/>
                <w:szCs w:val="28"/>
              </w:rPr>
            </w:pPr>
          </w:p>
        </w:tc>
        <w:tc>
          <w:tcPr>
            <w:tcW w:w="3060" w:type="dxa"/>
            <w:vAlign w:val="center"/>
          </w:tcPr>
          <w:p w14:paraId="493B5B42">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lang w:eastAsia="zh-CN"/>
              </w:rPr>
              <w:t>膨腔泵</w:t>
            </w:r>
            <w:r>
              <w:rPr>
                <w:rFonts w:eastAsia="仿宋_GB2312"/>
                <w:kern w:val="0"/>
                <w:sz w:val="28"/>
                <w:szCs w:val="28"/>
              </w:rPr>
              <w:t>摔落、践踏后使</w:t>
            </w:r>
            <w:r>
              <w:rPr>
                <w:rFonts w:hint="eastAsia" w:eastAsia="仿宋_GB2312"/>
                <w:kern w:val="0"/>
                <w:sz w:val="28"/>
                <w:szCs w:val="28"/>
                <w:lang w:eastAsia="zh-CN"/>
              </w:rPr>
              <w:t>膨腔泵</w:t>
            </w:r>
            <w:r>
              <w:rPr>
                <w:rFonts w:eastAsia="仿宋_GB2312"/>
                <w:kern w:val="0"/>
                <w:sz w:val="28"/>
                <w:szCs w:val="28"/>
              </w:rPr>
              <w:t>压力控制系统受损</w:t>
            </w:r>
          </w:p>
        </w:tc>
        <w:tc>
          <w:tcPr>
            <w:tcW w:w="2666" w:type="dxa"/>
            <w:vAlign w:val="center"/>
          </w:tcPr>
          <w:p w14:paraId="22035E99">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lang w:eastAsia="zh-CN"/>
              </w:rPr>
              <w:t>膨腔泵</w:t>
            </w:r>
            <w:r>
              <w:rPr>
                <w:rFonts w:eastAsia="仿宋_GB2312"/>
                <w:kern w:val="0"/>
                <w:sz w:val="28"/>
                <w:szCs w:val="28"/>
              </w:rPr>
              <w:t>输出异常</w:t>
            </w:r>
          </w:p>
        </w:tc>
        <w:tc>
          <w:tcPr>
            <w:tcW w:w="2337" w:type="dxa"/>
            <w:vAlign w:val="center"/>
          </w:tcPr>
          <w:p w14:paraId="29A8E70B">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导致</w:t>
            </w:r>
            <w:r>
              <w:rPr>
                <w:rFonts w:hint="eastAsia" w:eastAsia="仿宋_GB2312"/>
                <w:kern w:val="0"/>
                <w:sz w:val="28"/>
                <w:szCs w:val="28"/>
                <w:lang w:eastAsia="zh-CN"/>
              </w:rPr>
              <w:t>膨腔泵</w:t>
            </w:r>
            <w:r>
              <w:rPr>
                <w:rFonts w:eastAsia="仿宋_GB2312"/>
                <w:kern w:val="0"/>
                <w:sz w:val="28"/>
                <w:szCs w:val="28"/>
              </w:rPr>
              <w:t>无</w:t>
            </w:r>
            <w:r>
              <w:rPr>
                <w:rFonts w:hint="eastAsia" w:eastAsia="仿宋_GB2312"/>
                <w:kern w:val="0"/>
                <w:sz w:val="28"/>
                <w:szCs w:val="28"/>
                <w:lang w:eastAsia="zh-CN"/>
              </w:rPr>
              <w:t>液体</w:t>
            </w:r>
            <w:r>
              <w:rPr>
                <w:rFonts w:eastAsia="仿宋_GB2312"/>
                <w:kern w:val="0"/>
                <w:sz w:val="28"/>
                <w:szCs w:val="28"/>
              </w:rPr>
              <w:t>输出或输出压力控制异常。</w:t>
            </w:r>
          </w:p>
        </w:tc>
      </w:tr>
      <w:tr w14:paraId="1DBB4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vMerge w:val="continue"/>
            <w:vAlign w:val="center"/>
          </w:tcPr>
          <w:p w14:paraId="496D1C5E">
            <w:pPr>
              <w:autoSpaceDE w:val="0"/>
              <w:autoSpaceDN w:val="0"/>
              <w:adjustRightInd w:val="0"/>
              <w:spacing w:line="440" w:lineRule="exact"/>
              <w:ind w:right="-67" w:rightChars="-32"/>
              <w:jc w:val="center"/>
              <w:rPr>
                <w:rFonts w:eastAsia="仿宋_GB2312"/>
                <w:kern w:val="0"/>
                <w:sz w:val="28"/>
                <w:szCs w:val="28"/>
              </w:rPr>
            </w:pPr>
          </w:p>
        </w:tc>
        <w:tc>
          <w:tcPr>
            <w:tcW w:w="3060" w:type="dxa"/>
            <w:vAlign w:val="center"/>
          </w:tcPr>
          <w:p w14:paraId="2A829459">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坠落导致机械部件松动</w:t>
            </w:r>
          </w:p>
        </w:tc>
        <w:tc>
          <w:tcPr>
            <w:tcW w:w="2666" w:type="dxa"/>
            <w:vAlign w:val="center"/>
          </w:tcPr>
          <w:p w14:paraId="1A3B6E39">
            <w:pPr>
              <w:autoSpaceDE w:val="0"/>
              <w:autoSpaceDN w:val="0"/>
              <w:adjustRightInd w:val="0"/>
              <w:spacing w:line="440" w:lineRule="exact"/>
              <w:ind w:right="-67" w:rightChars="-32"/>
              <w:rPr>
                <w:rFonts w:hint="eastAsia" w:eastAsia="仿宋_GB2312"/>
                <w:kern w:val="0"/>
                <w:sz w:val="28"/>
                <w:szCs w:val="28"/>
                <w:lang w:eastAsia="zh-CN"/>
              </w:rPr>
            </w:pPr>
            <w:r>
              <w:rPr>
                <w:rFonts w:hint="eastAsia" w:eastAsia="仿宋_GB2312"/>
                <w:kern w:val="0"/>
                <w:sz w:val="28"/>
                <w:szCs w:val="28"/>
                <w:lang w:eastAsia="zh-CN"/>
              </w:rPr>
              <w:t>膨腔泵</w:t>
            </w:r>
            <w:r>
              <w:rPr>
                <w:rFonts w:eastAsia="仿宋_GB2312"/>
                <w:kern w:val="0"/>
                <w:sz w:val="28"/>
                <w:szCs w:val="28"/>
              </w:rPr>
              <w:t>内部</w:t>
            </w:r>
            <w:r>
              <w:rPr>
                <w:rFonts w:hint="eastAsia" w:eastAsia="仿宋_GB2312"/>
                <w:kern w:val="0"/>
                <w:sz w:val="28"/>
                <w:szCs w:val="28"/>
                <w:lang w:eastAsia="zh-CN"/>
              </w:rPr>
              <w:t>管</w:t>
            </w:r>
            <w:r>
              <w:rPr>
                <w:rFonts w:eastAsia="仿宋_GB2312"/>
                <w:kern w:val="0"/>
                <w:sz w:val="28"/>
                <w:szCs w:val="28"/>
              </w:rPr>
              <w:t>路系统漏</w:t>
            </w:r>
            <w:r>
              <w:rPr>
                <w:rFonts w:hint="eastAsia" w:eastAsia="仿宋_GB2312"/>
                <w:kern w:val="0"/>
                <w:sz w:val="28"/>
                <w:szCs w:val="28"/>
                <w:lang w:eastAsia="zh-CN"/>
              </w:rPr>
              <w:t>液</w:t>
            </w:r>
          </w:p>
        </w:tc>
        <w:tc>
          <w:tcPr>
            <w:tcW w:w="2337" w:type="dxa"/>
            <w:vAlign w:val="center"/>
          </w:tcPr>
          <w:p w14:paraId="2E7043B9">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造成</w:t>
            </w:r>
            <w:r>
              <w:rPr>
                <w:rFonts w:hint="eastAsia" w:eastAsia="仿宋_GB2312"/>
                <w:kern w:val="0"/>
                <w:sz w:val="28"/>
                <w:szCs w:val="28"/>
                <w:lang w:eastAsia="zh-CN"/>
              </w:rPr>
              <w:t>膨腔泵</w:t>
            </w:r>
            <w:r>
              <w:rPr>
                <w:rFonts w:eastAsia="仿宋_GB2312"/>
                <w:kern w:val="0"/>
                <w:sz w:val="28"/>
                <w:szCs w:val="28"/>
              </w:rPr>
              <w:t>向腔</w:t>
            </w:r>
            <w:r>
              <w:rPr>
                <w:rFonts w:hint="eastAsia" w:eastAsia="仿宋_GB2312"/>
                <w:kern w:val="0"/>
                <w:sz w:val="28"/>
                <w:szCs w:val="28"/>
                <w:lang w:eastAsia="zh-CN"/>
              </w:rPr>
              <w:t>内</w:t>
            </w:r>
            <w:r>
              <w:rPr>
                <w:rFonts w:eastAsia="仿宋_GB2312"/>
                <w:kern w:val="0"/>
                <w:sz w:val="28"/>
                <w:szCs w:val="28"/>
              </w:rPr>
              <w:t>供</w:t>
            </w:r>
            <w:r>
              <w:rPr>
                <w:rFonts w:hint="eastAsia" w:eastAsia="仿宋_GB2312"/>
                <w:kern w:val="0"/>
                <w:sz w:val="28"/>
                <w:szCs w:val="28"/>
                <w:lang w:eastAsia="zh-CN"/>
              </w:rPr>
              <w:t>液</w:t>
            </w:r>
            <w:r>
              <w:rPr>
                <w:rFonts w:eastAsia="仿宋_GB2312"/>
                <w:kern w:val="0"/>
                <w:sz w:val="28"/>
                <w:szCs w:val="28"/>
              </w:rPr>
              <w:t>不足。</w:t>
            </w:r>
          </w:p>
        </w:tc>
      </w:tr>
      <w:tr w14:paraId="325F4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vMerge w:val="continue"/>
            <w:vAlign w:val="center"/>
          </w:tcPr>
          <w:p w14:paraId="6EB96FF0">
            <w:pPr>
              <w:autoSpaceDE w:val="0"/>
              <w:autoSpaceDN w:val="0"/>
              <w:adjustRightInd w:val="0"/>
              <w:spacing w:line="440" w:lineRule="exact"/>
              <w:ind w:right="-67" w:rightChars="-32"/>
              <w:jc w:val="center"/>
              <w:rPr>
                <w:rFonts w:eastAsia="仿宋_GB2312"/>
                <w:kern w:val="0"/>
                <w:sz w:val="28"/>
                <w:szCs w:val="28"/>
              </w:rPr>
            </w:pPr>
          </w:p>
        </w:tc>
        <w:tc>
          <w:tcPr>
            <w:tcW w:w="3060" w:type="dxa"/>
            <w:vAlign w:val="center"/>
          </w:tcPr>
          <w:p w14:paraId="5B85EA7A">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机体从高处落下、被践踏</w:t>
            </w:r>
          </w:p>
        </w:tc>
        <w:tc>
          <w:tcPr>
            <w:tcW w:w="2666" w:type="dxa"/>
            <w:vAlign w:val="center"/>
          </w:tcPr>
          <w:p w14:paraId="4B5E4F68">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液晶显示屏破碎</w:t>
            </w:r>
          </w:p>
        </w:tc>
        <w:tc>
          <w:tcPr>
            <w:tcW w:w="2337" w:type="dxa"/>
            <w:vAlign w:val="center"/>
          </w:tcPr>
          <w:p w14:paraId="1FD8951B">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使显示屏没有显示导致无法进行流量与压力设定，产品不能正常用工作。</w:t>
            </w:r>
          </w:p>
        </w:tc>
      </w:tr>
      <w:tr w14:paraId="001AB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512" w:type="dxa"/>
            <w:vMerge w:val="restart"/>
            <w:vAlign w:val="center"/>
          </w:tcPr>
          <w:p w14:paraId="345CB9AF">
            <w:pPr>
              <w:autoSpaceDE w:val="0"/>
              <w:autoSpaceDN w:val="0"/>
              <w:adjustRightInd w:val="0"/>
              <w:spacing w:line="440" w:lineRule="exact"/>
              <w:ind w:right="-67" w:rightChars="-32"/>
              <w:jc w:val="center"/>
              <w:rPr>
                <w:rFonts w:eastAsia="仿宋_GB2312"/>
                <w:kern w:val="0"/>
                <w:sz w:val="28"/>
                <w:szCs w:val="28"/>
              </w:rPr>
            </w:pPr>
            <w:r>
              <w:rPr>
                <w:rFonts w:eastAsia="仿宋_GB2312"/>
                <w:kern w:val="0"/>
                <w:sz w:val="28"/>
                <w:szCs w:val="28"/>
              </w:rPr>
              <w:t>不正确的测量</w:t>
            </w:r>
          </w:p>
        </w:tc>
        <w:tc>
          <w:tcPr>
            <w:tcW w:w="3060" w:type="dxa"/>
            <w:vAlign w:val="center"/>
          </w:tcPr>
          <w:p w14:paraId="19F9BA1A">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压力传感器损坏</w:t>
            </w:r>
          </w:p>
        </w:tc>
        <w:tc>
          <w:tcPr>
            <w:tcW w:w="2666" w:type="dxa"/>
            <w:vAlign w:val="center"/>
          </w:tcPr>
          <w:p w14:paraId="279092E2">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输出压力失控</w:t>
            </w:r>
          </w:p>
        </w:tc>
        <w:tc>
          <w:tcPr>
            <w:tcW w:w="2337" w:type="dxa"/>
            <w:vAlign w:val="center"/>
          </w:tcPr>
          <w:p w14:paraId="24EB2A9E">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lang w:val="en-US" w:eastAsia="zh-CN"/>
              </w:rPr>
              <w:t>压力过高可能直接损伤组织或器官（如损坏宫腔）；压力过低导致视野不清增加手术误伤风险或膨宫失败，被迫中转开腹手术。</w:t>
            </w:r>
          </w:p>
        </w:tc>
      </w:tr>
      <w:tr w14:paraId="3C7B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512" w:type="dxa"/>
            <w:vMerge w:val="continue"/>
            <w:vAlign w:val="center"/>
          </w:tcPr>
          <w:p w14:paraId="4CE8FB2A">
            <w:pPr>
              <w:autoSpaceDE w:val="0"/>
              <w:autoSpaceDN w:val="0"/>
              <w:adjustRightInd w:val="0"/>
              <w:spacing w:line="440" w:lineRule="exact"/>
              <w:ind w:right="-67" w:rightChars="-32"/>
              <w:jc w:val="center"/>
              <w:rPr>
                <w:rFonts w:eastAsia="仿宋_GB2312"/>
                <w:kern w:val="0"/>
                <w:sz w:val="28"/>
                <w:szCs w:val="28"/>
              </w:rPr>
            </w:pPr>
          </w:p>
        </w:tc>
        <w:tc>
          <w:tcPr>
            <w:tcW w:w="3060" w:type="dxa"/>
            <w:vAlign w:val="center"/>
          </w:tcPr>
          <w:p w14:paraId="613DF88C">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压力校准不正确</w:t>
            </w:r>
          </w:p>
        </w:tc>
        <w:tc>
          <w:tcPr>
            <w:tcW w:w="2666" w:type="dxa"/>
            <w:vAlign w:val="center"/>
          </w:tcPr>
          <w:p w14:paraId="565D0FDF">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设定压力与腔内实际压力超出允许的偏差范围</w:t>
            </w:r>
          </w:p>
        </w:tc>
        <w:tc>
          <w:tcPr>
            <w:tcW w:w="2337" w:type="dxa"/>
            <w:vAlign w:val="center"/>
          </w:tcPr>
          <w:p w14:paraId="621C942C">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造成手术时手术区域压力不足或过高。</w:t>
            </w:r>
          </w:p>
        </w:tc>
      </w:tr>
      <w:tr w14:paraId="117DD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vAlign w:val="center"/>
          </w:tcPr>
          <w:p w14:paraId="77C4D802">
            <w:pPr>
              <w:autoSpaceDE w:val="0"/>
              <w:autoSpaceDN w:val="0"/>
              <w:adjustRightInd w:val="0"/>
              <w:spacing w:line="440" w:lineRule="exact"/>
              <w:ind w:right="-67" w:rightChars="-32"/>
              <w:jc w:val="center"/>
              <w:rPr>
                <w:rFonts w:eastAsia="仿宋_GB2312"/>
                <w:kern w:val="0"/>
                <w:sz w:val="28"/>
                <w:szCs w:val="28"/>
              </w:rPr>
            </w:pPr>
            <w:r>
              <w:rPr>
                <w:rFonts w:eastAsia="仿宋_GB2312"/>
                <w:kern w:val="0"/>
                <w:sz w:val="28"/>
                <w:szCs w:val="28"/>
              </w:rPr>
              <w:t>生物学</w:t>
            </w:r>
          </w:p>
        </w:tc>
        <w:tc>
          <w:tcPr>
            <w:tcW w:w="3060" w:type="dxa"/>
            <w:vAlign w:val="center"/>
          </w:tcPr>
          <w:p w14:paraId="29E5361C">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不按要求进行</w:t>
            </w:r>
            <w:r>
              <w:rPr>
                <w:rFonts w:hint="eastAsia" w:eastAsia="仿宋_GB2312"/>
                <w:kern w:val="0"/>
                <w:sz w:val="28"/>
                <w:szCs w:val="28"/>
                <w:lang w:val="en-US" w:eastAsia="zh-CN"/>
              </w:rPr>
              <w:t>灌注附件</w:t>
            </w:r>
            <w:r>
              <w:rPr>
                <w:rFonts w:eastAsia="仿宋_GB2312"/>
                <w:kern w:val="0"/>
                <w:sz w:val="28"/>
                <w:szCs w:val="28"/>
              </w:rPr>
              <w:t>的更换</w:t>
            </w:r>
          </w:p>
        </w:tc>
        <w:tc>
          <w:tcPr>
            <w:tcW w:w="2666" w:type="dxa"/>
            <w:vAlign w:val="center"/>
          </w:tcPr>
          <w:p w14:paraId="5A35AE0F">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输入人体的</w:t>
            </w:r>
            <w:r>
              <w:rPr>
                <w:rFonts w:hint="eastAsia" w:eastAsia="仿宋_GB2312"/>
                <w:kern w:val="0"/>
                <w:sz w:val="28"/>
                <w:szCs w:val="28"/>
                <w:lang w:val="en-US" w:eastAsia="zh-CN"/>
              </w:rPr>
              <w:t>液体</w:t>
            </w:r>
            <w:r>
              <w:rPr>
                <w:rFonts w:eastAsia="仿宋_GB2312"/>
                <w:kern w:val="0"/>
                <w:sz w:val="28"/>
                <w:szCs w:val="28"/>
              </w:rPr>
              <w:t>不能满足要求</w:t>
            </w:r>
          </w:p>
        </w:tc>
        <w:tc>
          <w:tcPr>
            <w:tcW w:w="2337" w:type="dxa"/>
            <w:vAlign w:val="center"/>
          </w:tcPr>
          <w:p w14:paraId="730B1773">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造成手术部位感染。</w:t>
            </w:r>
          </w:p>
        </w:tc>
      </w:tr>
      <w:tr w14:paraId="166EA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512" w:type="dxa"/>
            <w:vMerge w:val="restart"/>
            <w:vAlign w:val="center"/>
          </w:tcPr>
          <w:p w14:paraId="7111EDC7">
            <w:pPr>
              <w:autoSpaceDE w:val="0"/>
              <w:autoSpaceDN w:val="0"/>
              <w:adjustRightInd w:val="0"/>
              <w:spacing w:line="440" w:lineRule="exact"/>
              <w:ind w:right="-67" w:rightChars="-32"/>
              <w:jc w:val="center"/>
              <w:rPr>
                <w:rFonts w:eastAsia="仿宋_GB2312"/>
                <w:kern w:val="0"/>
                <w:sz w:val="28"/>
                <w:szCs w:val="28"/>
              </w:rPr>
            </w:pPr>
            <w:r>
              <w:rPr>
                <w:rFonts w:eastAsia="仿宋_GB2312"/>
                <w:kern w:val="0"/>
                <w:sz w:val="28"/>
                <w:szCs w:val="28"/>
              </w:rPr>
              <w:t>操作错误</w:t>
            </w:r>
          </w:p>
        </w:tc>
        <w:tc>
          <w:tcPr>
            <w:tcW w:w="3060" w:type="dxa"/>
            <w:tcBorders>
              <w:bottom w:val="single" w:color="auto" w:sz="4" w:space="0"/>
            </w:tcBorders>
            <w:vAlign w:val="center"/>
          </w:tcPr>
          <w:p w14:paraId="649D6CA9">
            <w:pPr>
              <w:autoSpaceDE w:val="0"/>
              <w:autoSpaceDN w:val="0"/>
              <w:adjustRightInd w:val="0"/>
              <w:spacing w:line="440" w:lineRule="exact"/>
              <w:ind w:right="-67" w:rightChars="-32"/>
              <w:rPr>
                <w:rFonts w:eastAsia="仿宋_GB2312"/>
                <w:kern w:val="0"/>
                <w:sz w:val="28"/>
                <w:szCs w:val="28"/>
              </w:rPr>
            </w:pPr>
            <w:r>
              <w:rPr>
                <w:rFonts w:eastAsia="仿宋_GB2312"/>
                <w:sz w:val="28"/>
                <w:szCs w:val="28"/>
              </w:rPr>
              <w:t>未及时确认传感器状态</w:t>
            </w:r>
          </w:p>
        </w:tc>
        <w:tc>
          <w:tcPr>
            <w:tcW w:w="2666" w:type="dxa"/>
            <w:vAlign w:val="center"/>
          </w:tcPr>
          <w:p w14:paraId="4315125E">
            <w:pPr>
              <w:autoSpaceDE w:val="0"/>
              <w:autoSpaceDN w:val="0"/>
              <w:adjustRightInd w:val="0"/>
              <w:spacing w:line="440" w:lineRule="exact"/>
              <w:ind w:right="-67" w:rightChars="-32"/>
              <w:rPr>
                <w:rFonts w:eastAsia="仿宋_GB2312"/>
                <w:kern w:val="0"/>
                <w:sz w:val="28"/>
                <w:szCs w:val="28"/>
              </w:rPr>
            </w:pPr>
            <w:r>
              <w:rPr>
                <w:rFonts w:eastAsia="仿宋_GB2312"/>
                <w:sz w:val="28"/>
                <w:szCs w:val="28"/>
              </w:rPr>
              <w:t>传感器性能下降或损坏</w:t>
            </w:r>
          </w:p>
        </w:tc>
        <w:tc>
          <w:tcPr>
            <w:tcW w:w="2337" w:type="dxa"/>
            <w:vAlign w:val="center"/>
          </w:tcPr>
          <w:p w14:paraId="7B23B7E8">
            <w:pPr>
              <w:autoSpaceDE w:val="0"/>
              <w:autoSpaceDN w:val="0"/>
              <w:adjustRightInd w:val="0"/>
              <w:spacing w:line="440" w:lineRule="exact"/>
              <w:ind w:right="-67" w:rightChars="-32"/>
              <w:rPr>
                <w:rFonts w:eastAsia="仿宋_GB2312"/>
                <w:kern w:val="0"/>
                <w:sz w:val="28"/>
                <w:szCs w:val="28"/>
              </w:rPr>
            </w:pPr>
            <w:r>
              <w:rPr>
                <w:rFonts w:hint="eastAsia" w:eastAsia="仿宋_GB2312"/>
                <w:sz w:val="28"/>
                <w:szCs w:val="28"/>
              </w:rPr>
              <w:t>无法采集数据</w:t>
            </w:r>
          </w:p>
        </w:tc>
      </w:tr>
      <w:tr w14:paraId="1E53C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512" w:type="dxa"/>
            <w:vMerge w:val="continue"/>
            <w:vAlign w:val="center"/>
          </w:tcPr>
          <w:p w14:paraId="3385E5E4">
            <w:pPr>
              <w:autoSpaceDE w:val="0"/>
              <w:autoSpaceDN w:val="0"/>
              <w:adjustRightInd w:val="0"/>
              <w:spacing w:line="440" w:lineRule="exact"/>
              <w:ind w:right="-67" w:rightChars="-32"/>
              <w:jc w:val="center"/>
              <w:rPr>
                <w:rFonts w:eastAsia="仿宋_GB2312"/>
                <w:kern w:val="0"/>
                <w:sz w:val="28"/>
                <w:szCs w:val="28"/>
              </w:rPr>
            </w:pPr>
          </w:p>
        </w:tc>
        <w:tc>
          <w:tcPr>
            <w:tcW w:w="3060" w:type="dxa"/>
            <w:tcBorders>
              <w:bottom w:val="single" w:color="auto" w:sz="4" w:space="0"/>
            </w:tcBorders>
            <w:vAlign w:val="center"/>
          </w:tcPr>
          <w:p w14:paraId="29A14F4B">
            <w:pPr>
              <w:autoSpaceDE w:val="0"/>
              <w:autoSpaceDN w:val="0"/>
              <w:adjustRightInd w:val="0"/>
              <w:spacing w:line="440" w:lineRule="exact"/>
              <w:ind w:right="-67" w:rightChars="-32"/>
              <w:rPr>
                <w:rFonts w:eastAsia="仿宋_GB2312"/>
                <w:kern w:val="0"/>
                <w:sz w:val="28"/>
                <w:szCs w:val="28"/>
              </w:rPr>
            </w:pPr>
            <w:r>
              <w:rPr>
                <w:rFonts w:eastAsia="仿宋_GB2312"/>
                <w:sz w:val="28"/>
                <w:szCs w:val="28"/>
              </w:rPr>
              <w:t>操作人员未经培训</w:t>
            </w:r>
          </w:p>
        </w:tc>
        <w:tc>
          <w:tcPr>
            <w:tcW w:w="2666" w:type="dxa"/>
            <w:vAlign w:val="center"/>
          </w:tcPr>
          <w:p w14:paraId="78BA1C2B">
            <w:pPr>
              <w:autoSpaceDE w:val="0"/>
              <w:autoSpaceDN w:val="0"/>
              <w:adjustRightInd w:val="0"/>
              <w:spacing w:line="440" w:lineRule="exact"/>
              <w:ind w:right="-67" w:rightChars="-32"/>
              <w:rPr>
                <w:rFonts w:eastAsia="仿宋_GB2312"/>
                <w:kern w:val="0"/>
                <w:sz w:val="28"/>
                <w:szCs w:val="28"/>
              </w:rPr>
            </w:pPr>
            <w:r>
              <w:rPr>
                <w:rFonts w:eastAsia="仿宋_GB2312"/>
                <w:sz w:val="28"/>
                <w:szCs w:val="28"/>
              </w:rPr>
              <w:t>操作失败、检查时间延长</w:t>
            </w:r>
          </w:p>
        </w:tc>
        <w:tc>
          <w:tcPr>
            <w:tcW w:w="2337" w:type="dxa"/>
            <w:vAlign w:val="center"/>
          </w:tcPr>
          <w:p w14:paraId="15D1350E">
            <w:pPr>
              <w:autoSpaceDE w:val="0"/>
              <w:autoSpaceDN w:val="0"/>
              <w:adjustRightInd w:val="0"/>
              <w:spacing w:line="440" w:lineRule="exact"/>
              <w:ind w:right="-67" w:rightChars="-32"/>
              <w:rPr>
                <w:rFonts w:eastAsia="仿宋_GB2312"/>
                <w:kern w:val="0"/>
                <w:sz w:val="28"/>
                <w:szCs w:val="28"/>
              </w:rPr>
            </w:pPr>
            <w:r>
              <w:rPr>
                <w:rFonts w:eastAsia="仿宋_GB2312"/>
                <w:sz w:val="28"/>
                <w:szCs w:val="28"/>
              </w:rPr>
              <w:t>操作错误致患者受伤</w:t>
            </w:r>
            <w:r>
              <w:rPr>
                <w:rFonts w:hint="eastAsia" w:eastAsia="仿宋_GB2312"/>
                <w:sz w:val="28"/>
                <w:szCs w:val="28"/>
              </w:rPr>
              <w:t>，</w:t>
            </w:r>
            <w:r>
              <w:rPr>
                <w:rFonts w:eastAsia="仿宋_GB2312"/>
                <w:sz w:val="28"/>
                <w:szCs w:val="28"/>
              </w:rPr>
              <w:t>数据不可用</w:t>
            </w:r>
          </w:p>
        </w:tc>
      </w:tr>
      <w:tr w14:paraId="03F5E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512" w:type="dxa"/>
            <w:vMerge w:val="continue"/>
            <w:vAlign w:val="center"/>
          </w:tcPr>
          <w:p w14:paraId="25D0DD3F">
            <w:pPr>
              <w:autoSpaceDE w:val="0"/>
              <w:autoSpaceDN w:val="0"/>
              <w:adjustRightInd w:val="0"/>
              <w:spacing w:line="440" w:lineRule="exact"/>
              <w:ind w:right="-67" w:rightChars="-32"/>
              <w:jc w:val="center"/>
              <w:rPr>
                <w:rFonts w:eastAsia="仿宋_GB2312"/>
                <w:kern w:val="0"/>
                <w:sz w:val="28"/>
                <w:szCs w:val="28"/>
              </w:rPr>
            </w:pPr>
          </w:p>
        </w:tc>
        <w:tc>
          <w:tcPr>
            <w:tcW w:w="3060" w:type="dxa"/>
            <w:tcBorders>
              <w:bottom w:val="single" w:color="auto" w:sz="4" w:space="0"/>
            </w:tcBorders>
            <w:vAlign w:val="center"/>
          </w:tcPr>
          <w:p w14:paraId="05C14598">
            <w:pPr>
              <w:autoSpaceDE w:val="0"/>
              <w:autoSpaceDN w:val="0"/>
              <w:adjustRightInd w:val="0"/>
              <w:spacing w:line="440" w:lineRule="exact"/>
              <w:ind w:right="-67" w:rightChars="-32"/>
              <w:rPr>
                <w:rFonts w:eastAsia="仿宋_GB2312"/>
                <w:kern w:val="0"/>
                <w:sz w:val="28"/>
                <w:szCs w:val="28"/>
              </w:rPr>
            </w:pPr>
            <w:r>
              <w:rPr>
                <w:rFonts w:eastAsia="仿宋_GB2312"/>
                <w:sz w:val="28"/>
                <w:szCs w:val="28"/>
              </w:rPr>
              <w:t>未规范维护、维修</w:t>
            </w:r>
          </w:p>
        </w:tc>
        <w:tc>
          <w:tcPr>
            <w:tcW w:w="2666" w:type="dxa"/>
            <w:vAlign w:val="center"/>
          </w:tcPr>
          <w:p w14:paraId="34B36DD1">
            <w:pPr>
              <w:autoSpaceDE w:val="0"/>
              <w:autoSpaceDN w:val="0"/>
              <w:adjustRightInd w:val="0"/>
              <w:spacing w:line="440" w:lineRule="exact"/>
              <w:ind w:right="-67" w:rightChars="-32"/>
              <w:rPr>
                <w:rFonts w:eastAsia="仿宋_GB2312"/>
                <w:kern w:val="0"/>
                <w:sz w:val="28"/>
                <w:szCs w:val="28"/>
              </w:rPr>
            </w:pPr>
            <w:r>
              <w:rPr>
                <w:rFonts w:hint="eastAsia" w:eastAsia="仿宋_GB2312"/>
                <w:sz w:val="28"/>
                <w:szCs w:val="28"/>
              </w:rPr>
              <w:t>设备硬件故障导致的失控</w:t>
            </w:r>
          </w:p>
        </w:tc>
        <w:tc>
          <w:tcPr>
            <w:tcW w:w="2337" w:type="dxa"/>
            <w:vAlign w:val="center"/>
          </w:tcPr>
          <w:p w14:paraId="5148C436">
            <w:pPr>
              <w:autoSpaceDE w:val="0"/>
              <w:autoSpaceDN w:val="0"/>
              <w:adjustRightInd w:val="0"/>
              <w:spacing w:line="440" w:lineRule="exact"/>
              <w:ind w:right="-67" w:rightChars="-32"/>
              <w:rPr>
                <w:rFonts w:eastAsia="仿宋_GB2312"/>
                <w:kern w:val="0"/>
                <w:sz w:val="28"/>
                <w:szCs w:val="28"/>
              </w:rPr>
            </w:pPr>
            <w:r>
              <w:rPr>
                <w:rFonts w:hint="eastAsia" w:eastAsia="仿宋_GB2312"/>
                <w:sz w:val="28"/>
                <w:szCs w:val="28"/>
              </w:rPr>
              <w:t>设备无法使用</w:t>
            </w:r>
          </w:p>
        </w:tc>
      </w:tr>
      <w:tr w14:paraId="15D3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512" w:type="dxa"/>
            <w:vMerge w:val="continue"/>
            <w:vAlign w:val="center"/>
          </w:tcPr>
          <w:p w14:paraId="7FE0735D">
            <w:pPr>
              <w:autoSpaceDE w:val="0"/>
              <w:autoSpaceDN w:val="0"/>
              <w:adjustRightInd w:val="0"/>
              <w:spacing w:line="440" w:lineRule="exact"/>
              <w:ind w:right="-67" w:rightChars="-32"/>
              <w:jc w:val="center"/>
              <w:rPr>
                <w:rFonts w:eastAsia="仿宋_GB2312"/>
                <w:kern w:val="0"/>
                <w:sz w:val="28"/>
                <w:szCs w:val="28"/>
              </w:rPr>
            </w:pPr>
          </w:p>
        </w:tc>
        <w:tc>
          <w:tcPr>
            <w:tcW w:w="3060" w:type="dxa"/>
            <w:tcBorders>
              <w:bottom w:val="single" w:color="auto" w:sz="4" w:space="0"/>
            </w:tcBorders>
            <w:vAlign w:val="center"/>
          </w:tcPr>
          <w:p w14:paraId="31142532">
            <w:pPr>
              <w:autoSpaceDE w:val="0"/>
              <w:autoSpaceDN w:val="0"/>
              <w:adjustRightInd w:val="0"/>
              <w:spacing w:line="440" w:lineRule="exact"/>
              <w:ind w:right="-67" w:rightChars="-32"/>
              <w:rPr>
                <w:rFonts w:eastAsia="仿宋_GB2312"/>
                <w:kern w:val="0"/>
                <w:sz w:val="28"/>
                <w:szCs w:val="28"/>
              </w:rPr>
            </w:pPr>
            <w:r>
              <w:rPr>
                <w:rFonts w:hint="eastAsia" w:eastAsia="仿宋_GB2312"/>
                <w:sz w:val="28"/>
                <w:szCs w:val="28"/>
                <w:lang w:eastAsia="zh-CN"/>
              </w:rPr>
              <w:t>膨腔泵</w:t>
            </w:r>
            <w:r>
              <w:rPr>
                <w:rFonts w:hint="eastAsia" w:eastAsia="仿宋_GB2312"/>
                <w:sz w:val="28"/>
                <w:szCs w:val="28"/>
              </w:rPr>
              <w:t>设定压力过高</w:t>
            </w:r>
          </w:p>
        </w:tc>
        <w:tc>
          <w:tcPr>
            <w:tcW w:w="2666" w:type="dxa"/>
            <w:vAlign w:val="center"/>
          </w:tcPr>
          <w:p w14:paraId="1462372F">
            <w:pPr>
              <w:autoSpaceDE w:val="0"/>
              <w:autoSpaceDN w:val="0"/>
              <w:adjustRightInd w:val="0"/>
              <w:spacing w:line="440" w:lineRule="exact"/>
              <w:ind w:right="-67" w:rightChars="-32"/>
              <w:rPr>
                <w:rFonts w:eastAsia="仿宋_GB2312"/>
                <w:kern w:val="0"/>
                <w:sz w:val="28"/>
                <w:szCs w:val="28"/>
              </w:rPr>
            </w:pPr>
            <w:r>
              <w:rPr>
                <w:rFonts w:hint="eastAsia" w:eastAsia="仿宋_GB2312"/>
                <w:sz w:val="28"/>
                <w:szCs w:val="28"/>
              </w:rPr>
              <w:t>手术时患者</w:t>
            </w:r>
            <w:r>
              <w:rPr>
                <w:rFonts w:hint="eastAsia" w:eastAsia="仿宋_GB2312"/>
                <w:sz w:val="28"/>
                <w:szCs w:val="28"/>
                <w:lang w:eastAsia="zh-CN"/>
              </w:rPr>
              <w:t>感觉</w:t>
            </w:r>
            <w:r>
              <w:rPr>
                <w:rFonts w:hint="eastAsia" w:eastAsia="仿宋_GB2312"/>
                <w:sz w:val="28"/>
                <w:szCs w:val="28"/>
              </w:rPr>
              <w:t>不适宜</w:t>
            </w:r>
          </w:p>
        </w:tc>
        <w:tc>
          <w:tcPr>
            <w:tcW w:w="2337" w:type="dxa"/>
            <w:vAlign w:val="center"/>
          </w:tcPr>
          <w:p w14:paraId="7F0DA8DB">
            <w:pPr>
              <w:autoSpaceDE w:val="0"/>
              <w:autoSpaceDN w:val="0"/>
              <w:adjustRightInd w:val="0"/>
              <w:spacing w:line="440" w:lineRule="exact"/>
              <w:ind w:right="-67" w:rightChars="-32"/>
              <w:rPr>
                <w:rFonts w:eastAsia="仿宋_GB2312"/>
                <w:kern w:val="0"/>
                <w:sz w:val="28"/>
                <w:szCs w:val="28"/>
              </w:rPr>
            </w:pPr>
            <w:r>
              <w:rPr>
                <w:rFonts w:hint="eastAsia" w:eastAsia="仿宋_GB2312"/>
                <w:sz w:val="28"/>
                <w:szCs w:val="28"/>
              </w:rPr>
              <w:t>造成患者不适</w:t>
            </w:r>
          </w:p>
        </w:tc>
      </w:tr>
      <w:tr w14:paraId="40E9E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512" w:type="dxa"/>
            <w:vMerge w:val="restart"/>
            <w:vAlign w:val="center"/>
          </w:tcPr>
          <w:p w14:paraId="0242483F">
            <w:pPr>
              <w:autoSpaceDE w:val="0"/>
              <w:autoSpaceDN w:val="0"/>
              <w:adjustRightInd w:val="0"/>
              <w:spacing w:line="440" w:lineRule="exact"/>
              <w:ind w:right="-67" w:rightChars="-32"/>
              <w:jc w:val="center"/>
              <w:rPr>
                <w:rFonts w:eastAsia="仿宋_GB2312"/>
                <w:kern w:val="0"/>
                <w:sz w:val="28"/>
                <w:szCs w:val="28"/>
              </w:rPr>
            </w:pPr>
            <w:r>
              <w:rPr>
                <w:rFonts w:eastAsia="仿宋_GB2312"/>
                <w:kern w:val="0"/>
                <w:sz w:val="28"/>
                <w:szCs w:val="28"/>
              </w:rPr>
              <w:t>不完整的说明书</w:t>
            </w:r>
          </w:p>
        </w:tc>
        <w:tc>
          <w:tcPr>
            <w:tcW w:w="3060" w:type="dxa"/>
            <w:tcBorders>
              <w:top w:val="single" w:color="auto" w:sz="4" w:space="0"/>
              <w:bottom w:val="single" w:color="auto" w:sz="4" w:space="0"/>
            </w:tcBorders>
            <w:vAlign w:val="center"/>
          </w:tcPr>
          <w:p w14:paraId="396E1155">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未对错误操作进行说明</w:t>
            </w:r>
          </w:p>
        </w:tc>
        <w:tc>
          <w:tcPr>
            <w:tcW w:w="2666" w:type="dxa"/>
            <w:vAlign w:val="center"/>
          </w:tcPr>
          <w:p w14:paraId="6EB07383">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见“操作错误”</w:t>
            </w:r>
          </w:p>
        </w:tc>
        <w:tc>
          <w:tcPr>
            <w:tcW w:w="2337" w:type="dxa"/>
            <w:vAlign w:val="center"/>
          </w:tcPr>
          <w:p w14:paraId="5E957930">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lang w:eastAsia="zh-CN"/>
              </w:rPr>
              <w:t>体腔</w:t>
            </w:r>
            <w:r>
              <w:rPr>
                <w:rFonts w:eastAsia="仿宋_GB2312"/>
                <w:kern w:val="0"/>
                <w:sz w:val="28"/>
                <w:szCs w:val="28"/>
              </w:rPr>
              <w:t>无法建立或维持，造成手术无法正常开展。</w:t>
            </w:r>
          </w:p>
        </w:tc>
      </w:tr>
      <w:tr w14:paraId="1CA68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512" w:type="dxa"/>
            <w:vMerge w:val="continue"/>
            <w:vAlign w:val="center"/>
          </w:tcPr>
          <w:p w14:paraId="0B5E805A">
            <w:pPr>
              <w:autoSpaceDE w:val="0"/>
              <w:autoSpaceDN w:val="0"/>
              <w:adjustRightInd w:val="0"/>
              <w:spacing w:line="440" w:lineRule="exact"/>
              <w:ind w:right="-67" w:rightChars="-32"/>
              <w:jc w:val="center"/>
              <w:rPr>
                <w:rFonts w:eastAsia="仿宋_GB2312"/>
                <w:kern w:val="0"/>
                <w:sz w:val="28"/>
                <w:szCs w:val="28"/>
              </w:rPr>
            </w:pPr>
          </w:p>
        </w:tc>
        <w:tc>
          <w:tcPr>
            <w:tcW w:w="3060" w:type="dxa"/>
            <w:tcBorders>
              <w:top w:val="single" w:color="auto" w:sz="4" w:space="0"/>
              <w:bottom w:val="single" w:color="auto" w:sz="4" w:space="0"/>
            </w:tcBorders>
            <w:vAlign w:val="center"/>
          </w:tcPr>
          <w:p w14:paraId="02FF9C1D">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不正确的产品贮存条件</w:t>
            </w:r>
          </w:p>
        </w:tc>
        <w:tc>
          <w:tcPr>
            <w:tcW w:w="2666" w:type="dxa"/>
            <w:vAlign w:val="center"/>
          </w:tcPr>
          <w:p w14:paraId="3B5AC41B">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器件老化，部件寿命降低</w:t>
            </w:r>
          </w:p>
        </w:tc>
        <w:tc>
          <w:tcPr>
            <w:tcW w:w="2337" w:type="dxa"/>
            <w:vAlign w:val="center"/>
          </w:tcPr>
          <w:p w14:paraId="744443B2">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产品寿命降低，设备故障率提高。</w:t>
            </w:r>
          </w:p>
        </w:tc>
      </w:tr>
      <w:tr w14:paraId="58196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512" w:type="dxa"/>
            <w:vMerge w:val="continue"/>
            <w:vAlign w:val="center"/>
          </w:tcPr>
          <w:p w14:paraId="3A20CA87">
            <w:pPr>
              <w:autoSpaceDE w:val="0"/>
              <w:autoSpaceDN w:val="0"/>
              <w:adjustRightInd w:val="0"/>
              <w:spacing w:line="440" w:lineRule="exact"/>
              <w:ind w:right="-67" w:rightChars="-32"/>
              <w:jc w:val="center"/>
              <w:rPr>
                <w:rFonts w:eastAsia="仿宋_GB2312"/>
                <w:kern w:val="0"/>
                <w:sz w:val="28"/>
                <w:szCs w:val="28"/>
              </w:rPr>
            </w:pPr>
          </w:p>
        </w:tc>
        <w:tc>
          <w:tcPr>
            <w:tcW w:w="3060" w:type="dxa"/>
            <w:tcBorders>
              <w:top w:val="single" w:color="auto" w:sz="4" w:space="0"/>
              <w:bottom w:val="single" w:color="auto" w:sz="4" w:space="0"/>
            </w:tcBorders>
            <w:vAlign w:val="center"/>
          </w:tcPr>
          <w:p w14:paraId="7D18636D">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未对清洗、消毒程序作出详细说明</w:t>
            </w:r>
          </w:p>
        </w:tc>
        <w:tc>
          <w:tcPr>
            <w:tcW w:w="2666" w:type="dxa"/>
            <w:vAlign w:val="center"/>
          </w:tcPr>
          <w:p w14:paraId="33056CAB">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使用有腐蚀性的清洁剂、消毒剂</w:t>
            </w:r>
          </w:p>
        </w:tc>
        <w:tc>
          <w:tcPr>
            <w:tcW w:w="2337" w:type="dxa"/>
            <w:vAlign w:val="center"/>
          </w:tcPr>
          <w:p w14:paraId="3541C353">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产品部件腐蚀，防护性能降低</w:t>
            </w:r>
          </w:p>
        </w:tc>
      </w:tr>
      <w:tr w14:paraId="369DD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512" w:type="dxa"/>
            <w:vMerge w:val="continue"/>
            <w:vAlign w:val="center"/>
          </w:tcPr>
          <w:p w14:paraId="1F070FC3">
            <w:pPr>
              <w:autoSpaceDE w:val="0"/>
              <w:autoSpaceDN w:val="0"/>
              <w:adjustRightInd w:val="0"/>
              <w:spacing w:line="440" w:lineRule="exact"/>
              <w:ind w:right="-67" w:rightChars="-32"/>
              <w:jc w:val="center"/>
              <w:rPr>
                <w:rFonts w:eastAsia="仿宋_GB2312"/>
                <w:kern w:val="0"/>
                <w:sz w:val="28"/>
                <w:szCs w:val="28"/>
              </w:rPr>
            </w:pPr>
          </w:p>
        </w:tc>
        <w:tc>
          <w:tcPr>
            <w:tcW w:w="3060" w:type="dxa"/>
            <w:tcBorders>
              <w:top w:val="single" w:color="auto" w:sz="4" w:space="0"/>
              <w:bottom w:val="single" w:color="auto" w:sz="4" w:space="0"/>
            </w:tcBorders>
            <w:vAlign w:val="center"/>
          </w:tcPr>
          <w:p w14:paraId="2E35C228">
            <w:pPr>
              <w:autoSpaceDE w:val="0"/>
              <w:autoSpaceDN w:val="0"/>
              <w:adjustRightInd w:val="0"/>
              <w:spacing w:line="440" w:lineRule="exact"/>
              <w:ind w:right="-67" w:rightChars="-32"/>
              <w:rPr>
                <w:rFonts w:hint="eastAsia" w:eastAsia="仿宋_GB2312"/>
                <w:kern w:val="0"/>
                <w:sz w:val="28"/>
                <w:szCs w:val="28"/>
              </w:rPr>
            </w:pPr>
            <w:r>
              <w:rPr>
                <w:rFonts w:hint="eastAsia" w:eastAsia="仿宋_GB2312"/>
                <w:kern w:val="0"/>
                <w:sz w:val="28"/>
                <w:szCs w:val="28"/>
              </w:rPr>
              <w:t>未对错误操作</w:t>
            </w:r>
          </w:p>
          <w:p w14:paraId="44FD4247">
            <w:pPr>
              <w:autoSpaceDE w:val="0"/>
              <w:autoSpaceDN w:val="0"/>
              <w:adjustRightInd w:val="0"/>
              <w:spacing w:line="440" w:lineRule="exact"/>
              <w:ind w:right="-67" w:rightChars="-32"/>
              <w:rPr>
                <w:rFonts w:hint="eastAsia" w:ascii="宋体" w:hAnsi="宋体" w:cs="宋体"/>
                <w:kern w:val="0"/>
                <w:sz w:val="28"/>
                <w:szCs w:val="28"/>
              </w:rPr>
            </w:pPr>
            <w:r>
              <w:rPr>
                <w:rFonts w:hint="eastAsia" w:eastAsia="仿宋_GB2312"/>
                <w:kern w:val="0"/>
                <w:sz w:val="28"/>
                <w:szCs w:val="28"/>
              </w:rPr>
              <w:t>进行说明</w:t>
            </w:r>
          </w:p>
        </w:tc>
        <w:tc>
          <w:tcPr>
            <w:tcW w:w="2666" w:type="dxa"/>
            <w:vAlign w:val="center"/>
          </w:tcPr>
          <w:p w14:paraId="3C10066E">
            <w:pPr>
              <w:autoSpaceDE w:val="0"/>
              <w:autoSpaceDN w:val="0"/>
              <w:adjustRightInd w:val="0"/>
              <w:spacing w:line="440" w:lineRule="exact"/>
              <w:ind w:right="-67" w:rightChars="-32"/>
              <w:rPr>
                <w:rFonts w:hint="eastAsia" w:ascii="宋体" w:hAnsi="宋体" w:cs="宋体"/>
                <w:kern w:val="0"/>
                <w:sz w:val="28"/>
                <w:szCs w:val="28"/>
              </w:rPr>
            </w:pPr>
            <w:r>
              <w:rPr>
                <w:rFonts w:hint="eastAsia" w:eastAsia="仿宋_GB2312"/>
                <w:kern w:val="0"/>
                <w:sz w:val="28"/>
                <w:szCs w:val="28"/>
              </w:rPr>
              <w:t>见“操作错误”</w:t>
            </w:r>
          </w:p>
        </w:tc>
        <w:tc>
          <w:tcPr>
            <w:tcW w:w="2337" w:type="dxa"/>
            <w:vAlign w:val="center"/>
          </w:tcPr>
          <w:p w14:paraId="01BF00B4">
            <w:pPr>
              <w:autoSpaceDE w:val="0"/>
              <w:autoSpaceDN w:val="0"/>
              <w:adjustRightInd w:val="0"/>
              <w:spacing w:line="440" w:lineRule="exact"/>
              <w:ind w:right="-67" w:rightChars="-32"/>
              <w:rPr>
                <w:rFonts w:hint="eastAsia" w:ascii="宋体" w:hAnsi="宋体" w:cs="宋体"/>
                <w:kern w:val="0"/>
                <w:sz w:val="28"/>
                <w:szCs w:val="28"/>
              </w:rPr>
            </w:pPr>
            <w:r>
              <w:rPr>
                <w:rFonts w:hint="eastAsia" w:eastAsia="仿宋_GB2312"/>
                <w:kern w:val="0"/>
                <w:sz w:val="28"/>
                <w:szCs w:val="28"/>
                <w:lang w:eastAsia="zh-CN"/>
              </w:rPr>
              <w:t>体腔</w:t>
            </w:r>
            <w:r>
              <w:rPr>
                <w:rFonts w:hint="eastAsia" w:eastAsia="仿宋_GB2312"/>
                <w:kern w:val="0"/>
                <w:sz w:val="28"/>
                <w:szCs w:val="28"/>
              </w:rPr>
              <w:t>无法建立或维持，造成手术无法正常开展。</w:t>
            </w:r>
          </w:p>
        </w:tc>
      </w:tr>
      <w:tr w14:paraId="52A51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512" w:type="dxa"/>
            <w:vMerge w:val="continue"/>
            <w:vAlign w:val="center"/>
          </w:tcPr>
          <w:p w14:paraId="467D62C0">
            <w:pPr>
              <w:autoSpaceDE w:val="0"/>
              <w:autoSpaceDN w:val="0"/>
              <w:adjustRightInd w:val="0"/>
              <w:spacing w:line="440" w:lineRule="exact"/>
              <w:ind w:right="-67" w:rightChars="-32"/>
              <w:jc w:val="center"/>
              <w:rPr>
                <w:rFonts w:eastAsia="仿宋_GB2312"/>
                <w:kern w:val="0"/>
                <w:sz w:val="28"/>
                <w:szCs w:val="28"/>
              </w:rPr>
            </w:pPr>
          </w:p>
        </w:tc>
        <w:tc>
          <w:tcPr>
            <w:tcW w:w="3060" w:type="dxa"/>
            <w:tcBorders>
              <w:top w:val="single" w:color="auto" w:sz="4" w:space="0"/>
              <w:bottom w:val="single" w:color="auto" w:sz="4" w:space="0"/>
            </w:tcBorders>
            <w:vAlign w:val="center"/>
          </w:tcPr>
          <w:p w14:paraId="76CAA4F9">
            <w:pPr>
              <w:autoSpaceDE w:val="0"/>
              <w:autoSpaceDN w:val="0"/>
              <w:adjustRightInd w:val="0"/>
              <w:spacing w:line="440" w:lineRule="exact"/>
              <w:ind w:right="-67" w:rightChars="-32"/>
              <w:rPr>
                <w:rFonts w:hint="eastAsia" w:eastAsia="仿宋_GB2312"/>
                <w:kern w:val="0"/>
                <w:sz w:val="28"/>
                <w:szCs w:val="28"/>
              </w:rPr>
            </w:pPr>
            <w:r>
              <w:rPr>
                <w:rFonts w:hint="eastAsia" w:eastAsia="仿宋_GB2312"/>
                <w:kern w:val="0"/>
                <w:sz w:val="28"/>
                <w:szCs w:val="28"/>
              </w:rPr>
              <w:t>未对部件/附件安装作出说明</w:t>
            </w:r>
          </w:p>
        </w:tc>
        <w:tc>
          <w:tcPr>
            <w:tcW w:w="2666" w:type="dxa"/>
            <w:vAlign w:val="center"/>
          </w:tcPr>
          <w:p w14:paraId="688B33EB">
            <w:pPr>
              <w:autoSpaceDE w:val="0"/>
              <w:autoSpaceDN w:val="0"/>
              <w:adjustRightInd w:val="0"/>
              <w:spacing w:line="440" w:lineRule="exact"/>
              <w:ind w:right="-67" w:rightChars="-32"/>
              <w:rPr>
                <w:rFonts w:hint="eastAsia" w:eastAsia="仿宋_GB2312"/>
                <w:kern w:val="0"/>
                <w:sz w:val="28"/>
                <w:szCs w:val="28"/>
              </w:rPr>
            </w:pPr>
            <w:r>
              <w:rPr>
                <w:rFonts w:hint="eastAsia" w:eastAsia="仿宋_GB2312"/>
                <w:kern w:val="0"/>
                <w:sz w:val="28"/>
                <w:szCs w:val="28"/>
              </w:rPr>
              <w:t>错误的安装、操作</w:t>
            </w:r>
          </w:p>
        </w:tc>
        <w:tc>
          <w:tcPr>
            <w:tcW w:w="2337" w:type="dxa"/>
            <w:vAlign w:val="center"/>
          </w:tcPr>
          <w:p w14:paraId="0AE72B13">
            <w:pPr>
              <w:autoSpaceDE w:val="0"/>
              <w:autoSpaceDN w:val="0"/>
              <w:adjustRightInd w:val="0"/>
              <w:spacing w:line="440" w:lineRule="exact"/>
              <w:ind w:right="-67" w:rightChars="-32"/>
              <w:rPr>
                <w:rFonts w:hint="eastAsia" w:eastAsia="仿宋_GB2312"/>
                <w:kern w:val="0"/>
                <w:sz w:val="28"/>
                <w:szCs w:val="28"/>
                <w:lang w:eastAsia="zh-CN"/>
              </w:rPr>
            </w:pPr>
            <w:r>
              <w:rPr>
                <w:rFonts w:hint="eastAsia" w:eastAsia="仿宋_GB2312"/>
                <w:kern w:val="0"/>
                <w:sz w:val="28"/>
                <w:szCs w:val="28"/>
              </w:rPr>
              <w:t>损坏设备、使用者产生危险、伤害患者</w:t>
            </w:r>
          </w:p>
        </w:tc>
      </w:tr>
    </w:tbl>
    <w:p w14:paraId="4B88F3F0">
      <w:pPr>
        <w:overflowPunct w:val="0"/>
        <w:autoSpaceDE w:val="0"/>
        <w:autoSpaceDN w:val="0"/>
        <w:spacing w:line="520" w:lineRule="exact"/>
        <w:ind w:firstLine="640" w:firstLineChars="200"/>
        <w:outlineLvl w:val="2"/>
        <w:rPr>
          <w:rFonts w:eastAsia="仿宋"/>
          <w:sz w:val="32"/>
          <w:szCs w:val="32"/>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w:t>
      </w:r>
      <w:r>
        <w:rPr>
          <w:rFonts w:hint="eastAsia" w:eastAsia="仿宋"/>
          <w:sz w:val="32"/>
          <w:szCs w:val="32"/>
        </w:rPr>
        <w:t>安全和性能的基本原则</w:t>
      </w:r>
    </w:p>
    <w:p w14:paraId="470BA94B">
      <w:pPr>
        <w:overflowPunct w:val="0"/>
        <w:autoSpaceDE w:val="0"/>
        <w:autoSpaceDN w:val="0"/>
        <w:spacing w:line="520" w:lineRule="exact"/>
        <w:ind w:firstLine="640" w:firstLineChars="200"/>
        <w:outlineLvl w:val="2"/>
        <w:rPr>
          <w:rFonts w:hint="eastAsia" w:eastAsia="仿宋_GB2312"/>
          <w:snapToGrid w:val="0"/>
          <w:kern w:val="0"/>
          <w:sz w:val="32"/>
          <w:szCs w:val="32"/>
        </w:rPr>
      </w:pPr>
      <w:r>
        <w:rPr>
          <w:rFonts w:hint="eastAsia" w:eastAsia="仿宋"/>
          <w:sz w:val="32"/>
          <w:szCs w:val="32"/>
        </w:rPr>
        <w:t>参考《医疗器械安全和性能基本原则符合性技术指南》的要求，根据《医疗器械安全和性能的基本原则》中的各项要求明确适用性。对于不适用的要求，应当逐项说明不适用的理由。对于适用要求，应逐项说明为符合要求所采用的方法，以及证明其符合性的文件。关于证明各项要求符合性的文件，如果包含在产品注册申报资料中，应当说明其在申报资料中的具体位置。对于未包含在产品注册申报资料中的文件，应当注明该证明文件名称及其在质量管理体系文件中的编号。</w:t>
      </w:r>
    </w:p>
    <w:p w14:paraId="773B1A0B">
      <w:pPr>
        <w:numPr>
          <w:ilvl w:val="0"/>
          <w:numId w:val="0"/>
        </w:num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产品技术要求及检验报告</w:t>
      </w:r>
    </w:p>
    <w:p w14:paraId="0E453998">
      <w:pPr>
        <w:pStyle w:val="8"/>
        <w:widowControl/>
        <w:ind w:firstLine="640"/>
        <w:jc w:val="both"/>
        <w:rPr>
          <w:rFonts w:eastAsia="仿宋_GB2312"/>
          <w:snapToGrid w:val="0"/>
          <w:sz w:val="32"/>
          <w:szCs w:val="32"/>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3.1</w:t>
      </w:r>
      <w:r>
        <w:rPr>
          <w:rFonts w:eastAsia="仿宋_GB2312"/>
          <w:snapToGrid w:val="0"/>
          <w:sz w:val="32"/>
          <w:szCs w:val="32"/>
        </w:rPr>
        <w:t>产品适用标准情况</w:t>
      </w:r>
    </w:p>
    <w:p w14:paraId="68FD607A">
      <w:pPr>
        <w:spacing w:line="520" w:lineRule="exact"/>
        <w:jc w:val="center"/>
        <w:rPr>
          <w:rFonts w:eastAsia="仿宋_GB2312"/>
          <w:snapToGrid w:val="0"/>
          <w:sz w:val="32"/>
          <w:szCs w:val="32"/>
        </w:rPr>
      </w:pPr>
      <w:r>
        <w:rPr>
          <w:rFonts w:hint="eastAsia" w:eastAsia="方正小标宋简体"/>
          <w:kern w:val="0"/>
          <w:sz w:val="28"/>
          <w:szCs w:val="28"/>
        </w:rPr>
        <w:t>表</w:t>
      </w:r>
      <w:r>
        <w:rPr>
          <w:rFonts w:hint="eastAsia" w:eastAsia="方正小标宋简体"/>
          <w:kern w:val="0"/>
          <w:sz w:val="28"/>
          <w:szCs w:val="28"/>
          <w:lang w:val="en-US" w:eastAsia="zh-CN"/>
        </w:rPr>
        <w:t>3</w:t>
      </w:r>
      <w:r>
        <w:rPr>
          <w:rFonts w:hint="eastAsia" w:eastAsia="方正小标宋简体"/>
          <w:kern w:val="0"/>
          <w:sz w:val="28"/>
          <w:szCs w:val="28"/>
        </w:rPr>
        <w:t>相关产品标准</w:t>
      </w:r>
    </w:p>
    <w:tbl>
      <w:tblPr>
        <w:tblStyle w:val="9"/>
        <w:tblW w:w="82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5448"/>
      </w:tblGrid>
      <w:tr w14:paraId="7104F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35" w:type="dxa"/>
            <w:vAlign w:val="center"/>
          </w:tcPr>
          <w:p w14:paraId="4CF94626">
            <w:pPr>
              <w:autoSpaceDE w:val="0"/>
              <w:autoSpaceDN w:val="0"/>
              <w:adjustRightInd w:val="0"/>
              <w:spacing w:line="480" w:lineRule="exact"/>
              <w:ind w:right="-67" w:rightChars="-32"/>
              <w:jc w:val="center"/>
              <w:rPr>
                <w:rFonts w:ascii="黑体" w:hAnsi="黑体" w:eastAsia="黑体"/>
                <w:kern w:val="0"/>
                <w:sz w:val="28"/>
                <w:szCs w:val="28"/>
              </w:rPr>
            </w:pPr>
            <w:bookmarkStart w:id="19" w:name="_Hlk198626370"/>
            <w:r>
              <w:rPr>
                <w:rFonts w:hint="eastAsia" w:ascii="黑体" w:hAnsi="黑体" w:eastAsia="黑体"/>
                <w:kern w:val="0"/>
                <w:sz w:val="28"/>
                <w:szCs w:val="28"/>
              </w:rPr>
              <w:t>标准编号</w:t>
            </w:r>
          </w:p>
        </w:tc>
        <w:tc>
          <w:tcPr>
            <w:tcW w:w="5448" w:type="dxa"/>
            <w:vAlign w:val="center"/>
          </w:tcPr>
          <w:p w14:paraId="339186F4">
            <w:pPr>
              <w:spacing w:line="480" w:lineRule="exact"/>
              <w:jc w:val="center"/>
              <w:rPr>
                <w:rFonts w:ascii="黑体" w:hAnsi="黑体" w:eastAsia="黑体"/>
                <w:kern w:val="0"/>
                <w:sz w:val="28"/>
                <w:szCs w:val="28"/>
              </w:rPr>
            </w:pPr>
            <w:r>
              <w:rPr>
                <w:rFonts w:hint="eastAsia" w:ascii="黑体" w:hAnsi="黑体" w:eastAsia="黑体"/>
                <w:kern w:val="0"/>
                <w:sz w:val="28"/>
                <w:szCs w:val="28"/>
              </w:rPr>
              <w:t>标准名称</w:t>
            </w:r>
          </w:p>
        </w:tc>
      </w:tr>
      <w:tr w14:paraId="02D56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vAlign w:val="center"/>
          </w:tcPr>
          <w:p w14:paraId="34E6F685"/>
          <w:p w14:paraId="2B6CE832">
            <w:pPr>
              <w:autoSpaceDE w:val="0"/>
              <w:autoSpaceDN w:val="0"/>
              <w:adjustRightInd w:val="0"/>
              <w:spacing w:line="480" w:lineRule="exact"/>
              <w:ind w:right="-67" w:rightChars="-32"/>
              <w:rPr>
                <w:rFonts w:eastAsia="仿宋_GB2312"/>
                <w:kern w:val="0"/>
                <w:sz w:val="28"/>
                <w:szCs w:val="28"/>
              </w:rPr>
            </w:pPr>
            <w:r>
              <w:rPr>
                <w:rFonts w:hint="default" w:ascii="Times New Roman" w:hAnsi="Times New Roman" w:eastAsia="仿宋_GB2312" w:cs="Times New Roman"/>
                <w:kern w:val="0"/>
                <w:sz w:val="32"/>
                <w:szCs w:val="32"/>
              </w:rPr>
              <w:t>GB 9706.1</w:t>
            </w:r>
          </w:p>
        </w:tc>
        <w:tc>
          <w:tcPr>
            <w:tcW w:w="5448" w:type="dxa"/>
          </w:tcPr>
          <w:p w14:paraId="50C4732C">
            <w:pPr>
              <w:spacing w:line="560" w:lineRule="exact"/>
              <w:rPr>
                <w:rFonts w:eastAsia="仿宋_GB2312"/>
                <w:kern w:val="0"/>
                <w:sz w:val="28"/>
                <w:szCs w:val="28"/>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fldChar w:fldCharType="begin"/>
            </w:r>
            <w:r>
              <w:rPr>
                <w:rFonts w:hint="eastAsia" w:ascii="Times New Roman" w:hAnsi="Times New Roman" w:eastAsia="仿宋_GB2312" w:cs="Times New Roman"/>
                <w:color w:val="000000" w:themeColor="text1"/>
                <w:sz w:val="32"/>
                <w:szCs w:val="32"/>
                <w:lang w:eastAsia="zh-CN"/>
                <w14:textFill>
                  <w14:solidFill>
                    <w14:schemeClr w14:val="tx1"/>
                  </w14:solidFill>
                </w14:textFill>
              </w:rPr>
              <w:instrText xml:space="preserve"> HYPERLINK "https://std.samr.gov.cn/gb/search/gbDetailed?id=A327FCEA3046B9B7E05397BE0A0A8A97" \t "_blank" </w:instrText>
            </w:r>
            <w:r>
              <w:rPr>
                <w:rFonts w:hint="eastAsia" w:ascii="Times New Roman" w:hAnsi="Times New Roman" w:eastAsia="仿宋_GB2312" w:cs="Times New Roman"/>
                <w:color w:val="000000" w:themeColor="text1"/>
                <w:sz w:val="32"/>
                <w:szCs w:val="32"/>
                <w:lang w:eastAsia="zh-CN"/>
                <w14:textFill>
                  <w14:solidFill>
                    <w14:schemeClr w14:val="tx1"/>
                  </w14:solidFill>
                </w14:textFill>
              </w:rPr>
              <w:fldChar w:fldCharType="separate"/>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医用电气设备 第1部分：基本安全和基本性能的通用要求</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fldChar w:fldCharType="end"/>
            </w:r>
          </w:p>
        </w:tc>
      </w:tr>
      <w:tr w14:paraId="6CF3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vAlign w:val="center"/>
          </w:tcPr>
          <w:p w14:paraId="20EE3A41">
            <w:pPr>
              <w:autoSpaceDE w:val="0"/>
              <w:autoSpaceDN w:val="0"/>
              <w:adjustRightInd w:val="0"/>
              <w:spacing w:line="480" w:lineRule="exact"/>
              <w:ind w:right="-67" w:rightChars="-32"/>
              <w:rPr>
                <w:rFonts w:eastAsia="仿宋_GB2312"/>
                <w:kern w:val="0"/>
                <w:sz w:val="28"/>
                <w:szCs w:val="28"/>
              </w:rPr>
            </w:pPr>
            <w:r>
              <w:rPr>
                <w:rFonts w:hint="eastAsia" w:ascii="Times New Roman" w:hAnsi="Times New Roman" w:eastAsia="仿宋_GB2312" w:cs="Times New Roman"/>
                <w:kern w:val="0"/>
                <w:sz w:val="32"/>
                <w:szCs w:val="32"/>
              </w:rPr>
              <w:t>GB 9706.218</w:t>
            </w:r>
          </w:p>
        </w:tc>
        <w:tc>
          <w:tcPr>
            <w:tcW w:w="5448" w:type="dxa"/>
          </w:tcPr>
          <w:p w14:paraId="4868BA9B">
            <w:pPr>
              <w:spacing w:line="560" w:lineRule="exact"/>
              <w:rPr>
                <w:rFonts w:eastAsia="仿宋_GB2312"/>
                <w:kern w:val="0"/>
                <w:sz w:val="28"/>
                <w:szCs w:val="28"/>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《医用电气设备 第2-18部分：内窥镜设备的基本安全与基本性能专用要求》</w:t>
            </w:r>
          </w:p>
        </w:tc>
      </w:tr>
      <w:tr w14:paraId="3566C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vAlign w:val="center"/>
          </w:tcPr>
          <w:p w14:paraId="7C903947">
            <w:pPr>
              <w:autoSpaceDE w:val="0"/>
              <w:autoSpaceDN w:val="0"/>
              <w:adjustRightInd w:val="0"/>
              <w:spacing w:line="480" w:lineRule="exact"/>
              <w:ind w:right="-67" w:rightChars="-32"/>
              <w:rPr>
                <w:rFonts w:hint="default" w:eastAsia="仿宋_GB2312"/>
                <w:kern w:val="0"/>
                <w:sz w:val="28"/>
                <w:szCs w:val="28"/>
                <w:lang w:val="en-US" w:eastAsia="zh-CN"/>
              </w:rPr>
            </w:pPr>
            <w:r>
              <w:rPr>
                <w:rFonts w:hint="eastAsia" w:ascii="Times New Roman" w:hAnsi="Times New Roman" w:eastAsia="仿宋_GB2312" w:cs="Times New Roman"/>
                <w:kern w:val="0"/>
                <w:sz w:val="32"/>
                <w:szCs w:val="32"/>
              </w:rPr>
              <w:t>YY</w:t>
            </w:r>
            <w:r>
              <w:rPr>
                <w:rFonts w:hint="eastAsia" w:ascii="Times New Roman" w:hAnsi="Times New Roman" w:eastAsia="仿宋_GB2312" w:cs="Times New Roman"/>
                <w:kern w:val="0"/>
                <w:sz w:val="32"/>
                <w:szCs w:val="32"/>
                <w:lang w:val="en-US" w:eastAsia="zh-CN"/>
              </w:rPr>
              <w:t>/T</w:t>
            </w:r>
            <w:r>
              <w:rPr>
                <w:rFonts w:hint="eastAsia" w:ascii="Times New Roman" w:hAnsi="Times New Roman" w:eastAsia="仿宋_GB2312" w:cs="Times New Roman"/>
                <w:kern w:val="0"/>
                <w:sz w:val="32"/>
                <w:szCs w:val="32"/>
              </w:rPr>
              <w:t xml:space="preserve"> 08</w:t>
            </w:r>
            <w:r>
              <w:rPr>
                <w:rFonts w:hint="eastAsia" w:ascii="Times New Roman" w:hAnsi="Times New Roman" w:eastAsia="仿宋_GB2312" w:cs="Times New Roman"/>
                <w:kern w:val="0"/>
                <w:sz w:val="32"/>
                <w:szCs w:val="32"/>
                <w:lang w:val="en-US" w:eastAsia="zh-CN"/>
              </w:rPr>
              <w:t>64</w:t>
            </w:r>
          </w:p>
        </w:tc>
        <w:tc>
          <w:tcPr>
            <w:tcW w:w="5448" w:type="dxa"/>
          </w:tcPr>
          <w:p w14:paraId="65C84954">
            <w:pPr>
              <w:spacing w:line="560" w:lineRule="exact"/>
              <w:rPr>
                <w:rFonts w:eastAsia="仿宋_GB2312"/>
                <w:kern w:val="0"/>
                <w:sz w:val="28"/>
                <w:szCs w:val="28"/>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医用内窥镜 内窥镜功能供给装置 液体膨腔泵</w:t>
            </w:r>
          </w:p>
        </w:tc>
      </w:tr>
      <w:tr w14:paraId="4ED81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Pr>
          <w:p w14:paraId="590C0C7A">
            <w:pPr>
              <w:autoSpaceDE w:val="0"/>
              <w:autoSpaceDN w:val="0"/>
              <w:adjustRightInd w:val="0"/>
              <w:spacing w:line="480" w:lineRule="exact"/>
              <w:ind w:right="-67" w:rightChars="-32"/>
              <w:rPr>
                <w:rFonts w:eastAsia="仿宋_GB2312"/>
                <w:kern w:val="0"/>
                <w:sz w:val="28"/>
                <w:szCs w:val="28"/>
              </w:rPr>
            </w:pPr>
            <w:r>
              <w:rPr>
                <w:rFonts w:hint="default" w:ascii="Times New Roman" w:hAnsi="Times New Roman" w:eastAsia="仿宋_GB2312" w:cs="Times New Roman"/>
                <w:kern w:val="0"/>
                <w:sz w:val="32"/>
                <w:szCs w:val="32"/>
              </w:rPr>
              <w:t>GB/T 14710</w:t>
            </w:r>
          </w:p>
        </w:tc>
        <w:tc>
          <w:tcPr>
            <w:tcW w:w="5448" w:type="dxa"/>
          </w:tcPr>
          <w:p w14:paraId="416A48D1">
            <w:pPr>
              <w:spacing w:line="560" w:lineRule="exact"/>
              <w:rPr>
                <w:rFonts w:eastAsia="仿宋_GB2312"/>
                <w:kern w:val="0"/>
                <w:sz w:val="28"/>
                <w:szCs w:val="28"/>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医用电器环境要求及试验方法</w:t>
            </w:r>
          </w:p>
        </w:tc>
      </w:tr>
      <w:tr w14:paraId="7BF91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vAlign w:val="center"/>
          </w:tcPr>
          <w:p w14:paraId="68EBE2FA"/>
          <w:p w14:paraId="1B388ED7"/>
          <w:p w14:paraId="67367B9F">
            <w:pPr>
              <w:autoSpaceDE w:val="0"/>
              <w:autoSpaceDN w:val="0"/>
              <w:adjustRightInd w:val="0"/>
              <w:spacing w:line="480" w:lineRule="exact"/>
              <w:ind w:right="-67" w:rightChars="-32"/>
              <w:rPr>
                <w:rFonts w:eastAsia="仿宋_GB2312"/>
                <w:kern w:val="0"/>
                <w:sz w:val="28"/>
                <w:szCs w:val="28"/>
              </w:rPr>
            </w:pPr>
            <w:r>
              <w:rPr>
                <w:rFonts w:hint="eastAsia" w:ascii="Times New Roman" w:hAnsi="Times New Roman" w:eastAsia="仿宋_GB2312" w:cs="Times New Roman"/>
                <w:kern w:val="0"/>
                <w:sz w:val="32"/>
                <w:szCs w:val="32"/>
              </w:rPr>
              <w:t>GB/T 16886.1</w:t>
            </w:r>
          </w:p>
        </w:tc>
        <w:tc>
          <w:tcPr>
            <w:tcW w:w="5448" w:type="dxa"/>
          </w:tcPr>
          <w:p w14:paraId="5CE015E9">
            <w:pPr>
              <w:spacing w:line="560" w:lineRule="exact"/>
              <w:rPr>
                <w:rFonts w:eastAsia="仿宋_GB2312"/>
                <w:kern w:val="0"/>
                <w:sz w:val="28"/>
                <w:szCs w:val="28"/>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fldChar w:fldCharType="begin"/>
            </w:r>
            <w:r>
              <w:rPr>
                <w:rFonts w:hint="eastAsia" w:ascii="Times New Roman" w:hAnsi="Times New Roman" w:eastAsia="仿宋_GB2312" w:cs="Times New Roman"/>
                <w:color w:val="000000" w:themeColor="text1"/>
                <w:sz w:val="32"/>
                <w:szCs w:val="32"/>
                <w:lang w:eastAsia="zh-CN"/>
                <w14:textFill>
                  <w14:solidFill>
                    <w14:schemeClr w14:val="tx1"/>
                  </w14:solidFill>
                </w14:textFill>
              </w:rPr>
              <w:instrText xml:space="preserve"> HYPERLINK "https://std.samr.gov.cn/gb/search/gbDetailed?id=DD3D95E5C0E471EBE05397BE0A0AF33F" \t "_blank" </w:instrText>
            </w:r>
            <w:r>
              <w:rPr>
                <w:rFonts w:hint="eastAsia" w:ascii="Times New Roman" w:hAnsi="Times New Roman" w:eastAsia="仿宋_GB2312" w:cs="Times New Roman"/>
                <w:color w:val="000000" w:themeColor="text1"/>
                <w:sz w:val="32"/>
                <w:szCs w:val="32"/>
                <w:lang w:eastAsia="zh-CN"/>
                <w14:textFill>
                  <w14:solidFill>
                    <w14:schemeClr w14:val="tx1"/>
                  </w14:solidFill>
                </w14:textFill>
              </w:rPr>
              <w:fldChar w:fldCharType="separate"/>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医疗器械生物学评价 第1部分：风险管理过程中的评价与试验</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fldChar w:fldCharType="end"/>
            </w:r>
          </w:p>
        </w:tc>
      </w:tr>
      <w:tr w14:paraId="75606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835" w:type="dxa"/>
            <w:vAlign w:val="center"/>
          </w:tcPr>
          <w:p w14:paraId="2D1FE198"/>
          <w:p w14:paraId="380DB759"/>
          <w:p w14:paraId="25236798">
            <w:pPr>
              <w:autoSpaceDE w:val="0"/>
              <w:autoSpaceDN w:val="0"/>
              <w:adjustRightInd w:val="0"/>
              <w:spacing w:line="480" w:lineRule="exact"/>
              <w:ind w:right="-67" w:rightChars="-32"/>
              <w:rPr>
                <w:rFonts w:eastAsia="仿宋_GB2312"/>
                <w:kern w:val="0"/>
                <w:sz w:val="28"/>
                <w:szCs w:val="28"/>
              </w:rPr>
            </w:pPr>
            <w:r>
              <w:rPr>
                <w:rFonts w:hint="eastAsia" w:ascii="Times New Roman" w:hAnsi="Times New Roman" w:eastAsia="仿宋_GB2312" w:cs="Times New Roman"/>
                <w:kern w:val="0"/>
                <w:sz w:val="32"/>
                <w:szCs w:val="32"/>
              </w:rPr>
              <w:t>GB/T 16886.5</w:t>
            </w:r>
          </w:p>
        </w:tc>
        <w:tc>
          <w:tcPr>
            <w:tcW w:w="5448" w:type="dxa"/>
          </w:tcPr>
          <w:p w14:paraId="599A8536">
            <w:pPr>
              <w:spacing w:line="560" w:lineRule="exact"/>
              <w:rPr>
                <w:rFonts w:eastAsia="仿宋_GB2312"/>
                <w:kern w:val="0"/>
                <w:sz w:val="28"/>
                <w:szCs w:val="28"/>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fldChar w:fldCharType="begin"/>
            </w:r>
            <w:r>
              <w:rPr>
                <w:rFonts w:hint="eastAsia" w:ascii="Times New Roman" w:hAnsi="Times New Roman" w:eastAsia="仿宋_GB2312" w:cs="Times New Roman"/>
                <w:color w:val="000000" w:themeColor="text1"/>
                <w:sz w:val="32"/>
                <w:szCs w:val="32"/>
                <w:lang w:eastAsia="zh-CN"/>
                <w14:textFill>
                  <w14:solidFill>
                    <w14:schemeClr w14:val="tx1"/>
                  </w14:solidFill>
                </w14:textFill>
              </w:rPr>
              <w:instrText xml:space="preserve"> HYPERLINK "https://std.samr.gov.cn/gb/search/gbDetailed?id=71F772D823B2D3A7E05397BE0A0AB82A" \t "_blank" </w:instrText>
            </w:r>
            <w:r>
              <w:rPr>
                <w:rFonts w:hint="eastAsia" w:ascii="Times New Roman" w:hAnsi="Times New Roman" w:eastAsia="仿宋_GB2312" w:cs="Times New Roman"/>
                <w:color w:val="000000" w:themeColor="text1"/>
                <w:sz w:val="32"/>
                <w:szCs w:val="32"/>
                <w:lang w:eastAsia="zh-CN"/>
                <w14:textFill>
                  <w14:solidFill>
                    <w14:schemeClr w14:val="tx1"/>
                  </w14:solidFill>
                </w14:textFill>
              </w:rPr>
              <w:fldChar w:fldCharType="separate"/>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医疗器械生物学评价 第5部分：体外细胞毒性试验</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fldChar w:fldCharType="end"/>
            </w:r>
          </w:p>
        </w:tc>
      </w:tr>
      <w:tr w14:paraId="08F05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vAlign w:val="center"/>
          </w:tcPr>
          <w:p w14:paraId="302E5BD4">
            <w:pPr>
              <w:autoSpaceDE w:val="0"/>
              <w:autoSpaceDN w:val="0"/>
              <w:adjustRightInd w:val="0"/>
              <w:spacing w:line="480" w:lineRule="exact"/>
              <w:ind w:right="-67" w:rightChars="-32"/>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GB/T 16886.10</w:t>
            </w:r>
          </w:p>
          <w:p w14:paraId="476043FE"/>
          <w:p w14:paraId="16D7D407">
            <w:pPr>
              <w:autoSpaceDE w:val="0"/>
              <w:autoSpaceDN w:val="0"/>
              <w:adjustRightInd w:val="0"/>
              <w:spacing w:line="480" w:lineRule="exact"/>
              <w:ind w:right="-67" w:rightChars="-32"/>
              <w:rPr>
                <w:rFonts w:eastAsia="仿宋_GB2312"/>
                <w:kern w:val="0"/>
                <w:sz w:val="28"/>
                <w:szCs w:val="28"/>
              </w:rPr>
            </w:pPr>
          </w:p>
        </w:tc>
        <w:tc>
          <w:tcPr>
            <w:tcW w:w="5448" w:type="dxa"/>
          </w:tcPr>
          <w:p w14:paraId="568BD22A">
            <w:pPr>
              <w:spacing w:line="560" w:lineRule="exact"/>
              <w:rPr>
                <w:rFonts w:eastAsia="仿宋_GB2312"/>
                <w:kern w:val="0"/>
                <w:sz w:val="28"/>
                <w:szCs w:val="28"/>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fldChar w:fldCharType="begin"/>
            </w:r>
            <w:r>
              <w:rPr>
                <w:rFonts w:hint="eastAsia" w:ascii="Times New Roman" w:hAnsi="Times New Roman" w:eastAsia="仿宋_GB2312" w:cs="Times New Roman"/>
                <w:color w:val="000000" w:themeColor="text1"/>
                <w:sz w:val="32"/>
                <w:szCs w:val="32"/>
                <w:lang w:eastAsia="zh-CN"/>
                <w14:textFill>
                  <w14:solidFill>
                    <w14:schemeClr w14:val="tx1"/>
                  </w14:solidFill>
                </w14:textFill>
              </w:rPr>
              <w:instrText xml:space="preserve"> HYPERLINK "https://std.samr.gov.cn/gb/search/gbDetailed?id=208E903AB73C79F3E06397BE0A0AB2B9" \t "_blank" </w:instrText>
            </w:r>
            <w:r>
              <w:rPr>
                <w:rFonts w:hint="eastAsia" w:ascii="Times New Roman" w:hAnsi="Times New Roman" w:eastAsia="仿宋_GB2312" w:cs="Times New Roman"/>
                <w:color w:val="000000" w:themeColor="text1"/>
                <w:sz w:val="32"/>
                <w:szCs w:val="32"/>
                <w:lang w:eastAsia="zh-CN"/>
                <w14:textFill>
                  <w14:solidFill>
                    <w14:schemeClr w14:val="tx1"/>
                  </w14:solidFill>
                </w14:textFill>
              </w:rPr>
              <w:fldChar w:fldCharType="separate"/>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医疗器械生物学评价</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 xml:space="preserve"> </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第</w:t>
            </w:r>
            <w:r>
              <w:rPr>
                <w:rFonts w:hint="eastAsia" w:ascii="Times New Roman" w:hAnsi="Times New Roman" w:eastAsia="仿宋_GB2312" w:cs="Times New Roman"/>
                <w:kern w:val="0"/>
                <w:sz w:val="32"/>
                <w:szCs w:val="32"/>
                <w:lang w:eastAsia="zh-CN"/>
              </w:rPr>
              <w:t>10</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部分：皮肤致敏试验</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fldChar w:fldCharType="end"/>
            </w:r>
          </w:p>
        </w:tc>
      </w:tr>
      <w:tr w14:paraId="76ED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vAlign w:val="center"/>
          </w:tcPr>
          <w:p w14:paraId="6B96E899">
            <w:pPr>
              <w:autoSpaceDE w:val="0"/>
              <w:autoSpaceDN w:val="0"/>
              <w:adjustRightInd w:val="0"/>
              <w:spacing w:line="480" w:lineRule="exact"/>
              <w:ind w:right="-67" w:rightChars="-32"/>
              <w:rPr>
                <w:rFonts w:hint="eastAsia" w:ascii="Times New Roman" w:hAnsi="Times New Roman" w:eastAsia="仿宋_GB2312" w:cs="Times New Roman"/>
                <w:kern w:val="0"/>
                <w:sz w:val="32"/>
                <w:szCs w:val="32"/>
                <w:lang w:eastAsia="zh-CN"/>
              </w:rPr>
            </w:pPr>
            <w:r>
              <w:rPr>
                <w:rFonts w:hint="default" w:ascii="Times New Roman" w:hAnsi="Times New Roman" w:eastAsia="仿宋_GB2312" w:cs="Times New Roman"/>
                <w:kern w:val="0"/>
                <w:sz w:val="32"/>
                <w:szCs w:val="32"/>
              </w:rPr>
              <w:t>GB/T 16886.1</w:t>
            </w:r>
            <w:r>
              <w:rPr>
                <w:rFonts w:hint="eastAsia" w:ascii="Times New Roman" w:hAnsi="Times New Roman" w:eastAsia="仿宋_GB2312" w:cs="Times New Roman"/>
                <w:kern w:val="0"/>
                <w:sz w:val="32"/>
                <w:szCs w:val="32"/>
                <w:lang w:val="en-US" w:eastAsia="zh-CN"/>
              </w:rPr>
              <w:t>1</w:t>
            </w:r>
          </w:p>
          <w:p w14:paraId="05691FDF">
            <w:pPr>
              <w:autoSpaceDE w:val="0"/>
              <w:autoSpaceDN w:val="0"/>
              <w:adjustRightInd w:val="0"/>
              <w:spacing w:line="480" w:lineRule="exact"/>
              <w:ind w:right="-67" w:rightChars="-32"/>
              <w:rPr>
                <w:rFonts w:eastAsia="仿宋_GB2312"/>
                <w:kern w:val="0"/>
                <w:sz w:val="28"/>
                <w:szCs w:val="28"/>
              </w:rPr>
            </w:pPr>
          </w:p>
        </w:tc>
        <w:tc>
          <w:tcPr>
            <w:tcW w:w="5448" w:type="dxa"/>
          </w:tcPr>
          <w:p w14:paraId="7E4638F1">
            <w:pPr>
              <w:spacing w:line="560" w:lineRule="exact"/>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医疗器械生物学评价</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 xml:space="preserve"> </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第</w:t>
            </w:r>
            <w:r>
              <w:rPr>
                <w:rFonts w:hint="eastAsia" w:ascii="Times New Roman" w:hAnsi="Times New Roman" w:eastAsia="仿宋_GB2312" w:cs="Times New Roman"/>
                <w:kern w:val="0"/>
                <w:sz w:val="32"/>
                <w:szCs w:val="32"/>
                <w:lang w:eastAsia="zh-CN"/>
              </w:rPr>
              <w:t>1</w:t>
            </w:r>
            <w:r>
              <w:rPr>
                <w:rFonts w:hint="eastAsia" w:ascii="Times New Roman" w:hAnsi="Times New Roman" w:eastAsia="仿宋_GB2312" w:cs="Times New Roman"/>
                <w:kern w:val="0"/>
                <w:sz w:val="32"/>
                <w:szCs w:val="32"/>
                <w:lang w:val="en-US" w:eastAsia="zh-CN"/>
              </w:rPr>
              <w:t>1</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部分：</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全身毒性试验</w:t>
            </w:r>
          </w:p>
        </w:tc>
      </w:tr>
      <w:tr w14:paraId="59623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vAlign w:val="center"/>
          </w:tcPr>
          <w:p w14:paraId="1C8636AD">
            <w:pPr>
              <w:autoSpaceDE w:val="0"/>
              <w:autoSpaceDN w:val="0"/>
              <w:adjustRightInd w:val="0"/>
              <w:spacing w:line="480" w:lineRule="exact"/>
              <w:ind w:right="-67" w:rightChars="-32"/>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rPr>
              <w:t>GB/T 16886.</w:t>
            </w:r>
            <w:r>
              <w:rPr>
                <w:rFonts w:hint="eastAsia" w:ascii="Times New Roman" w:hAnsi="Times New Roman" w:eastAsia="仿宋_GB2312" w:cs="Times New Roman"/>
                <w:kern w:val="0"/>
                <w:sz w:val="32"/>
                <w:szCs w:val="32"/>
                <w:lang w:val="en-US" w:eastAsia="zh-CN"/>
              </w:rPr>
              <w:t>23</w:t>
            </w:r>
          </w:p>
          <w:p w14:paraId="4C2289C3">
            <w:pPr>
              <w:autoSpaceDE w:val="0"/>
              <w:autoSpaceDN w:val="0"/>
              <w:adjustRightInd w:val="0"/>
              <w:spacing w:line="480" w:lineRule="exact"/>
              <w:ind w:right="-67" w:rightChars="-32"/>
              <w:rPr>
                <w:rFonts w:eastAsia="仿宋_GB2312"/>
                <w:kern w:val="0"/>
                <w:sz w:val="28"/>
                <w:szCs w:val="28"/>
              </w:rPr>
            </w:pPr>
          </w:p>
        </w:tc>
        <w:tc>
          <w:tcPr>
            <w:tcW w:w="5448" w:type="dxa"/>
          </w:tcPr>
          <w:p w14:paraId="05CA61E9">
            <w:pPr>
              <w:spacing w:line="560" w:lineRule="exact"/>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医疗器械生物学评价</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 xml:space="preserve"> </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第</w:t>
            </w:r>
            <w:r>
              <w:rPr>
                <w:rFonts w:hint="eastAsia" w:ascii="Times New Roman" w:hAnsi="Times New Roman" w:eastAsia="仿宋_GB2312" w:cs="Times New Roman"/>
                <w:kern w:val="0"/>
                <w:sz w:val="32"/>
                <w:szCs w:val="32"/>
                <w:lang w:val="en-US" w:eastAsia="zh-CN"/>
              </w:rPr>
              <w:t>23</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部分：</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刺激试验</w:t>
            </w:r>
          </w:p>
        </w:tc>
      </w:tr>
      <w:tr w14:paraId="705BA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vAlign w:val="center"/>
          </w:tcPr>
          <w:p w14:paraId="307FF1AA"/>
          <w:p w14:paraId="348429B0">
            <w:pPr>
              <w:autoSpaceDE w:val="0"/>
              <w:autoSpaceDN w:val="0"/>
              <w:adjustRightInd w:val="0"/>
              <w:spacing w:line="480" w:lineRule="exact"/>
              <w:ind w:right="-67" w:rightChars="-32"/>
              <w:rPr>
                <w:rFonts w:eastAsia="仿宋_GB2312"/>
                <w:kern w:val="0"/>
                <w:sz w:val="28"/>
                <w:szCs w:val="28"/>
              </w:rPr>
            </w:pPr>
            <w:r>
              <w:rPr>
                <w:rFonts w:hint="default" w:ascii="Times New Roman" w:hAnsi="Times New Roman" w:eastAsia="仿宋_GB2312" w:cs="Times New Roman"/>
                <w:kern w:val="0"/>
                <w:sz w:val="32"/>
                <w:szCs w:val="32"/>
              </w:rPr>
              <w:t>YY 9706.102</w:t>
            </w:r>
          </w:p>
        </w:tc>
        <w:tc>
          <w:tcPr>
            <w:tcW w:w="5448" w:type="dxa"/>
          </w:tcPr>
          <w:p w14:paraId="6F4CEF24">
            <w:pPr>
              <w:spacing w:line="560" w:lineRule="exact"/>
              <w:rPr>
                <w:rFonts w:eastAsia="仿宋_GB2312"/>
                <w:kern w:val="0"/>
                <w:sz w:val="28"/>
                <w:szCs w:val="28"/>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fldChar w:fldCharType="begin"/>
            </w:r>
            <w:r>
              <w:rPr>
                <w:rFonts w:hint="eastAsia" w:ascii="Times New Roman" w:hAnsi="Times New Roman" w:eastAsia="仿宋_GB2312" w:cs="Times New Roman"/>
                <w:color w:val="000000" w:themeColor="text1"/>
                <w:sz w:val="32"/>
                <w:szCs w:val="32"/>
                <w:lang w:eastAsia="zh-CN"/>
                <w14:textFill>
                  <w14:solidFill>
                    <w14:schemeClr w14:val="tx1"/>
                  </w14:solidFill>
                </w14:textFill>
              </w:rPr>
              <w:instrText xml:space="preserve"> HYPERLINK "https://std.samr.gov.cn/hb/search/stdHBDetailed?id=BFEAFC933D025285E05397BE0A0A7BFB" \t "_blank" </w:instrText>
            </w:r>
            <w:r>
              <w:rPr>
                <w:rFonts w:hint="eastAsia" w:ascii="Times New Roman" w:hAnsi="Times New Roman" w:eastAsia="仿宋_GB2312" w:cs="Times New Roman"/>
                <w:color w:val="000000" w:themeColor="text1"/>
                <w:sz w:val="32"/>
                <w:szCs w:val="32"/>
                <w:lang w:eastAsia="zh-CN"/>
                <w14:textFill>
                  <w14:solidFill>
                    <w14:schemeClr w14:val="tx1"/>
                  </w14:solidFill>
                </w14:textFill>
              </w:rPr>
              <w:fldChar w:fldCharType="separate"/>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医用电气设备 第</w:t>
            </w:r>
            <w:r>
              <w:rPr>
                <w:rFonts w:hint="eastAsia" w:ascii="Times New Roman" w:hAnsi="Times New Roman" w:eastAsia="仿宋_GB2312" w:cs="Times New Roman"/>
                <w:kern w:val="0"/>
                <w:sz w:val="32"/>
                <w:szCs w:val="32"/>
                <w:lang w:eastAsia="zh-CN"/>
              </w:rPr>
              <w:t>1-2</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部分：基本安全和基本性能的通用要求 并列标准：电磁兼容要求和试验</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fldChar w:fldCharType="end"/>
            </w:r>
          </w:p>
        </w:tc>
      </w:tr>
      <w:tr w14:paraId="1962F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2835" w:type="dxa"/>
          </w:tcPr>
          <w:p w14:paraId="7B87C895">
            <w:pPr>
              <w:autoSpaceDE w:val="0"/>
              <w:autoSpaceDN w:val="0"/>
              <w:adjustRightInd w:val="0"/>
              <w:spacing w:line="480" w:lineRule="exact"/>
              <w:ind w:right="-67" w:rightChars="-32"/>
              <w:rPr>
                <w:rFonts w:eastAsia="仿宋_GB2312"/>
                <w:kern w:val="0"/>
                <w:sz w:val="28"/>
                <w:szCs w:val="28"/>
              </w:rPr>
            </w:pPr>
            <w:r>
              <w:rPr>
                <w:rFonts w:hint="default" w:ascii="Times New Roman" w:hAnsi="Times New Roman" w:eastAsia="仿宋_GB2312" w:cs="Times New Roman"/>
                <w:kern w:val="0"/>
                <w:sz w:val="32"/>
                <w:szCs w:val="32"/>
              </w:rPr>
              <w:t>GB/T 42062</w:t>
            </w:r>
          </w:p>
        </w:tc>
        <w:tc>
          <w:tcPr>
            <w:tcW w:w="5448" w:type="dxa"/>
          </w:tcPr>
          <w:p w14:paraId="6666961F">
            <w:pPr>
              <w:spacing w:line="560" w:lineRule="exact"/>
              <w:rPr>
                <w:rFonts w:eastAsia="仿宋_GB2312"/>
                <w:kern w:val="0"/>
                <w:sz w:val="28"/>
                <w:szCs w:val="28"/>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医疗器械风险管理对医疗器械的应用</w:t>
            </w:r>
          </w:p>
        </w:tc>
      </w:tr>
      <w:tr w14:paraId="06F0B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835" w:type="dxa"/>
            <w:vAlign w:val="center"/>
          </w:tcPr>
          <w:p w14:paraId="4C23EA26">
            <w:pPr>
              <w:autoSpaceDE w:val="0"/>
              <w:autoSpaceDN w:val="0"/>
              <w:adjustRightInd w:val="0"/>
              <w:spacing w:line="480" w:lineRule="exact"/>
              <w:ind w:right="-67" w:rightChars="-32"/>
              <w:rPr>
                <w:rFonts w:eastAsia="仿宋_GB2312"/>
                <w:kern w:val="0"/>
                <w:sz w:val="28"/>
                <w:szCs w:val="28"/>
              </w:rPr>
            </w:pPr>
            <w:r>
              <w:rPr>
                <w:rFonts w:hint="default" w:ascii="Times New Roman" w:hAnsi="Times New Roman" w:eastAsia="仿宋_GB2312" w:cs="Times New Roman"/>
                <w:kern w:val="0"/>
                <w:sz w:val="32"/>
                <w:szCs w:val="32"/>
              </w:rPr>
              <w:t>YY/T 0466.1</w:t>
            </w:r>
          </w:p>
        </w:tc>
        <w:tc>
          <w:tcPr>
            <w:tcW w:w="5448" w:type="dxa"/>
          </w:tcPr>
          <w:p w14:paraId="063267CE">
            <w:pPr>
              <w:spacing w:line="560" w:lineRule="exact"/>
              <w:rPr>
                <w:rFonts w:eastAsia="仿宋_GB2312"/>
                <w:kern w:val="0"/>
                <w:sz w:val="28"/>
                <w:szCs w:val="28"/>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医疗器械用于制造商提供信息的符号 第1部分：通用要求</w:t>
            </w:r>
          </w:p>
        </w:tc>
      </w:tr>
      <w:tr w14:paraId="4C50F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835" w:type="dxa"/>
            <w:vAlign w:val="center"/>
          </w:tcPr>
          <w:p w14:paraId="58126255">
            <w:pPr>
              <w:autoSpaceDE w:val="0"/>
              <w:autoSpaceDN w:val="0"/>
              <w:adjustRightInd w:val="0"/>
              <w:spacing w:line="480" w:lineRule="exact"/>
              <w:ind w:right="-67" w:rightChars="-32"/>
              <w:rPr>
                <w:rFonts w:hint="default"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GB/T 14233.1</w:t>
            </w:r>
          </w:p>
        </w:tc>
        <w:tc>
          <w:tcPr>
            <w:tcW w:w="5448" w:type="dxa"/>
          </w:tcPr>
          <w:p w14:paraId="6F02C95A">
            <w:pPr>
              <w:spacing w:line="560" w:lineRule="exact"/>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医用输液、输血、注射器具检验方法 第1部分：化学分析方法</w:t>
            </w:r>
          </w:p>
        </w:tc>
      </w:tr>
      <w:tr w14:paraId="7EA22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835" w:type="dxa"/>
            <w:vAlign w:val="center"/>
          </w:tcPr>
          <w:p w14:paraId="1B306E00">
            <w:pPr>
              <w:autoSpaceDE w:val="0"/>
              <w:autoSpaceDN w:val="0"/>
              <w:adjustRightInd w:val="0"/>
              <w:spacing w:line="480" w:lineRule="exact"/>
              <w:ind w:right="-67" w:rightChars="-32"/>
              <w:rPr>
                <w:rFonts w:hint="default"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YY/T 1057</w:t>
            </w:r>
          </w:p>
        </w:tc>
        <w:tc>
          <w:tcPr>
            <w:tcW w:w="5448" w:type="dxa"/>
          </w:tcPr>
          <w:p w14:paraId="696D9B61">
            <w:pPr>
              <w:spacing w:line="560" w:lineRule="exact"/>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医用脚踏开关通用技术条件</w:t>
            </w:r>
          </w:p>
        </w:tc>
      </w:tr>
      <w:tr w14:paraId="122B3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835" w:type="dxa"/>
            <w:vAlign w:val="center"/>
          </w:tcPr>
          <w:p w14:paraId="6C2A7AD1">
            <w:pPr>
              <w:autoSpaceDE w:val="0"/>
              <w:autoSpaceDN w:val="0"/>
              <w:adjustRightInd w:val="0"/>
              <w:spacing w:line="480" w:lineRule="exact"/>
              <w:ind w:right="-67" w:rightChars="-32"/>
              <w:rPr>
                <w:rFonts w:hint="eastAsia"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YY/T 0636.1</w:t>
            </w:r>
          </w:p>
        </w:tc>
        <w:tc>
          <w:tcPr>
            <w:tcW w:w="5448" w:type="dxa"/>
          </w:tcPr>
          <w:p w14:paraId="303DB58D">
            <w:pPr>
              <w:spacing w:line="560" w:lineRule="exact"/>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医用吸引设备 第1部分：电动吸引设备</w:t>
            </w:r>
          </w:p>
        </w:tc>
      </w:tr>
      <w:bookmarkEnd w:id="19"/>
    </w:tbl>
    <w:p w14:paraId="476C7628">
      <w:pPr>
        <w:spacing w:line="520" w:lineRule="exact"/>
        <w:ind w:firstLine="560" w:firstLineChars="200"/>
        <w:jc w:val="left"/>
        <w:rPr>
          <w:rFonts w:eastAsia="仿宋_GB2312"/>
          <w:sz w:val="32"/>
          <w:szCs w:val="32"/>
        </w:rPr>
      </w:pPr>
      <w:r>
        <w:rPr>
          <w:rFonts w:eastAsia="仿宋_GB2312"/>
          <w:sz w:val="28"/>
          <w:szCs w:val="28"/>
        </w:rPr>
        <w:t>注：以上标准适用最新版本。</w:t>
      </w:r>
    </w:p>
    <w:p w14:paraId="04A392BC">
      <w:pPr>
        <w:spacing w:line="520" w:lineRule="exact"/>
        <w:ind w:firstLine="640" w:firstLineChars="200"/>
        <w:rPr>
          <w:rFonts w:hint="eastAsia" w:eastAsia="仿宋_GB2312"/>
          <w:sz w:val="32"/>
          <w:szCs w:val="32"/>
          <w:lang w:eastAsia="zh-CN"/>
        </w:rPr>
      </w:pPr>
      <w:r>
        <w:rPr>
          <w:rFonts w:eastAsia="仿宋_GB2312"/>
          <w:sz w:val="32"/>
          <w:szCs w:val="32"/>
        </w:rPr>
        <w:t>上述标准包括了产品技术要求和其他相关</w:t>
      </w:r>
      <w:bookmarkStart w:id="25" w:name="_GoBack"/>
      <w:bookmarkEnd w:id="25"/>
      <w:r>
        <w:rPr>
          <w:rFonts w:eastAsia="仿宋_GB2312"/>
          <w:sz w:val="32"/>
          <w:szCs w:val="32"/>
        </w:rPr>
        <w:t>材料中经常涉及的标准，注册申请人应关注上述国家标准和行业标准的有效性。</w:t>
      </w:r>
    </w:p>
    <w:p w14:paraId="18EEFC54">
      <w:pPr>
        <w:spacing w:line="560" w:lineRule="exact"/>
        <w:ind w:firstLine="640" w:firstLineChars="200"/>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3.2</w:t>
      </w:r>
      <w:r>
        <w:rPr>
          <w:rFonts w:hint="eastAsia" w:ascii="Times New Roman" w:hAnsi="Times New Roman" w:eastAsia="仿宋_GB2312" w:cs="Times New Roman"/>
          <w:color w:val="auto"/>
          <w:sz w:val="32"/>
          <w:szCs w:val="32"/>
          <w:highlight w:val="none"/>
          <w:lang w:eastAsia="zh-CN"/>
        </w:rPr>
        <w:t>产品技术要求</w:t>
      </w:r>
    </w:p>
    <w:p w14:paraId="34A4F48E">
      <w:pPr>
        <w:overflowPunct w:val="0"/>
        <w:autoSpaceDE w:val="0"/>
        <w:autoSpaceDN w:val="0"/>
        <w:spacing w:line="520" w:lineRule="exact"/>
        <w:ind w:firstLine="640" w:firstLineChars="200"/>
        <w:rPr>
          <w:rFonts w:eastAsia="仿宋_GB2312"/>
          <w:snapToGrid w:val="0"/>
          <w:kern w:val="0"/>
          <w:sz w:val="32"/>
          <w:szCs w:val="32"/>
        </w:rPr>
      </w:pPr>
      <w:r>
        <w:rPr>
          <w:rFonts w:hint="eastAsia" w:eastAsia="仿宋_GB2312"/>
          <w:sz w:val="32"/>
          <w:szCs w:val="32"/>
        </w:rPr>
        <w:t>据</w:t>
      </w:r>
      <w:r>
        <w:rPr>
          <w:rFonts w:eastAsia="仿宋_GB2312"/>
          <w:sz w:val="32"/>
          <w:szCs w:val="32"/>
        </w:rPr>
        <w:t>《医疗器械产品技术要求编写指导原则》进行编制。</w:t>
      </w:r>
      <w:r>
        <w:rPr>
          <w:rFonts w:hint="eastAsia" w:eastAsia="仿宋_GB2312"/>
          <w:sz w:val="32"/>
          <w:szCs w:val="32"/>
        </w:rPr>
        <w:t>内容应包括产品名称、产品型号/规格及其划分说明、性能指标、检验方法和产品技术要求编号。其中，产品名称、产品型号/规格及其划分说明的内容应与综述资料的相应内容保持一致，性能指标、检验方法的内容可依据行业标准</w:t>
      </w:r>
      <w:r>
        <w:rPr>
          <w:rFonts w:hint="default" w:ascii="Times New Roman" w:hAnsi="Times New Roman" w:eastAsia="仿宋_GB2312" w:cs="Times New Roman"/>
          <w:sz w:val="32"/>
          <w:szCs w:val="32"/>
        </w:rPr>
        <w:t>YY</w:t>
      </w:r>
      <w:r>
        <w:rPr>
          <w:rFonts w:hint="eastAsia" w:ascii="Times New Roman" w:hAnsi="Times New Roman" w:eastAsia="仿宋_GB2312" w:cs="Times New Roman"/>
          <w:sz w:val="32"/>
          <w:szCs w:val="32"/>
          <w:lang w:val="en-US" w:eastAsia="zh-CN"/>
        </w:rPr>
        <w:t>/T</w:t>
      </w:r>
      <w:r>
        <w:rPr>
          <w:rFonts w:hint="default" w:ascii="Times New Roman" w:hAnsi="Times New Roman" w:eastAsia="仿宋_GB2312" w:cs="Times New Roman"/>
          <w:sz w:val="32"/>
          <w:szCs w:val="32"/>
        </w:rPr>
        <w:t xml:space="preserve"> 08</w:t>
      </w:r>
      <w:r>
        <w:rPr>
          <w:rFonts w:hint="eastAsia" w:ascii="Times New Roman" w:hAnsi="Times New Roman" w:eastAsia="仿宋_GB2312" w:cs="Times New Roman"/>
          <w:sz w:val="32"/>
          <w:szCs w:val="32"/>
          <w:lang w:val="en-US" w:eastAsia="zh-CN"/>
        </w:rPr>
        <w:t>64</w:t>
      </w:r>
      <w:r>
        <w:rPr>
          <w:rFonts w:hint="eastAsia" w:eastAsia="仿宋_GB2312"/>
          <w:sz w:val="32"/>
          <w:szCs w:val="32"/>
        </w:rPr>
        <w:t>。不同企业可根据自身产品的技术特点制定性能指标要求，但不得低于相关强制性国家标准、行业标准的要求。如对标准中有部分条款不适用，企业应提交编制说明充分阐述不适用的原因。</w:t>
      </w:r>
    </w:p>
    <w:p w14:paraId="24032D10">
      <w:pPr>
        <w:overflowPunct w:val="0"/>
        <w:autoSpaceDE w:val="0"/>
        <w:autoSpaceDN w:val="0"/>
        <w:spacing w:line="520" w:lineRule="exact"/>
        <w:ind w:firstLine="640" w:firstLineChars="200"/>
        <w:rPr>
          <w:rFonts w:eastAsia="仿宋_GB2312"/>
          <w:snapToGrid w:val="0"/>
          <w:kern w:val="0"/>
          <w:sz w:val="32"/>
          <w:szCs w:val="32"/>
        </w:rPr>
      </w:pPr>
      <w:r>
        <w:rPr>
          <w:rFonts w:hint="eastAsia" w:eastAsia="仿宋_GB2312"/>
          <w:snapToGrid w:val="0"/>
          <w:kern w:val="0"/>
          <w:sz w:val="32"/>
          <w:szCs w:val="32"/>
        </w:rPr>
        <w:t>性能要求包括但不限于如下条款。</w:t>
      </w:r>
    </w:p>
    <w:p w14:paraId="61199A6A">
      <w:pPr>
        <w:overflowPunct w:val="0"/>
        <w:autoSpaceDE w:val="0"/>
        <w:autoSpaceDN w:val="0"/>
        <w:spacing w:line="520" w:lineRule="exact"/>
        <w:ind w:firstLine="640" w:firstLineChars="200"/>
        <w:rPr>
          <w:rFonts w:eastAsia="仿宋_GB2312"/>
          <w:snapToGrid w:val="0"/>
          <w:kern w:val="0"/>
          <w:sz w:val="32"/>
          <w:szCs w:val="32"/>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3.2.1</w:t>
      </w:r>
      <w:r>
        <w:rPr>
          <w:rFonts w:hint="eastAsia" w:eastAsia="仿宋_GB2312"/>
          <w:snapToGrid w:val="0"/>
          <w:kern w:val="0"/>
          <w:sz w:val="32"/>
          <w:szCs w:val="32"/>
        </w:rPr>
        <w:t>一般性能</w:t>
      </w:r>
    </w:p>
    <w:p w14:paraId="5C3989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napToGrid w:val="0"/>
          <w:kern w:val="0"/>
          <w:sz w:val="32"/>
          <w:szCs w:val="32"/>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产品的技术指标应参考YY/T 0864要求制定，如有附加功能，</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注册申请人应</w:t>
      </w:r>
      <w:r>
        <w:rPr>
          <w:rFonts w:hint="eastAsia" w:ascii="Times New Roman" w:hAnsi="Times New Roman" w:eastAsia="仿宋_GB2312" w:cs="Times New Roman"/>
          <w:color w:val="000000" w:themeColor="text1"/>
          <w:sz w:val="32"/>
          <w:szCs w:val="32"/>
          <w:lang w:val="zh-TW" w:eastAsia="zh-CN"/>
          <w14:textFill>
            <w14:solidFill>
              <w14:schemeClr w14:val="tx1"/>
            </w14:solidFill>
          </w14:textFill>
        </w:rPr>
        <w:t>依据设计输入、</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采用</w:t>
      </w:r>
      <w:r>
        <w:rPr>
          <w:rFonts w:hint="eastAsia" w:ascii="Times New Roman" w:hAnsi="Times New Roman" w:eastAsia="仿宋_GB2312" w:cs="Times New Roman"/>
          <w:color w:val="000000" w:themeColor="text1"/>
          <w:sz w:val="32"/>
          <w:szCs w:val="32"/>
          <w:lang w:val="zh-TW" w:eastAsia="zh-CN"/>
          <w14:textFill>
            <w14:solidFill>
              <w14:schemeClr w14:val="tx1"/>
            </w14:solidFill>
          </w14:textFill>
        </w:rPr>
        <w:t>适用于附加功能</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的国家标准、行业标准。注册申请人如不采用相关条款（包括国家标准、行业标准要求），应当说明理由。</w:t>
      </w:r>
      <w:r>
        <w:rPr>
          <w:rFonts w:hint="eastAsia" w:ascii="Times New Roman" w:hAnsi="Times New Roman" w:eastAsia="仿宋_GB2312" w:cs="Times New Roman"/>
          <w:color w:val="000000" w:themeColor="text1"/>
          <w:sz w:val="32"/>
          <w:szCs w:val="32"/>
          <w:lang w:val="zh-TW" w:eastAsia="zh-CN"/>
          <w14:textFill>
            <w14:solidFill>
              <w14:schemeClr w14:val="tx1"/>
            </w14:solidFill>
          </w14:textFill>
        </w:rPr>
        <w:t>如产品组成包含脚踏开关的，则应按照YY</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/T</w:t>
      </w:r>
      <w:r>
        <w:rPr>
          <w:rFonts w:hint="eastAsia" w:ascii="Times New Roman" w:hAnsi="Times New Roman" w:eastAsia="仿宋_GB2312" w:cs="Times New Roman"/>
          <w:color w:val="000000" w:themeColor="text1"/>
          <w:sz w:val="32"/>
          <w:szCs w:val="32"/>
          <w:lang w:val="zh-TW" w:eastAsia="zh-CN"/>
          <w14:textFill>
            <w14:solidFill>
              <w14:schemeClr w14:val="tx1"/>
            </w14:solidFill>
          </w14:textFill>
        </w:rPr>
        <w:t xml:space="preserve"> 1057制定相应的指标。</w:t>
      </w:r>
      <w:r>
        <w:rPr>
          <w:rFonts w:hint="eastAsia" w:ascii="Times New Roman" w:hAnsi="Times New Roman" w:eastAsia="仿宋_GB2312" w:cs="Times New Roman"/>
          <w:color w:val="000000" w:themeColor="text1"/>
          <w:sz w:val="32"/>
          <w:szCs w:val="32"/>
          <w:highlight w:val="none"/>
          <w:lang w:val="zh-TW" w:eastAsia="zh-CN"/>
          <w14:textFill>
            <w14:solidFill>
              <w14:schemeClr w14:val="tx1"/>
            </w14:solidFill>
          </w14:textFill>
        </w:rPr>
        <w:t>如含吸引、冲洗功能的，性能指标可参考相关标准以及指导原则要求。</w:t>
      </w:r>
      <w:r>
        <w:rPr>
          <w:rFonts w:hint="eastAsia" w:eastAsia="仿宋_GB2312"/>
          <w:snapToGrid w:val="0"/>
          <w:kern w:val="0"/>
          <w:sz w:val="32"/>
          <w:szCs w:val="32"/>
          <w:lang w:eastAsia="zh-CN"/>
        </w:rPr>
        <w:t>膨腔泵</w:t>
      </w:r>
      <w:r>
        <w:rPr>
          <w:rFonts w:hint="eastAsia" w:eastAsia="仿宋_GB2312"/>
          <w:snapToGrid w:val="0"/>
          <w:kern w:val="0"/>
          <w:sz w:val="32"/>
          <w:szCs w:val="32"/>
        </w:rPr>
        <w:t>产品型号/规格及其划分说明应明确软件版本信息，包括：软件名称、型号规格、发布版本、版本命名规则、运行环境。</w:t>
      </w:r>
    </w:p>
    <w:p w14:paraId="1544955E">
      <w:pPr>
        <w:spacing w:line="520" w:lineRule="exact"/>
        <w:ind w:firstLine="640" w:firstLineChars="200"/>
        <w:rPr>
          <w:rFonts w:eastAsia="仿宋_GB2312"/>
          <w:sz w:val="32"/>
          <w:szCs w:val="32"/>
        </w:rPr>
      </w:pPr>
      <w:r>
        <w:rPr>
          <w:rFonts w:hint="eastAsia" w:ascii="Times New Roman" w:hAnsi="Times New Roman" w:eastAsia="仿宋_GB2312"/>
          <w:color w:val="000000" w:themeColor="text1"/>
          <w:sz w:val="32"/>
          <w:szCs w:val="32"/>
          <w:lang w:val="en-US" w:eastAsia="zh-CN"/>
          <w14:textFill>
            <w14:solidFill>
              <w14:schemeClr w14:val="tx1"/>
            </w14:solidFill>
          </w14:textFill>
        </w:rPr>
        <w:t>3</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lang w:val="en-US" w:eastAsia="zh-CN"/>
          <w14:textFill>
            <w14:solidFill>
              <w14:schemeClr w14:val="tx1"/>
            </w14:solidFill>
          </w14:textFill>
        </w:rPr>
        <w:t>2.2</w:t>
      </w:r>
      <w:r>
        <w:rPr>
          <w:rFonts w:hint="eastAsia" w:eastAsia="仿宋_GB2312"/>
          <w:sz w:val="32"/>
          <w:szCs w:val="32"/>
        </w:rPr>
        <w:t>软件功能</w:t>
      </w:r>
    </w:p>
    <w:p w14:paraId="7E55CF1F">
      <w:pPr>
        <w:keepNext w:val="0"/>
        <w:keepLines w:val="0"/>
        <w:pageBreakBefore w:val="0"/>
        <w:widowControl/>
        <w:kinsoku/>
        <w:wordWrap/>
        <w:overflowPunct/>
        <w:topLinePunct w:val="0"/>
        <w:autoSpaceDE/>
        <w:autoSpaceDN/>
        <w:bidi w:val="0"/>
        <w:adjustRightInd/>
        <w:snapToGrid/>
        <w:spacing w:line="520" w:lineRule="exact"/>
        <w:ind w:firstLine="640" w:firstLineChars="200"/>
        <w:textAlignment w:val="auto"/>
        <w:rPr>
          <w:rFonts w:hint="eastAsia" w:eastAsia="仿宋_GB2312"/>
          <w:snapToGrid w:val="0"/>
          <w:kern w:val="0"/>
          <w:sz w:val="32"/>
          <w:szCs w:val="32"/>
        </w:rPr>
      </w:pPr>
      <w:r>
        <w:rPr>
          <w:rFonts w:hint="eastAsia" w:eastAsia="仿宋_GB2312"/>
          <w:sz w:val="32"/>
          <w:szCs w:val="32"/>
        </w:rPr>
        <w:t>应符合《医疗器械软件注册审查指导原则》中第九章注册申报资料补充说明中关于产品技术要求性能指标的建议内容。</w:t>
      </w:r>
    </w:p>
    <w:p w14:paraId="53C94EA1">
      <w:pPr>
        <w:snapToGrid/>
        <w:spacing w:line="560" w:lineRule="exact"/>
        <w:ind w:firstLine="640" w:firstLineChars="200"/>
        <w:rPr>
          <w:rFonts w:hint="eastAsia" w:eastAsia="仿宋_GB2312"/>
          <w:snapToGrid w:val="0"/>
          <w:kern w:val="0"/>
          <w:sz w:val="32"/>
          <w:szCs w:val="32"/>
          <w:highlight w:val="red"/>
        </w:rPr>
      </w:pPr>
      <w:r>
        <w:rPr>
          <w:rFonts w:hint="eastAsia" w:ascii="Times New Roman" w:hAnsi="Times New Roman" w:eastAsia="仿宋_GB2312"/>
          <w:snapToGrid/>
          <w:color w:val="000000" w:themeColor="text1"/>
          <w:kern w:val="2"/>
          <w:sz w:val="32"/>
          <w:szCs w:val="32"/>
          <w:lang w:val="en-US" w:eastAsia="zh-CN"/>
          <w14:textFill>
            <w14:solidFill>
              <w14:schemeClr w14:val="tx1"/>
            </w14:solidFill>
          </w14:textFill>
        </w:rPr>
        <w:t xml:space="preserve">3.2.3 </w:t>
      </w:r>
      <w:r>
        <w:rPr>
          <w:rFonts w:hint="eastAsia" w:eastAsia="仿宋_GB2312"/>
          <w:snapToGrid w:val="0"/>
          <w:kern w:val="0"/>
          <w:sz w:val="32"/>
          <w:szCs w:val="32"/>
          <w:highlight w:val="none"/>
        </w:rPr>
        <w:t>化学性能</w:t>
      </w:r>
    </w:p>
    <w:p w14:paraId="0A9F0DE4">
      <w:pPr>
        <w:snapToGrid/>
        <w:spacing w:line="560" w:lineRule="exact"/>
        <w:ind w:firstLine="640" w:firstLineChars="200"/>
        <w:rPr>
          <w:rFonts w:hint="eastAsia" w:eastAsia="仿宋_GB2312"/>
          <w:snapToGrid w:val="0"/>
          <w:kern w:val="0"/>
          <w:sz w:val="32"/>
          <w:szCs w:val="32"/>
          <w:lang w:eastAsia="zh-CN"/>
        </w:rPr>
      </w:pPr>
      <w:r>
        <w:rPr>
          <w:rFonts w:hint="eastAsia" w:eastAsia="仿宋_GB2312"/>
          <w:snapToGrid w:val="0"/>
          <w:kern w:val="0"/>
          <w:sz w:val="32"/>
          <w:szCs w:val="32"/>
          <w:lang w:eastAsia="zh-CN"/>
        </w:rPr>
        <w:t>灌注</w:t>
      </w:r>
      <w:r>
        <w:rPr>
          <w:rFonts w:hint="eastAsia" w:eastAsia="仿宋_GB2312"/>
          <w:snapToGrid w:val="0"/>
          <w:kern w:val="0"/>
          <w:sz w:val="32"/>
          <w:szCs w:val="32"/>
        </w:rPr>
        <w:t>管</w:t>
      </w:r>
      <w:r>
        <w:rPr>
          <w:rFonts w:hint="eastAsia" w:eastAsia="仿宋_GB2312"/>
          <w:snapToGrid w:val="0"/>
          <w:kern w:val="0"/>
          <w:sz w:val="32"/>
          <w:szCs w:val="32"/>
          <w:lang w:eastAsia="zh-CN"/>
        </w:rPr>
        <w:t>路</w:t>
      </w:r>
      <w:r>
        <w:rPr>
          <w:rFonts w:hint="eastAsia" w:eastAsia="仿宋_GB2312"/>
          <w:snapToGrid w:val="0"/>
          <w:kern w:val="0"/>
          <w:sz w:val="32"/>
          <w:szCs w:val="32"/>
        </w:rPr>
        <w:t>与药液接触部件的材料应满足以下化学性能的要求：</w:t>
      </w:r>
      <w:r>
        <w:rPr>
          <w:rFonts w:eastAsia="仿宋_GB2312"/>
          <w:sz w:val="32"/>
          <w:szCs w:val="32"/>
        </w:rPr>
        <w:t>还原物质、重金属含量、酸碱度、蒸发残渣、环氧乙烷残留量（如适用）</w:t>
      </w:r>
      <w:r>
        <w:rPr>
          <w:rFonts w:hint="eastAsia" w:eastAsia="仿宋_GB2312"/>
          <w:sz w:val="32"/>
          <w:szCs w:val="32"/>
          <w:lang w:eastAsia="zh-CN"/>
        </w:rPr>
        <w:t>。</w:t>
      </w:r>
    </w:p>
    <w:p w14:paraId="366CACE7">
      <w:pPr>
        <w:overflowPunct w:val="0"/>
        <w:autoSpaceDE w:val="0"/>
        <w:autoSpaceDN w:val="0"/>
        <w:spacing w:line="520" w:lineRule="exact"/>
        <w:ind w:firstLine="640" w:firstLineChars="200"/>
        <w:rPr>
          <w:rFonts w:hint="eastAsia" w:eastAsia="仿宋_GB2312"/>
          <w:snapToGrid w:val="0"/>
          <w:kern w:val="0"/>
          <w:sz w:val="32"/>
          <w:szCs w:val="32"/>
          <w:lang w:eastAsia="zh-CN"/>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3.2.4</w:t>
      </w:r>
      <w:r>
        <w:rPr>
          <w:rFonts w:hint="eastAsia" w:eastAsia="仿宋_GB2312"/>
          <w:snapToGrid w:val="0"/>
          <w:kern w:val="0"/>
          <w:sz w:val="32"/>
          <w:szCs w:val="32"/>
        </w:rPr>
        <w:t>安全要求：安全要求应符合</w:t>
      </w:r>
      <w:r>
        <w:rPr>
          <w:rFonts w:hint="default" w:ascii="Times New Roman" w:hAnsi="Times New Roman" w:eastAsia="仿宋_GB2312" w:cs="Times New Roman"/>
          <w:snapToGrid w:val="0"/>
          <w:kern w:val="0"/>
          <w:sz w:val="32"/>
          <w:szCs w:val="32"/>
        </w:rPr>
        <w:t>GB 9706.1、GB 9706.218</w:t>
      </w:r>
      <w:r>
        <w:rPr>
          <w:rFonts w:hint="eastAsia" w:eastAsia="仿宋_GB2312"/>
          <w:snapToGrid w:val="0"/>
          <w:kern w:val="0"/>
          <w:sz w:val="32"/>
          <w:szCs w:val="32"/>
        </w:rPr>
        <w:t>标准规定</w:t>
      </w:r>
      <w:r>
        <w:rPr>
          <w:rFonts w:hint="eastAsia" w:eastAsia="仿宋_GB2312"/>
          <w:snapToGrid w:val="0"/>
          <w:kern w:val="0"/>
          <w:sz w:val="32"/>
          <w:szCs w:val="32"/>
          <w:lang w:eastAsia="zh-CN"/>
        </w:rPr>
        <w:t>。</w:t>
      </w:r>
    </w:p>
    <w:p w14:paraId="2F0BBA1C">
      <w:pPr>
        <w:spacing w:line="560" w:lineRule="exact"/>
        <w:ind w:firstLine="640" w:firstLineChars="200"/>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3.2.5</w:t>
      </w:r>
      <w:r>
        <w:rPr>
          <w:rFonts w:hint="eastAsia" w:eastAsia="仿宋_GB2312"/>
          <w:snapToGrid w:val="0"/>
          <w:kern w:val="0"/>
          <w:sz w:val="32"/>
          <w:szCs w:val="32"/>
        </w:rPr>
        <w:t>电磁兼容性要求</w:t>
      </w:r>
      <w:r>
        <w:rPr>
          <w:rFonts w:hint="eastAsia" w:eastAsia="仿宋_GB2312"/>
          <w:snapToGrid w:val="0"/>
          <w:kern w:val="0"/>
          <w:sz w:val="32"/>
          <w:szCs w:val="32"/>
          <w:lang w:eastAsia="zh-CN"/>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应符合</w:t>
      </w:r>
      <w:r>
        <w:rPr>
          <w:rFonts w:hint="default" w:ascii="Times New Roman" w:hAnsi="Times New Roman" w:eastAsia="仿宋_GB2312" w:cs="Times New Roman"/>
          <w:snapToGrid w:val="0"/>
          <w:kern w:val="0"/>
          <w:sz w:val="32"/>
          <w:szCs w:val="32"/>
          <w:lang w:val="en-US" w:eastAsia="zh-CN"/>
        </w:rPr>
        <w:t>YY 9706.102和</w:t>
      </w:r>
      <w:r>
        <w:rPr>
          <w:rFonts w:hint="default" w:ascii="Times New Roman" w:hAnsi="Times New Roman" w:eastAsia="仿宋_GB2312" w:cs="Times New Roman"/>
          <w:snapToGrid w:val="0"/>
          <w:kern w:val="0"/>
          <w:sz w:val="32"/>
          <w:szCs w:val="32"/>
        </w:rPr>
        <w:t>GB 9706.218</w:t>
      </w:r>
      <w:r>
        <w:rPr>
          <w:rFonts w:hint="eastAsia" w:eastAsia="仿宋_GB2312" w:cs="Times New Roman"/>
          <w:snapToGrid w:val="0"/>
          <w:kern w:val="0"/>
          <w:sz w:val="32"/>
          <w:szCs w:val="32"/>
          <w:lang w:eastAsia="zh-CN"/>
        </w:rPr>
        <w:t>中相关</w:t>
      </w:r>
      <w:r>
        <w:rPr>
          <w:rFonts w:hint="eastAsia" w:eastAsia="仿宋_GB2312" w:cs="Times New Roman"/>
          <w:snapToGrid w:val="0"/>
          <w:kern w:val="0"/>
          <w:sz w:val="32"/>
          <w:szCs w:val="32"/>
        </w:rPr>
        <w:t>条款</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要求。</w:t>
      </w:r>
    </w:p>
    <w:p w14:paraId="39C0754A">
      <w:pPr>
        <w:overflowPunct w:val="0"/>
        <w:autoSpaceDE w:val="0"/>
        <w:autoSpaceDN w:val="0"/>
        <w:spacing w:line="520" w:lineRule="exact"/>
        <w:ind w:firstLine="640" w:firstLineChars="200"/>
        <w:rPr>
          <w:rFonts w:eastAsia="仿宋_GB2312"/>
          <w:snapToGrid w:val="0"/>
          <w:kern w:val="0"/>
          <w:sz w:val="32"/>
          <w:szCs w:val="32"/>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 xml:space="preserve">3.2.6 </w:t>
      </w:r>
      <w:r>
        <w:rPr>
          <w:rFonts w:hint="eastAsia" w:eastAsia="仿宋_GB2312"/>
          <w:snapToGrid w:val="0"/>
          <w:kern w:val="0"/>
          <w:sz w:val="32"/>
          <w:szCs w:val="32"/>
        </w:rPr>
        <w:t>附录</w:t>
      </w:r>
    </w:p>
    <w:p w14:paraId="35E68F6F">
      <w:pPr>
        <w:overflowPunct w:val="0"/>
        <w:autoSpaceDE w:val="0"/>
        <w:autoSpaceDN w:val="0"/>
        <w:spacing w:line="520" w:lineRule="exact"/>
        <w:ind w:firstLine="640" w:firstLineChars="200"/>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eastAsia="仿宋_GB2312"/>
          <w:snapToGrid w:val="0"/>
          <w:kern w:val="0"/>
          <w:sz w:val="32"/>
          <w:szCs w:val="32"/>
        </w:rPr>
        <w:t>应列明产品的基本安全特征。</w:t>
      </w:r>
    </w:p>
    <w:p w14:paraId="5EA7A088">
      <w:pPr>
        <w:pStyle w:val="20"/>
        <w:overflowPunct w:val="0"/>
        <w:autoSpaceDE w:val="0"/>
        <w:autoSpaceDN w:val="0"/>
        <w:spacing w:line="520" w:lineRule="exact"/>
        <w:ind w:right="210" w:firstLine="640"/>
        <w:rPr>
          <w:rFonts w:ascii="Times New Roman" w:hAnsi="Times New Roman" w:eastAsia="仿宋_GB2312"/>
          <w:snapToGrid w:val="0"/>
          <w:kern w:val="0"/>
          <w:sz w:val="32"/>
          <w:szCs w:val="32"/>
        </w:rPr>
      </w:pPr>
      <w:r>
        <w:rPr>
          <w:rFonts w:hint="eastAsia" w:ascii="Times New Roman" w:hAnsi="Times New Roman" w:eastAsia="仿宋_GB2312"/>
          <w:snapToGrid w:val="0"/>
          <w:kern w:val="0"/>
          <w:sz w:val="32"/>
          <w:szCs w:val="32"/>
        </w:rPr>
        <w:t>3.3检验报告</w:t>
      </w:r>
    </w:p>
    <w:p w14:paraId="0B01BB29">
      <w:pPr>
        <w:spacing w:line="560" w:lineRule="exact"/>
        <w:ind w:firstLine="640" w:firstLineChars="200"/>
        <w:rPr>
          <w:rFonts w:eastAsia="仿宋_GB2312"/>
          <w:sz w:val="32"/>
          <w:szCs w:val="32"/>
        </w:rPr>
      </w:pPr>
      <w:r>
        <w:rPr>
          <w:rFonts w:eastAsia="仿宋_GB2312"/>
          <w:sz w:val="32"/>
          <w:szCs w:val="32"/>
        </w:rPr>
        <w:t>可提交以下任一形式的检验报告：</w:t>
      </w:r>
    </w:p>
    <w:p w14:paraId="26E25CE2">
      <w:pPr>
        <w:spacing w:line="560" w:lineRule="exact"/>
        <w:ind w:firstLine="640" w:firstLineChars="200"/>
        <w:rPr>
          <w:rFonts w:eastAsia="仿宋_GB2312"/>
          <w:sz w:val="32"/>
          <w:szCs w:val="32"/>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3.3.1</w:t>
      </w:r>
      <w:r>
        <w:rPr>
          <w:rFonts w:eastAsia="仿宋_GB2312"/>
          <w:sz w:val="32"/>
          <w:szCs w:val="32"/>
        </w:rPr>
        <w:t>申请人出具的自检报告</w:t>
      </w:r>
    </w:p>
    <w:p w14:paraId="11CBFE45">
      <w:pPr>
        <w:spacing w:line="560" w:lineRule="exact"/>
        <w:ind w:firstLine="640" w:firstLineChars="200"/>
        <w:rPr>
          <w:rFonts w:eastAsia="仿宋_GB2312"/>
          <w:sz w:val="32"/>
          <w:szCs w:val="32"/>
        </w:rPr>
      </w:pPr>
      <w:r>
        <w:rPr>
          <w:rFonts w:hint="eastAsia" w:eastAsia="仿宋_GB2312"/>
          <w:sz w:val="32"/>
          <w:szCs w:val="32"/>
          <w:lang w:eastAsia="zh-CN"/>
        </w:rPr>
        <w:t>参考《医疗器械自检管理规定》要求，提交自检报告。</w:t>
      </w:r>
    </w:p>
    <w:p w14:paraId="4F6A3DEB">
      <w:pPr>
        <w:pStyle w:val="15"/>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kern w:val="2"/>
          <w:sz w:val="32"/>
          <w:szCs w:val="32"/>
        </w:rPr>
        <w:t>3.3.2</w:t>
      </w:r>
      <w:r>
        <w:rPr>
          <w:rFonts w:ascii="Times New Roman" w:hAnsi="Times New Roman" w:eastAsia="仿宋_GB2312"/>
          <w:sz w:val="32"/>
          <w:szCs w:val="32"/>
        </w:rPr>
        <w:t>委托有资质的医疗器械检验机构出具的检验报告。</w:t>
      </w:r>
    </w:p>
    <w:p w14:paraId="55961A44">
      <w:pPr>
        <w:pStyle w:val="20"/>
        <w:overflowPunct w:val="0"/>
        <w:autoSpaceDE w:val="0"/>
        <w:autoSpaceDN w:val="0"/>
        <w:spacing w:line="520" w:lineRule="exact"/>
        <w:ind w:right="210" w:firstLine="640"/>
        <w:rPr>
          <w:rFonts w:ascii="Times New Roman" w:hAnsi="Times New Roman" w:eastAsia="仿宋_GB2312"/>
          <w:snapToGrid w:val="0"/>
          <w:kern w:val="0"/>
          <w:sz w:val="32"/>
          <w:szCs w:val="32"/>
        </w:rPr>
      </w:pPr>
      <w:r>
        <w:rPr>
          <w:rFonts w:hint="eastAsia" w:ascii="Times New Roman" w:hAnsi="Times New Roman" w:eastAsia="仿宋_GB2312"/>
          <w:snapToGrid w:val="0"/>
          <w:kern w:val="0"/>
          <w:sz w:val="32"/>
          <w:szCs w:val="32"/>
        </w:rPr>
        <w:t>检验报告提供软件版本界面照片或列明软件版本信息，有用户界面的软件体现软件发布版本、软件完整版本，无用户界面的软件体现软件完整版本。</w:t>
      </w:r>
    </w:p>
    <w:p w14:paraId="22B2E4F0">
      <w:pPr>
        <w:pStyle w:val="20"/>
        <w:overflowPunct w:val="0"/>
        <w:autoSpaceDE w:val="0"/>
        <w:autoSpaceDN w:val="0"/>
        <w:spacing w:line="520" w:lineRule="exact"/>
        <w:ind w:right="210" w:firstLine="640"/>
        <w:rPr>
          <w:rFonts w:ascii="Times New Roman" w:hAnsi="Times New Roman" w:eastAsia="仿宋_GB2312"/>
          <w:snapToGrid w:val="0"/>
          <w:kern w:val="0"/>
          <w:sz w:val="32"/>
          <w:szCs w:val="32"/>
        </w:rPr>
      </w:pPr>
      <w:r>
        <w:rPr>
          <w:rFonts w:hint="eastAsia" w:ascii="Times New Roman" w:hAnsi="Times New Roman" w:eastAsia="仿宋_GB2312"/>
          <w:sz w:val="32"/>
          <w:szCs w:val="32"/>
        </w:rPr>
        <w:t>3.4</w:t>
      </w:r>
      <w:r>
        <w:rPr>
          <w:rFonts w:hint="eastAsia" w:eastAsia="仿宋_GB2312"/>
          <w:snapToGrid w:val="0"/>
          <w:kern w:val="0"/>
          <w:sz w:val="32"/>
          <w:szCs w:val="32"/>
        </w:rPr>
        <w:t>同一注册单元内注册检验典型产品确定原则和实例</w:t>
      </w:r>
    </w:p>
    <w:p w14:paraId="62333B54">
      <w:pPr>
        <w:overflowPunct w:val="0"/>
        <w:autoSpaceDE w:val="0"/>
        <w:autoSpaceDN w:val="0"/>
        <w:spacing w:line="520" w:lineRule="exact"/>
        <w:ind w:right="210" w:firstLine="640" w:firstLineChars="200"/>
        <w:outlineLvl w:val="2"/>
        <w:rPr>
          <w:rFonts w:hint="eastAsia" w:ascii="Times New Roman" w:hAnsi="Times New Roman" w:eastAsia="仿宋_GB2312"/>
          <w:sz w:val="32"/>
          <w:szCs w:val="32"/>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3.4.1</w:t>
      </w:r>
      <w:r>
        <w:rPr>
          <w:rFonts w:hint="eastAsia" w:ascii="Times New Roman" w:hAnsi="Times New Roman" w:eastAsia="仿宋_GB2312" w:cs="Times New Roman"/>
          <w:i w:val="0"/>
          <w:iCs w:val="0"/>
          <w:caps w:val="0"/>
          <w:spacing w:val="0"/>
          <w:sz w:val="32"/>
          <w:szCs w:val="32"/>
          <w:shd w:val="clear"/>
        </w:rPr>
        <w:t>典型产品应能代表同一注册单元内其他产品的安全性和有效性，原则上应选择功能最齐全、结构最复杂、风险最高的产品</w:t>
      </w:r>
      <w:r>
        <w:rPr>
          <w:rFonts w:hint="eastAsia" w:ascii="Times New Roman" w:hAnsi="Times New Roman" w:eastAsia="仿宋_GB2312"/>
          <w:sz w:val="32"/>
          <w:szCs w:val="32"/>
        </w:rPr>
        <w:t>。</w:t>
      </w:r>
      <w:r>
        <w:rPr>
          <w:rFonts w:hint="eastAsia" w:ascii="Times New Roman" w:hAnsi="Times New Roman" w:eastAsia="仿宋_GB2312" w:cs="Times New Roman"/>
          <w:i w:val="0"/>
          <w:iCs w:val="0"/>
          <w:caps w:val="0"/>
          <w:spacing w:val="0"/>
          <w:sz w:val="32"/>
          <w:szCs w:val="32"/>
          <w:shd w:val="clear"/>
        </w:rPr>
        <w:t>例如，若不同型号的流量调节范围不同，应选择流量范围最大的型号作为典型型号</w:t>
      </w:r>
      <w:r>
        <w:rPr>
          <w:rFonts w:hint="eastAsia" w:ascii="Times New Roman" w:hAnsi="Times New Roman" w:eastAsia="仿宋_GB2312"/>
          <w:snapToGrid/>
          <w:kern w:val="2"/>
          <w:sz w:val="32"/>
          <w:szCs w:val="32"/>
        </w:rPr>
        <w:t>。</w:t>
      </w:r>
    </w:p>
    <w:p w14:paraId="482D17B5">
      <w:pPr>
        <w:spacing w:line="520" w:lineRule="exact"/>
        <w:ind w:firstLine="640" w:firstLineChars="200"/>
        <w:outlineLvl w:val="2"/>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3.4.2</w:t>
      </w:r>
      <w:r>
        <w:rPr>
          <w:rFonts w:hint="eastAsia" w:ascii="Times New Roman" w:hAnsi="Times New Roman" w:eastAsia="仿宋_GB2312" w:cs="Times New Roman"/>
          <w:i w:val="0"/>
          <w:iCs w:val="0"/>
          <w:caps w:val="0"/>
          <w:spacing w:val="0"/>
          <w:sz w:val="32"/>
          <w:szCs w:val="32"/>
          <w:shd w:val="clear"/>
        </w:rPr>
        <w:t>对于电磁兼容性能，检测机构应在报告中详细载明重大问题（如基本性能判据、型号覆盖等）及相关意见</w:t>
      </w:r>
      <w:r>
        <w:rPr>
          <w:rFonts w:hint="eastAsia" w:ascii="Times New Roman" w:hAnsi="Times New Roman" w:eastAsia="仿宋_GB2312"/>
          <w:snapToGrid/>
          <w:kern w:val="2"/>
          <w:sz w:val="32"/>
          <w:szCs w:val="32"/>
        </w:rPr>
        <w:t>。</w:t>
      </w:r>
      <w:r>
        <w:rPr>
          <w:rFonts w:hint="eastAsia" w:ascii="Times New Roman" w:hAnsi="Times New Roman" w:eastAsia="仿宋_GB2312" w:cs="Times New Roman"/>
          <w:i w:val="0"/>
          <w:iCs w:val="0"/>
          <w:caps w:val="0"/>
          <w:spacing w:val="0"/>
          <w:sz w:val="32"/>
          <w:szCs w:val="32"/>
          <w:shd w:val="clear"/>
        </w:rPr>
        <w:t>若无充分证据证明同一注册单元内不同型号产品之间可以覆盖，应对每一型号进行检测。</w:t>
      </w:r>
    </w:p>
    <w:p w14:paraId="7E002D58">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4、</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研究资料</w:t>
      </w:r>
    </w:p>
    <w:bookmarkEnd w:id="18"/>
    <w:p w14:paraId="10F045F0">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sz w:val="32"/>
          <w:szCs w:val="32"/>
          <w:lang w:val="en-US" w:eastAsia="zh-CN"/>
        </w:rPr>
        <w:t>4.1</w:t>
      </w:r>
      <w:r>
        <w:rPr>
          <w:rFonts w:hint="default" w:ascii="Times New Roman" w:hAnsi="Times New Roman" w:eastAsia="仿宋_GB2312" w:cs="Times New Roman"/>
          <w:sz w:val="32"/>
          <w:szCs w:val="32"/>
        </w:rPr>
        <w:t>化</w:t>
      </w:r>
      <w:r>
        <w:rPr>
          <w:rFonts w:eastAsia="仿宋_GB2312"/>
          <w:sz w:val="32"/>
          <w:szCs w:val="32"/>
        </w:rPr>
        <w:t>学和物理性能研究</w:t>
      </w:r>
    </w:p>
    <w:p w14:paraId="6A21B001">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bookmarkStart w:id="20" w:name="_Toc433873350"/>
      <w:r>
        <w:rPr>
          <w:rFonts w:hint="eastAsia" w:ascii="Times New Roman" w:hAnsi="Times New Roman" w:eastAsia="仿宋_GB2312" w:cs="Times New Roman"/>
          <w:color w:val="000000" w:themeColor="text1"/>
          <w:sz w:val="32"/>
          <w:szCs w:val="32"/>
          <w:lang w:eastAsia="zh-CN"/>
          <w14:textFill>
            <w14:solidFill>
              <w14:schemeClr w14:val="tx1"/>
            </w14:solidFill>
          </w14:textFill>
        </w:rPr>
        <w:t>性能指标确定的依据应根据产品的工作原理描述设计输入来源以及临床意义，明确申报产品所采用的标准或方法、采用的原因及理论基础。</w:t>
      </w:r>
    </w:p>
    <w:p w14:paraId="0625C89B">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适用的国家标准、行业标准中，如果有不适用的条款，也应将不适用的条款及理由予以说明。应关注标准中是否给出了具体的数值，对于未给出具体要求的，注册申请人应说明申报产品功能性能指标确定的依据。</w:t>
      </w:r>
    </w:p>
    <w:p w14:paraId="31916EEF">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注册申请人应根据申报产品的工作原理合理制定性能参数。确定依据不能笼统地描述为“依据产品特点”、“依据临床需求确定”，应详细说明是产品的什么特点，何种临床需求。对于参考同类产品确定的，应提供同类产品的相关资料。</w:t>
      </w:r>
    </w:p>
    <w:p w14:paraId="37AB50A2">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申报产品预期与其他医疗器械、非医疗器械产品联合使用实现同一预期用途，还应提供证明联合使用安全有效的研究资料，包括互联基本信息（连接类型、接口、最低性能）、联合使用风险及控制措施、联合使用上的限制，兼容性研究等。</w:t>
      </w:r>
    </w:p>
    <w:p w14:paraId="58D10CE8">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申报产品若同时具备其他功能，应提交详细资料说明工作原理和作用机理并提交相应的验证资料。</w:t>
      </w:r>
    </w:p>
    <w:p w14:paraId="6729255D">
      <w:pPr>
        <w:overflowPunct w:val="0"/>
        <w:autoSpaceDE w:val="0"/>
        <w:autoSpaceDN w:val="0"/>
        <w:spacing w:line="520" w:lineRule="exact"/>
        <w:ind w:firstLine="640" w:firstLineChars="200"/>
        <w:rPr>
          <w:rFonts w:eastAsia="仿宋_GB2312"/>
          <w:sz w:val="32"/>
          <w:szCs w:val="32"/>
          <w:highlight w:val="none"/>
        </w:rPr>
      </w:pPr>
      <w:r>
        <w:rPr>
          <w:rFonts w:hint="eastAsia" w:ascii="Times New Roman" w:hAnsi="Times New Roman" w:eastAsia="仿宋_GB2312" w:cs="Times New Roman"/>
          <w:sz w:val="32"/>
          <w:szCs w:val="32"/>
          <w:lang w:val="en-US" w:eastAsia="zh-CN"/>
        </w:rPr>
        <w:t>4.2</w:t>
      </w:r>
      <w:r>
        <w:rPr>
          <w:rFonts w:eastAsia="仿宋_GB2312"/>
          <w:sz w:val="32"/>
          <w:szCs w:val="32"/>
          <w:highlight w:val="none"/>
        </w:rPr>
        <w:t>电气系统安全性研究</w:t>
      </w:r>
    </w:p>
    <w:p w14:paraId="2157199F">
      <w:pPr>
        <w:overflowPunct w:val="0"/>
        <w:autoSpaceDE w:val="0"/>
        <w:autoSpaceDN w:val="0"/>
        <w:spacing w:line="52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eastAsia="仿宋_GB2312"/>
          <w:sz w:val="32"/>
          <w:szCs w:val="32"/>
          <w:highlight w:val="none"/>
        </w:rPr>
        <w:t>应当提供电气安全性、机械和环境保护以及电磁兼容性的研究资料，说明适用的标准以及开展的研究。</w:t>
      </w:r>
    </w:p>
    <w:p w14:paraId="42507FE6">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sz w:val="32"/>
          <w:szCs w:val="32"/>
          <w:lang w:val="en-US" w:eastAsia="zh-CN"/>
        </w:rPr>
        <w:t>4.3</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软件及网络安全研究</w:t>
      </w:r>
    </w:p>
    <w:p w14:paraId="06B967DE">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内窥镜</w:t>
      </w:r>
      <w:r>
        <w:rPr>
          <w:rFonts w:hint="eastAsia" w:ascii="Times New Roman" w:hAnsi="Times New Roman" w:eastAsia="仿宋_GB2312"/>
          <w:color w:val="000000" w:themeColor="text1"/>
          <w:sz w:val="32"/>
          <w:szCs w:val="32"/>
          <w14:textFill>
            <w14:solidFill>
              <w14:schemeClr w14:val="tx1"/>
            </w14:solidFill>
          </w14:textFill>
        </w:rPr>
        <w:t>膨腔泵软件的核心功能通常包括压力控制、流量控制、报警监测等功能，属于控制型软件组件。</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参照《医疗器械软件注册审查指导原则（2022年修订版）》的要求提供研究资料，内容包括基本信息、实现过程、核心功能、结论等内容，详尽程度取决于软件安全性级别（严重、中等、轻微）。其中，基本信息包括软件标识、安全性级别、结构功能、物理拓扑、运行环境、注册历史，实现过程包括开发概况、风险管理、需求规范、生存周期、验证与确认、可追溯性分析、缺陷管理、更新历史，明确核心功能、核心算法、预期用途的对应关系。</w:t>
      </w:r>
      <w:r>
        <w:rPr>
          <w:rFonts w:hint="eastAsia" w:ascii="Times New Roman" w:hAnsi="Times New Roman" w:eastAsia="仿宋_GB2312"/>
          <w:color w:val="000000" w:themeColor="text1"/>
          <w:sz w:val="32"/>
          <w:szCs w:val="32"/>
          <w14:textFill>
            <w14:solidFill>
              <w14:schemeClr w14:val="tx1"/>
            </w14:solidFill>
          </w14:textFill>
        </w:rPr>
        <w:t>申请人应按照软件安全性级别判定原则确定软件安全性级别：若软件失效可能导致膨腔过压、液体过量灌注等对患者造成中度及以上伤害，通常软件安全性级别不低于中等（B级）。应明确软件的发布版本和完整版本，并在产品技术要求中列明软件名称、型号规格、发布版本、版本命名规则</w:t>
      </w:r>
      <w:r>
        <w:rPr>
          <w:rFonts w:hint="eastAsia" w:ascii="Times New Roman" w:hAnsi="Times New Roman" w:eastAsia="仿宋_GB2312"/>
          <w:color w:val="000000" w:themeColor="text1"/>
          <w:sz w:val="32"/>
          <w:szCs w:val="32"/>
          <w:lang w:eastAsia="zh-CN"/>
          <w14:textFill>
            <w14:solidFill>
              <w14:schemeClr w14:val="tx1"/>
            </w14:solidFill>
          </w14:textFill>
        </w:rPr>
        <w:t>。</w:t>
      </w:r>
    </w:p>
    <w:p w14:paraId="151AEB9A">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产品若具备电子数据交换、远程控制或用户访问功能的独立软件和含有软件组件的产品，应当参照《医疗器械网络安全注册审查指导原则（2022年修订版）》提供研究资料，基本信息包括软件信息、数据架构、网络安全能力、网络安全补丁、安全软件，实现过程包括风险管理、需求规范、验证与确认、可追溯性分析、更新维护计划，漏洞评估明确已知漏洞相关信息。应提交</w:t>
      </w:r>
      <w:r>
        <w:rPr>
          <w:rFonts w:hint="eastAsia" w:ascii="Times New Roman" w:hAnsi="Times New Roman" w:eastAsia="仿宋_GB2312" w:cs="Times New Roman"/>
          <w:color w:val="auto"/>
          <w:sz w:val="32"/>
          <w:szCs w:val="32"/>
          <w:lang w:eastAsia="zh-CN"/>
        </w:rPr>
        <w:t>网络安全研究报告</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，并在产品技术要求中规定相应的性能指标。</w:t>
      </w:r>
    </w:p>
    <w:p w14:paraId="63D78CE2">
      <w:pPr>
        <w:spacing w:line="560" w:lineRule="exact"/>
        <w:ind w:firstLine="640" w:firstLineChars="200"/>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通过电子接口与其他医疗器械或非医疗器械交换并使用信息，应提供互操作性研究资料，包括基本信息、需求规范、风险管理、验证与确认、维护计划等内容。</w:t>
      </w:r>
    </w:p>
    <w:p w14:paraId="712926F6">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4.4</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生物学特性研究</w:t>
      </w:r>
      <w:bookmarkEnd w:id="20"/>
    </w:p>
    <w:p w14:paraId="0E454ECE">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i w:val="0"/>
          <w:iCs w:val="0"/>
          <w:caps w:val="0"/>
          <w:color w:val="auto"/>
          <w:spacing w:val="0"/>
          <w:sz w:val="32"/>
          <w:szCs w:val="32"/>
          <w:highlight w:val="none"/>
          <w:shd w:val="clear"/>
        </w:rPr>
        <w:t>应对产品中与患者和使用者接触的部件进行生物相容性评价。</w:t>
      </w:r>
      <w:r>
        <w:rPr>
          <w:rFonts w:hint="eastAsia" w:ascii="Times New Roman" w:hAnsi="Times New Roman" w:eastAsia="仿宋_GB2312" w:cs="Times New Roman"/>
          <w:i w:val="0"/>
          <w:iCs w:val="0"/>
          <w:caps w:val="0"/>
          <w:color w:val="auto"/>
          <w:spacing w:val="0"/>
          <w:sz w:val="32"/>
          <w:szCs w:val="32"/>
          <w:highlight w:val="none"/>
          <w:shd w:val="clear"/>
          <w:lang w:eastAsia="zh-CN"/>
        </w:rPr>
        <w:t>通常内窥镜膨腔泵产品的</w:t>
      </w:r>
      <w:r>
        <w:rPr>
          <w:rFonts w:hint="eastAsia" w:ascii="Times New Roman" w:hAnsi="Times New Roman" w:eastAsia="仿宋_GB2312" w:cs="Times New Roman"/>
          <w:i w:val="0"/>
          <w:iCs w:val="0"/>
          <w:caps w:val="0"/>
          <w:color w:val="auto"/>
          <w:spacing w:val="0"/>
          <w:sz w:val="32"/>
          <w:szCs w:val="32"/>
          <w:highlight w:val="none"/>
          <w:shd w:val="clear"/>
        </w:rPr>
        <w:t>灌注管路间接接触患者组织/体液的部件，应按GB/T 16886.1进行评价，</w:t>
      </w:r>
      <w:r>
        <w:rPr>
          <w:rFonts w:hint="eastAsia" w:ascii="Times New Roman" w:hAnsi="Times New Roman" w:eastAsia="仿宋_GB2312" w:cs="Times New Roman"/>
          <w:i w:val="0"/>
          <w:iCs w:val="0"/>
          <w:caps w:val="0"/>
          <w:color w:val="auto"/>
          <w:spacing w:val="0"/>
          <w:sz w:val="32"/>
          <w:szCs w:val="32"/>
          <w:highlight w:val="none"/>
          <w:shd w:val="clear"/>
          <w:lang w:eastAsia="zh-CN"/>
        </w:rPr>
        <w:t>开展生物学试验的，</w:t>
      </w:r>
      <w:r>
        <w:rPr>
          <w:rFonts w:hint="eastAsia" w:ascii="Times New Roman" w:hAnsi="Times New Roman" w:eastAsia="仿宋_GB2312" w:cs="Times New Roman"/>
          <w:i w:val="0"/>
          <w:iCs w:val="0"/>
          <w:caps w:val="0"/>
          <w:color w:val="auto"/>
          <w:spacing w:val="0"/>
          <w:sz w:val="32"/>
          <w:szCs w:val="32"/>
          <w:highlight w:val="none"/>
          <w:shd w:val="clear"/>
        </w:rPr>
        <w:t>至少包括细胞毒性、致敏、刺激或皮内反应试验。若接触损伤或破裂的组织，还应增加急性全身毒性和材料介导的致热性试验。若用于宫腔，还需考虑阴道刺激试验。应提供完整的生物学评价报告</w:t>
      </w:r>
      <w:r>
        <w:rPr>
          <w:rFonts w:hint="eastAsia" w:ascii="Times New Roman" w:hAnsi="Times New Roman" w:eastAsia="仿宋_GB2312" w:cs="Times New Roman"/>
          <w:color w:val="auto"/>
          <w:sz w:val="32"/>
          <w:szCs w:val="32"/>
          <w:highlight w:val="none"/>
          <w:lang w:eastAsia="zh-CN"/>
        </w:rPr>
        <w:t>。</w:t>
      </w:r>
      <w:bookmarkStart w:id="21" w:name="_Toc433873351"/>
    </w:p>
    <w:p w14:paraId="7CD4F8AD">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sz w:val="32"/>
          <w:szCs w:val="32"/>
          <w:lang w:val="en-US" w:eastAsia="zh-CN"/>
        </w:rPr>
        <w:t>4.5</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清洁、消毒、灭菌研究</w:t>
      </w:r>
      <w:bookmarkEnd w:id="21"/>
    </w:p>
    <w:p w14:paraId="594DE025">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bookmarkStart w:id="22" w:name="_Toc433873352"/>
      <w:r>
        <w:rPr>
          <w:rFonts w:hint="eastAsia" w:ascii="Times New Roman" w:hAnsi="Times New Roman" w:eastAsia="仿宋_GB2312" w:cs="Times New Roman"/>
          <w:color w:val="000000" w:themeColor="text1"/>
          <w:sz w:val="32"/>
          <w:szCs w:val="32"/>
          <w:lang w:eastAsia="zh-CN"/>
          <w14:textFill>
            <w14:solidFill>
              <w14:schemeClr w14:val="tx1"/>
            </w14:solidFill>
          </w14:textFill>
        </w:rPr>
        <w:t>一般情况下，</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内窥镜膨腔泵主机不</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与人体接触，无需灭菌，由使用者常规擦拭或低水平消毒，可不提供消毒灭菌研究资料。</w:t>
      </w:r>
    </w:p>
    <w:p w14:paraId="551CDC8F">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重复使用的灌注附件一般需</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终端用户</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清洁、</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消毒、灭菌，制造商应当明确推荐的</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清洁、</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消毒、灭菌工艺（方法和参数）以及所推荐方法确定的依据及验证的相关研究资料。</w:t>
      </w:r>
    </w:p>
    <w:p w14:paraId="595C35E7">
      <w:pPr>
        <w:spacing w:line="560" w:lineRule="exact"/>
        <w:ind w:firstLine="640" w:firstLineChars="200"/>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一次性使用灌注附件应提供产品灭菌、残留毒性等研究资料。</w:t>
      </w:r>
      <w:r>
        <w:rPr>
          <w:rFonts w:eastAsia="仿宋_GB2312"/>
          <w:bCs/>
          <w:kern w:val="0"/>
          <w:sz w:val="32"/>
          <w:szCs w:val="32"/>
        </w:rPr>
        <w:t>如环氧乙烷灭菌，</w:t>
      </w:r>
      <w:r>
        <w:rPr>
          <w:rFonts w:hint="eastAsia" w:eastAsia="仿宋_GB2312"/>
          <w:bCs/>
          <w:kern w:val="0"/>
          <w:sz w:val="32"/>
          <w:szCs w:val="32"/>
          <w:lang w:val="en-US" w:eastAsia="zh-CN"/>
        </w:rPr>
        <w:t>残留毒性</w:t>
      </w:r>
      <w:r>
        <w:rPr>
          <w:rFonts w:eastAsia="仿宋_GB2312"/>
          <w:bCs/>
          <w:kern w:val="0"/>
          <w:sz w:val="32"/>
          <w:szCs w:val="32"/>
        </w:rPr>
        <w:t>应当参考</w:t>
      </w:r>
      <w:r>
        <w:rPr>
          <w:rFonts w:ascii="Times New Roman" w:hAnsi="Times New Roman" w:eastAsia="仿宋_GB2312" w:cs="Times New Roman"/>
          <w:color w:val="000000"/>
          <w:sz w:val="32"/>
          <w:szCs w:val="32"/>
        </w:rPr>
        <w:t>GB/T 16886.7</w:t>
      </w:r>
      <w:r>
        <w:rPr>
          <w:rFonts w:eastAsia="仿宋_GB2312"/>
          <w:bCs/>
          <w:kern w:val="0"/>
          <w:sz w:val="32"/>
          <w:szCs w:val="32"/>
        </w:rPr>
        <w:t>《医疗器械生物学评价第</w:t>
      </w:r>
      <w:r>
        <w:rPr>
          <w:rFonts w:ascii="Times New Roman" w:hAnsi="Times New Roman" w:eastAsia="仿宋_GB2312" w:cs="Times New Roman"/>
          <w:color w:val="000000"/>
          <w:sz w:val="32"/>
          <w:szCs w:val="32"/>
        </w:rPr>
        <w:t>7</w:t>
      </w:r>
      <w:r>
        <w:rPr>
          <w:rFonts w:eastAsia="仿宋_GB2312"/>
          <w:bCs/>
          <w:kern w:val="0"/>
          <w:sz w:val="32"/>
          <w:szCs w:val="32"/>
        </w:rPr>
        <w:t>部分：环氧乙烷灭菌残留量》等标准明确残留物信息</w:t>
      </w:r>
      <w:r>
        <w:rPr>
          <w:rFonts w:eastAsia="仿宋_GB2312"/>
          <w:color w:val="000000"/>
          <w:kern w:val="0"/>
          <w:sz w:val="32"/>
          <w:szCs w:val="32"/>
        </w:rPr>
        <w:t>（如</w:t>
      </w:r>
      <w:r>
        <w:rPr>
          <w:rFonts w:ascii="Times New Roman" w:hAnsi="Times New Roman" w:eastAsia="仿宋_GB2312" w:cs="Times New Roman"/>
          <w:color w:val="000000"/>
          <w:kern w:val="0"/>
          <w:sz w:val="32"/>
          <w:szCs w:val="32"/>
        </w:rPr>
        <w:t>EO、ECH</w:t>
      </w:r>
      <w:r>
        <w:rPr>
          <w:rFonts w:eastAsia="仿宋_GB2312"/>
          <w:color w:val="000000"/>
          <w:kern w:val="0"/>
          <w:sz w:val="32"/>
          <w:szCs w:val="32"/>
        </w:rPr>
        <w:t>）</w:t>
      </w:r>
      <w:r>
        <w:rPr>
          <w:rFonts w:eastAsia="仿宋_GB2312"/>
          <w:bCs/>
          <w:kern w:val="0"/>
          <w:sz w:val="32"/>
          <w:szCs w:val="32"/>
        </w:rPr>
        <w:t>及采取的</w:t>
      </w:r>
      <w:r>
        <w:rPr>
          <w:rFonts w:eastAsia="仿宋_GB2312"/>
          <w:color w:val="000000"/>
          <w:kern w:val="0"/>
          <w:sz w:val="32"/>
          <w:szCs w:val="32"/>
        </w:rPr>
        <w:t>处理方法和条件</w:t>
      </w:r>
      <w:r>
        <w:rPr>
          <w:rFonts w:eastAsia="仿宋_GB2312"/>
          <w:bCs/>
          <w:kern w:val="0"/>
          <w:sz w:val="32"/>
          <w:szCs w:val="32"/>
        </w:rPr>
        <w:t>，并提供研究资料。</w:t>
      </w:r>
    </w:p>
    <w:bookmarkEnd w:id="22"/>
    <w:p w14:paraId="01E455CB">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稳定性研究</w:t>
      </w:r>
    </w:p>
    <w:p w14:paraId="2BCEA74F">
      <w:pPr>
        <w:spacing w:line="560" w:lineRule="exact"/>
        <w:ind w:firstLine="640" w:firstLineChars="200"/>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5.1使用稳定性</w:t>
      </w:r>
    </w:p>
    <w:p w14:paraId="38B25310">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使用期限一般主要取决于使用过程中部件、元器件的损耗、老化等，注册申请人应按照声称的使用期限对设备进行老化/疲劳试验，也可对影响设备使用期限的关键部件进行老化/疲劳试验，例如设备中不可更换（或更换成本高）的部件，并提供相应的研究资料。研究资料应能证明上述部件按照所声称的使用期限，经过老化/疲劳试验后，产品性能和安全仍符合预期的要求。使用期限也可基于已有数据进行合理的推断、分析、计算得出，但应提供详细的说明及支持性资料。可参考《有源医疗器械使用期限技术审查指导原则》的要求。</w:t>
      </w:r>
    </w:p>
    <w:p w14:paraId="598CC2DF">
      <w:pPr>
        <w:spacing w:line="560" w:lineRule="exact"/>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对于可重复</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使用</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的</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灌注附件</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i w:val="0"/>
          <w:iCs w:val="0"/>
          <w:caps w:val="0"/>
          <w:color w:val="000000" w:themeColor="text1"/>
          <w:spacing w:val="0"/>
          <w:sz w:val="32"/>
          <w:szCs w:val="32"/>
          <w:shd w:val="clear"/>
          <w14:textFill>
            <w14:solidFill>
              <w14:schemeClr w14:val="tx1"/>
            </w14:solidFill>
          </w14:textFill>
        </w:rPr>
        <w:t>应提交可重复使用次数及相应清洗、消毒、灭菌周期验证资料</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一次性使用灌注附件应提供产品货架有效期研究资料。</w:t>
      </w:r>
    </w:p>
    <w:p w14:paraId="671E040A">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5.2</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运输稳定性</w:t>
      </w:r>
    </w:p>
    <w:p w14:paraId="3CCCCAB5">
      <w:pPr>
        <w:spacing w:line="560" w:lineRule="exact"/>
        <w:ind w:firstLine="640" w:firstLineChars="200"/>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注册申请人可结合声称的储运条件开展包装和环境试验研究，并论述研究设置的合理性。应模拟在贮存和运输过程中的情形开展研究，证明产品在所声称的储运条件下不会发生性能、功能改变，包装系统具有保护产品的能力。经过模拟试验后，观察包装外观是否有不可接受的异常现象，对产品进行性能测试，证明运输和环境测试后产品能够保持其完整性和功能性。</w:t>
      </w:r>
    </w:p>
    <w:p w14:paraId="64D7F29A">
      <w:pPr>
        <w:pStyle w:val="20"/>
        <w:overflowPunct w:val="0"/>
        <w:autoSpaceDE w:val="0"/>
        <w:autoSpaceDN w:val="0"/>
        <w:spacing w:line="520" w:lineRule="exact"/>
        <w:ind w:right="210" w:firstLine="640"/>
        <w:rPr>
          <w:rFonts w:hint="eastAsia" w:ascii="Times New Roman" w:hAnsi="Times New Roman" w:eastAsia="仿宋_GB2312"/>
          <w:snapToGrid w:val="0"/>
          <w:kern w:val="0"/>
          <w:sz w:val="32"/>
          <w:szCs w:val="32"/>
        </w:rPr>
      </w:pPr>
      <w:r>
        <w:rPr>
          <w:rFonts w:hint="eastAsia" w:ascii="Times New Roman" w:hAnsi="Times New Roman" w:eastAsia="仿宋_GB2312"/>
          <w:snapToGrid w:val="0"/>
          <w:kern w:val="0"/>
          <w:sz w:val="32"/>
          <w:szCs w:val="32"/>
        </w:rPr>
        <w:t>可参考GB/T 14710等标准的要求开展环境试验研究。评价产品在各种工作环境和模拟贮存、运输环境下的适应性。也可以采用其他方法或者标准进行研究，但需说明理由。</w:t>
      </w:r>
    </w:p>
    <w:p w14:paraId="0BD64F29">
      <w:pPr>
        <w:pStyle w:val="20"/>
        <w:overflowPunct w:val="0"/>
        <w:autoSpaceDE w:val="0"/>
        <w:autoSpaceDN w:val="0"/>
        <w:spacing w:line="520" w:lineRule="exact"/>
        <w:ind w:right="210" w:firstLine="640"/>
        <w:rPr>
          <w:rFonts w:ascii="Times New Roman" w:hAnsi="Times New Roman" w:eastAsia="仿宋_GB2312"/>
          <w:snapToGrid w:val="0"/>
          <w:kern w:val="0"/>
          <w:sz w:val="32"/>
          <w:szCs w:val="32"/>
        </w:rPr>
      </w:pPr>
      <w:r>
        <w:rPr>
          <w:rFonts w:hint="eastAsia" w:ascii="Times New Roman" w:hAnsi="Times New Roman" w:eastAsia="仿宋_GB2312"/>
          <w:snapToGrid w:val="0"/>
          <w:kern w:val="0"/>
          <w:sz w:val="32"/>
          <w:szCs w:val="32"/>
        </w:rPr>
        <w:t>6</w:t>
      </w:r>
      <w:r>
        <w:rPr>
          <w:rFonts w:hint="eastAsia" w:ascii="Times New Roman" w:hAnsi="Times New Roman" w:eastAsia="仿宋_GB2312"/>
          <w:snapToGrid w:val="0"/>
          <w:kern w:val="0"/>
          <w:sz w:val="32"/>
          <w:szCs w:val="32"/>
          <w:lang w:eastAsia="zh-CN"/>
        </w:rPr>
        <w:t>、</w:t>
      </w:r>
      <w:r>
        <w:rPr>
          <w:rFonts w:hint="eastAsia" w:ascii="Times New Roman" w:hAnsi="Times New Roman" w:eastAsia="仿宋_GB2312"/>
          <w:snapToGrid w:val="0"/>
          <w:kern w:val="0"/>
          <w:sz w:val="32"/>
          <w:szCs w:val="32"/>
        </w:rPr>
        <w:t>可用性研究</w:t>
      </w:r>
    </w:p>
    <w:p w14:paraId="1955B1F6">
      <w:pPr>
        <w:pStyle w:val="20"/>
        <w:overflowPunct w:val="0"/>
        <w:autoSpaceDE w:val="0"/>
        <w:autoSpaceDN w:val="0"/>
        <w:spacing w:line="520" w:lineRule="exact"/>
        <w:ind w:right="210" w:firstLine="640"/>
        <w:rPr>
          <w:rFonts w:hint="eastAsia" w:ascii="Times New Roman" w:hAnsi="Times New Roman" w:eastAsia="仿宋_GB2312" w:cs="Times New Roman"/>
          <w:i w:val="0"/>
          <w:iCs w:val="0"/>
          <w:caps w:val="0"/>
          <w:snapToGrid w:val="0"/>
          <w:spacing w:val="0"/>
          <w:kern w:val="0"/>
          <w:sz w:val="32"/>
          <w:szCs w:val="32"/>
          <w:shd w:val="clear"/>
        </w:rPr>
      </w:pPr>
      <w:r>
        <w:rPr>
          <w:rFonts w:hint="eastAsia" w:ascii="Times New Roman" w:hAnsi="Times New Roman" w:eastAsia="仿宋_GB2312"/>
          <w:snapToGrid w:val="0"/>
          <w:kern w:val="0"/>
          <w:sz w:val="32"/>
          <w:szCs w:val="32"/>
        </w:rPr>
        <w:t>参照《医疗器械可用性工程注册审查指导原则》，</w:t>
      </w:r>
      <w:r>
        <w:rPr>
          <w:rFonts w:hint="eastAsia" w:ascii="Times New Roman" w:hAnsi="Times New Roman" w:eastAsia="仿宋_GB2312" w:cs="Times New Roman"/>
          <w:i w:val="0"/>
          <w:iCs w:val="0"/>
          <w:caps w:val="0"/>
          <w:snapToGrid w:val="0"/>
          <w:spacing w:val="0"/>
          <w:kern w:val="0"/>
          <w:sz w:val="32"/>
          <w:szCs w:val="32"/>
          <w:shd w:val="clear"/>
        </w:rPr>
        <w:t>应提交使用错误评估报告。报告应包含基本信息、使用风险级别、核心要素、同类产品上市后使用问题分析、使用风险管理及结论等内容，重点关注因操作失误可能导致患者伤害的风险。</w:t>
      </w:r>
    </w:p>
    <w:p w14:paraId="02FD0C02">
      <w:pPr>
        <w:spacing w:line="520" w:lineRule="exact"/>
        <w:ind w:left="0" w:firstLine="640" w:firstLineChars="200"/>
        <w:rPr>
          <w:rFonts w:hint="eastAsia" w:eastAsia="仿宋_GB2312"/>
          <w:sz w:val="32"/>
          <w:szCs w:val="32"/>
          <w:lang w:val="en-US" w:eastAsia="zh-CN"/>
        </w:rPr>
      </w:pPr>
      <w:r>
        <w:rPr>
          <w:rFonts w:hint="eastAsia" w:ascii="Times New Roman" w:hAnsi="Times New Roman" w:eastAsia="仿宋_GB2312"/>
          <w:snapToGrid w:val="0"/>
          <w:kern w:val="0"/>
          <w:sz w:val="32"/>
          <w:szCs w:val="32"/>
          <w:lang w:val="en-US" w:eastAsia="zh-CN"/>
        </w:rPr>
        <w:t>7、药物</w:t>
      </w:r>
      <w:r>
        <w:rPr>
          <w:rFonts w:hint="eastAsia" w:eastAsia="仿宋_GB2312"/>
          <w:sz w:val="32"/>
          <w:szCs w:val="32"/>
          <w:lang w:val="en-US" w:eastAsia="zh-CN"/>
        </w:rPr>
        <w:t>相容性研究</w:t>
      </w:r>
    </w:p>
    <w:p w14:paraId="117E4A2A">
      <w:pPr>
        <w:spacing w:line="520" w:lineRule="exact"/>
        <w:ind w:left="0" w:firstLine="640" w:firstLineChars="200"/>
        <w:rPr>
          <w:rFonts w:hint="eastAsia" w:ascii="Times New Roman" w:hAnsi="Times New Roman" w:eastAsia="仿宋_GB2312" w:cs="Times New Roman"/>
          <w:i w:val="0"/>
          <w:iCs w:val="0"/>
          <w:caps w:val="0"/>
          <w:snapToGrid w:val="0"/>
          <w:spacing w:val="0"/>
          <w:kern w:val="0"/>
          <w:sz w:val="32"/>
          <w:szCs w:val="32"/>
          <w:shd w:val="clear"/>
          <w:lang w:eastAsia="zh-CN"/>
        </w:rPr>
      </w:pPr>
      <w:r>
        <w:rPr>
          <w:rFonts w:eastAsia="仿宋_GB2312"/>
          <w:sz w:val="32"/>
          <w:szCs w:val="32"/>
        </w:rPr>
        <w:t>提交</w:t>
      </w:r>
      <w:r>
        <w:rPr>
          <w:rFonts w:hint="eastAsia" w:eastAsia="仿宋_GB2312"/>
          <w:sz w:val="32"/>
          <w:szCs w:val="32"/>
        </w:rPr>
        <w:t>申报产品</w:t>
      </w:r>
      <w:r>
        <w:rPr>
          <w:rFonts w:eastAsia="仿宋_GB2312"/>
          <w:sz w:val="32"/>
          <w:szCs w:val="32"/>
        </w:rPr>
        <w:t>与预期接触的</w:t>
      </w:r>
      <w:r>
        <w:rPr>
          <w:rFonts w:hint="eastAsia" w:eastAsia="仿宋_GB2312"/>
          <w:sz w:val="32"/>
          <w:szCs w:val="32"/>
        </w:rPr>
        <w:t>药物</w:t>
      </w:r>
      <w:r>
        <w:rPr>
          <w:rFonts w:eastAsia="仿宋_GB2312"/>
          <w:sz w:val="32"/>
          <w:szCs w:val="32"/>
        </w:rPr>
        <w:t>相容性研究资料。</w:t>
      </w:r>
      <w:r>
        <w:rPr>
          <w:rFonts w:hint="eastAsia" w:eastAsia="仿宋_GB2312"/>
          <w:sz w:val="32"/>
          <w:szCs w:val="32"/>
        </w:rPr>
        <w:t>如申报产品原材料工艺等</w:t>
      </w:r>
      <w:r>
        <w:rPr>
          <w:rStyle w:val="14"/>
          <w:rFonts w:hint="eastAsia" w:eastAsia="仿宋_GB2312"/>
          <w:sz w:val="32"/>
          <w:szCs w:val="32"/>
        </w:rPr>
        <w:t>与</w:t>
      </w:r>
      <w:r>
        <w:rPr>
          <w:rFonts w:hint="eastAsia" w:eastAsia="仿宋_GB2312"/>
          <w:sz w:val="32"/>
          <w:szCs w:val="32"/>
        </w:rPr>
        <w:t>已上市产品相同的，可通过已有的文献、数据</w:t>
      </w:r>
      <w:r>
        <w:rPr>
          <w:rFonts w:hint="eastAsia" w:eastAsia="仿宋_GB2312"/>
          <w:color w:val="000000"/>
          <w:sz w:val="32"/>
          <w:szCs w:val="32"/>
        </w:rPr>
        <w:t>和信息</w:t>
      </w:r>
      <w:r>
        <w:rPr>
          <w:rFonts w:hint="eastAsia" w:eastAsia="仿宋_GB2312"/>
          <w:sz w:val="32"/>
          <w:szCs w:val="32"/>
        </w:rPr>
        <w:t>资料进行说明；采用新材料、新工艺的产品，应提供相应的</w:t>
      </w:r>
      <w:r>
        <w:rPr>
          <w:rFonts w:eastAsia="仿宋_GB2312"/>
          <w:sz w:val="32"/>
          <w:szCs w:val="32"/>
        </w:rPr>
        <w:t>试验</w:t>
      </w:r>
      <w:r>
        <w:rPr>
          <w:rFonts w:hint="eastAsia" w:eastAsia="仿宋_GB2312"/>
          <w:sz w:val="32"/>
          <w:szCs w:val="32"/>
        </w:rPr>
        <w:t>数据和分析评价资料。</w:t>
      </w:r>
    </w:p>
    <w:p w14:paraId="17BA9F79">
      <w:pPr>
        <w:spacing w:line="560" w:lineRule="exact"/>
        <w:ind w:firstLine="640" w:firstLineChars="200"/>
        <w:rPr>
          <w:rFonts w:hint="eastAsia" w:ascii="Times New Roman" w:hAnsi="Times New Roman" w:eastAsia="楷体_GB2312" w:cs="Times New Roman"/>
          <w:sz w:val="32"/>
          <w:szCs w:val="32"/>
          <w:lang w:eastAsia="zh-CN"/>
        </w:rPr>
      </w:pPr>
      <w:r>
        <w:rPr>
          <w:rFonts w:hint="eastAsia" w:ascii="Times New Roman" w:hAnsi="Times New Roman" w:eastAsia="楷体_GB2312" w:cs="Times New Roman"/>
          <w:sz w:val="32"/>
          <w:szCs w:val="32"/>
          <w:lang w:eastAsia="zh-CN"/>
        </w:rPr>
        <w:t>（四）临床评价要求</w:t>
      </w:r>
    </w:p>
    <w:p w14:paraId="4BEADD74">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内窥镜膨腔泵不属于《免于进行临床评价的医疗器械目录》中产品，注册申请人应当依据所申报产品的</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技术特征</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适用范围</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和</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生物学特征</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等，参考《</w:t>
      </w:r>
      <w:r>
        <w:rPr>
          <w:rFonts w:hint="eastAsia" w:ascii="Times New Roman" w:hAnsi="Times New Roman" w:eastAsia="仿宋_GB2312" w:cs="Times New Roman"/>
          <w:b w:val="0"/>
          <w:bCs w:val="0"/>
          <w:i w:val="0"/>
          <w:iCs w:val="0"/>
          <w:caps w:val="0"/>
          <w:color w:val="000000" w:themeColor="text1"/>
          <w:spacing w:val="0"/>
          <w:sz w:val="32"/>
          <w:szCs w:val="32"/>
          <w:shd w:val="clear"/>
          <w14:textFill>
            <w14:solidFill>
              <w14:schemeClr w14:val="tx1"/>
            </w14:solidFill>
          </w14:textFill>
        </w:rPr>
        <w:t>医疗器械注册申报临床评价报告技术指导原则</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》、《医疗器械临床评价技术指导原则》、《医疗器械等同性论证技术指导原则》、《决策是否开展医疗器械临床试验技术指导原则》等相关要求开展临床评价。</w:t>
      </w:r>
    </w:p>
    <w:p w14:paraId="1EEFF45F">
      <w:pPr>
        <w:spacing w:line="560" w:lineRule="exact"/>
        <w:ind w:firstLine="640" w:firstLineChars="200"/>
        <w:rPr>
          <w:rFonts w:hint="eastAsia" w:ascii="Times New Roman" w:hAnsi="Times New Roman" w:eastAsia="楷体_GB2312" w:cs="Times New Roman"/>
          <w:sz w:val="32"/>
          <w:szCs w:val="32"/>
          <w:lang w:eastAsia="zh-CN"/>
        </w:rPr>
      </w:pPr>
      <w:r>
        <w:rPr>
          <w:rFonts w:hint="eastAsia" w:ascii="Times New Roman" w:hAnsi="Times New Roman" w:eastAsia="楷体_GB2312" w:cs="Times New Roman"/>
          <w:sz w:val="32"/>
          <w:szCs w:val="32"/>
          <w:lang w:eastAsia="zh-CN"/>
        </w:rPr>
        <w:t>（五）说明书和标签样稿</w:t>
      </w:r>
    </w:p>
    <w:p w14:paraId="27747D77">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产品说明书和标签应符合《医疗器械说明书和标签管理规定》中有关产品使用说明书及标签的相关要求。警告及注意事项至少包括：使用资质的要求，</w:t>
      </w:r>
      <w:bookmarkStart w:id="23" w:name="OLE_LINK24"/>
      <w:bookmarkStart w:id="24" w:name="OLE_LINK25"/>
      <w:r>
        <w:rPr>
          <w:rFonts w:hint="eastAsia" w:ascii="Times New Roman" w:hAnsi="Times New Roman" w:eastAsia="仿宋_GB2312" w:cs="Times New Roman"/>
          <w:color w:val="000000" w:themeColor="text1"/>
          <w:sz w:val="32"/>
          <w:szCs w:val="32"/>
          <w:lang w:eastAsia="zh-CN"/>
          <w14:textFill>
            <w14:solidFill>
              <w14:schemeClr w14:val="tx1"/>
            </w14:solidFill>
          </w14:textFill>
        </w:rPr>
        <w:t>如只能由经过培训的专业的医务人员操作</w:t>
      </w:r>
      <w:bookmarkEnd w:id="23"/>
      <w:bookmarkEnd w:id="24"/>
      <w:r>
        <w:rPr>
          <w:rFonts w:hint="eastAsia" w:ascii="Times New Roman" w:hAnsi="Times New Roman" w:eastAsia="仿宋_GB2312" w:cs="Times New Roman"/>
          <w:color w:val="000000" w:themeColor="text1"/>
          <w:sz w:val="32"/>
          <w:szCs w:val="32"/>
          <w:lang w:eastAsia="zh-CN"/>
          <w14:textFill>
            <w14:solidFill>
              <w14:schemeClr w14:val="tx1"/>
            </w14:solidFill>
          </w14:textFill>
        </w:rPr>
        <w:t>；电磁兼容方面相关的警告及措施；不应放置在影响本产品运行和性能的位置的警告；对检修人员、销售商及相关人员，应提供说明如何检修产品的调整装置及其工作过程；列明可更换的耗材和配件，</w:t>
      </w:r>
      <w:r>
        <w:rPr>
          <w:rFonts w:hint="eastAsia" w:ascii="Times New Roman" w:hAnsi="Times New Roman" w:eastAsia="仿宋_GB2312"/>
          <w:color w:val="000000" w:themeColor="text1"/>
          <w:sz w:val="32"/>
          <w:szCs w:val="32"/>
          <w14:textFill>
            <w14:solidFill>
              <w14:schemeClr w14:val="tx1"/>
            </w14:solidFill>
          </w14:textFill>
        </w:rPr>
        <w:t>以及更换周期及方法</w:t>
      </w:r>
      <w:r>
        <w:rPr>
          <w:rFonts w:hint="eastAsia" w:ascii="Times New Roman" w:hAnsi="Times New Roman" w:eastAsia="仿宋_GB2312"/>
          <w:color w:val="000000" w:themeColor="text1"/>
          <w:sz w:val="32"/>
          <w:szCs w:val="32"/>
          <w:lang w:eastAsia="zh-CN"/>
          <w14:textFill>
            <w14:solidFill>
              <w14:schemeClr w14:val="tx1"/>
            </w14:solidFill>
          </w14:textFill>
        </w:rPr>
        <w:t>，明确</w:t>
      </w:r>
      <w:r>
        <w:rPr>
          <w:rFonts w:hint="eastAsia" w:ascii="Times New Roman" w:hAnsi="Times New Roman" w:eastAsia="仿宋_GB2312"/>
          <w:color w:val="000000" w:themeColor="text1"/>
          <w:kern w:val="2"/>
          <w:sz w:val="32"/>
          <w:szCs w:val="32"/>
          <w14:textFill>
            <w14:solidFill>
              <w14:schemeClr w14:val="tx1"/>
            </w14:solidFill>
          </w14:textFill>
        </w:rPr>
        <w:t>与设备配</w:t>
      </w:r>
      <w:r>
        <w:rPr>
          <w:rFonts w:hint="eastAsia" w:ascii="Times New Roman" w:hAnsi="Times New Roman" w:eastAsia="仿宋_GB2312"/>
          <w:color w:val="000000" w:themeColor="text1"/>
          <w:sz w:val="32"/>
          <w:szCs w:val="32"/>
          <w14:textFill>
            <w14:solidFill>
              <w14:schemeClr w14:val="tx1"/>
            </w14:solidFill>
          </w14:textFill>
        </w:rPr>
        <w:t>套使用的冲洗液种类</w:t>
      </w:r>
      <w:r>
        <w:rPr>
          <w:rFonts w:hint="eastAsia" w:ascii="Times New Roman" w:hAnsi="Times New Roman" w:eastAsia="仿宋_GB2312"/>
          <w:color w:val="000000" w:themeColor="text1"/>
          <w:sz w:val="32"/>
          <w:szCs w:val="32"/>
          <w:lang w:eastAsia="zh-CN"/>
          <w14:textFill>
            <w14:solidFill>
              <w14:schemeClr w14:val="tx1"/>
            </w14:solidFill>
          </w14:textFill>
        </w:rPr>
        <w:t>。</w:t>
      </w:r>
    </w:p>
    <w:p w14:paraId="5AB912CE">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医疗器械标签因位置或者大小受限而无法全部标明上述内容的，至少应当标注产品名称、型号、规格、生产日期和使用期限或者失效日期，并在标签中明确“其他内容详见说明书”。</w:t>
      </w:r>
    </w:p>
    <w:p w14:paraId="12120C90">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说明书应与综述资料、研究资料、临床评价报告关于测量功能、适用范围的表述保持一致，并明确适应证。</w:t>
      </w:r>
    </w:p>
    <w:p w14:paraId="6A9BF75C">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如适用，</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说明书还应参考《医疗器械软件注册审查指导原则（2022年修订版）》体现软件的功能、使用限制、输入输出数据类型、必备软硬件、最大并发数、接口、访问控制、运行环境（若适用）、性能效率（若适用）等信息，明确软件发布版本；参考《医疗器械网络安全注册审查指导原则（2022年修订版）》提供网络安全说明和使用指导，明确用户访问控制机制、电子接口（含网络接口、电子数据交换接口）及其数据类型和技术特征、网络安全特征配置、数据备份与灾难恢复、运行环境（含硬件配置、外部软件环境、网络环境，若适用）、安全软件兼容性列表（若适用）、外部软件环境与安全软件更新（若适用）、现成软件清单（SBOM，若适用）等要求。</w:t>
      </w:r>
    </w:p>
    <w:p w14:paraId="59A0D973">
      <w:pPr>
        <w:spacing w:line="560" w:lineRule="exact"/>
        <w:ind w:firstLine="640" w:firstLineChars="200"/>
        <w:rPr>
          <w:rFonts w:hint="eastAsia" w:ascii="Times New Roman" w:hAnsi="Times New Roman" w:eastAsia="楷体_GB2312" w:cs="Times New Roman"/>
          <w:sz w:val="32"/>
          <w:szCs w:val="32"/>
          <w:lang w:eastAsia="zh-CN"/>
        </w:rPr>
      </w:pPr>
      <w:r>
        <w:rPr>
          <w:rFonts w:hint="eastAsia" w:ascii="Times New Roman" w:hAnsi="Times New Roman" w:eastAsia="楷体_GB2312" w:cs="Times New Roman"/>
          <w:sz w:val="32"/>
          <w:szCs w:val="32"/>
          <w:lang w:eastAsia="zh-CN"/>
        </w:rPr>
        <w:t>（六）</w:t>
      </w:r>
      <w:r>
        <w:rPr>
          <w:rFonts w:hint="eastAsia" w:eastAsia="楷体_GB2312"/>
          <w:sz w:val="32"/>
          <w:szCs w:val="32"/>
        </w:rPr>
        <w:t>质量管理体系文件</w:t>
      </w:r>
    </w:p>
    <w:p w14:paraId="67B41FF7">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按照《关于公布医疗器械注册申报资料要求和批准证明文件格式的公告》的要求提交质量管理体系文件。</w:t>
      </w:r>
    </w:p>
    <w:p w14:paraId="6B684EC4">
      <w:pPr>
        <w:spacing w:line="560" w:lineRule="exact"/>
        <w:ind w:firstLine="640" w:firstLineChars="200"/>
        <w:jc w:val="left"/>
        <w:outlineLvl w:val="0"/>
        <w:rPr>
          <w:rFonts w:hint="eastAsia" w:ascii="Times New Roman" w:hAnsi="Times New Roman" w:eastAsia="黑体" w:cs="Times New Roman"/>
          <w:color w:val="000000"/>
          <w:sz w:val="32"/>
          <w:szCs w:val="32"/>
          <w:lang w:eastAsia="zh-CN"/>
        </w:rPr>
      </w:pPr>
      <w:r>
        <w:rPr>
          <w:rFonts w:hint="eastAsia" w:ascii="Times New Roman" w:hAnsi="Times New Roman" w:eastAsia="黑体" w:cs="Times New Roman"/>
          <w:color w:val="000000"/>
          <w:sz w:val="32"/>
          <w:szCs w:val="32"/>
          <w:lang w:eastAsia="zh-CN"/>
        </w:rPr>
        <w:t>三、参考文献</w:t>
      </w:r>
    </w:p>
    <w:p w14:paraId="3AF4ABC9">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[1]</w:t>
      </w:r>
      <w:r>
        <w:rPr>
          <w:rFonts w:hint="eastAsia" w:ascii="Times New Roman" w:hAnsi="Times New Roman" w:eastAsia="仿宋_GB2312" w:cs="Times New Roman"/>
          <w:color w:val="000000" w:themeColor="text1"/>
          <w:sz w:val="32"/>
          <w:szCs w:val="32"/>
          <w:lang w:val="en" w:eastAsia="zh-CN"/>
          <w14:textFill>
            <w14:solidFill>
              <w14:schemeClr w14:val="tx1"/>
            </w14:solidFill>
          </w14:textFill>
        </w:rPr>
        <w:t>中华人民共和国国务院.</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医疗器械监督管理条例:</w:t>
      </w:r>
      <w:r>
        <w:rPr>
          <w:rFonts w:hint="eastAsia" w:ascii="Times New Roman" w:hAnsi="Times New Roman" w:eastAsia="仿宋_GB2312" w:cs="Times New Roman"/>
          <w:color w:val="000000" w:themeColor="text1"/>
          <w:sz w:val="32"/>
          <w:szCs w:val="32"/>
          <w:lang w:val="en" w:eastAsia="zh-CN"/>
          <w14:textFill>
            <w14:solidFill>
              <w14:schemeClr w14:val="tx1"/>
            </w14:solidFill>
          </w14:textFill>
        </w:rPr>
        <w:t>中华人民共和国国务院令第739号</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[Z].</w:t>
      </w:r>
    </w:p>
    <w:p w14:paraId="3EDA3B02">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[2]国家市场监督管理总局.医疗器械注册与备案管理办法:国家市场监督管理总局令第47号[Z].</w:t>
      </w:r>
    </w:p>
    <w:p w14:paraId="0197F8E5">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[3]国家药品监督管理局.医疗器械注册申报资料要求和批准证明文件格式: 国家药监局公告2021年第121号[Z].</w:t>
      </w:r>
    </w:p>
    <w:p w14:paraId="0219A0B7">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[4]国家药品监督管理局.医疗器械注册自检管理规定:国家药监局公告2021年第126号[Z].</w:t>
      </w:r>
    </w:p>
    <w:p w14:paraId="7E8A2A67">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[5]国家食品药品监督管理局.医疗器械说明书和标签管理规定:国家食品药品监督管理总局令第6号[Z].</w:t>
      </w:r>
    </w:p>
    <w:p w14:paraId="74B28B98">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[6]国家食品药品监督管理局.医疗器械通用名称命名规则：国家食品药品监督管理总局令第19号[Z].</w:t>
      </w:r>
    </w:p>
    <w:p w14:paraId="2D4AEA28">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[7]</w:t>
      </w:r>
      <w:r>
        <w:rPr>
          <w:rFonts w:hint="eastAsia" w:ascii="Times New Roman" w:hAnsi="Times New Roman" w:eastAsia="仿宋_GB2312" w:cs="Times New Roman"/>
          <w:color w:val="000000" w:themeColor="text1"/>
          <w:sz w:val="32"/>
          <w:szCs w:val="32"/>
          <w:lang w:val="en" w:eastAsia="zh-CN"/>
          <w14:textFill>
            <w14:solidFill>
              <w14:schemeClr w14:val="tx1"/>
            </w14:solidFill>
          </w14:textFill>
        </w:rPr>
        <w:t>国家食品药品监督管理局</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.医疗器械注册单元划分指导原则:总局通</w:t>
      </w:r>
      <w:r>
        <w:rPr>
          <w:rFonts w:hint="eastAsia" w:ascii="Times New Roman" w:hAnsi="Times New Roman" w:eastAsia="仿宋_GB2312" w:cs="Times New Roman"/>
          <w:color w:val="000000" w:themeColor="text1"/>
          <w:sz w:val="32"/>
          <w:szCs w:val="32"/>
          <w:lang w:val="en" w:eastAsia="zh-CN"/>
          <w14:textFill>
            <w14:solidFill>
              <w14:schemeClr w14:val="tx1"/>
            </w14:solidFill>
          </w14:textFill>
        </w:rPr>
        <w:t>告2017年第187号</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[Z].</w:t>
      </w:r>
    </w:p>
    <w:p w14:paraId="594DD71F">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[8]</w:t>
      </w:r>
      <w:r>
        <w:rPr>
          <w:rFonts w:hint="eastAsia" w:ascii="Times New Roman" w:hAnsi="Times New Roman" w:eastAsia="仿宋_GB2312" w:cs="Times New Roman"/>
          <w:color w:val="000000" w:themeColor="text1"/>
          <w:sz w:val="32"/>
          <w:szCs w:val="32"/>
          <w:lang w:val="en" w:eastAsia="zh-CN"/>
          <w14:textFill>
            <w14:solidFill>
              <w14:schemeClr w14:val="tx1"/>
            </w14:solidFill>
          </w14:textFill>
        </w:rPr>
        <w:t>国家食品药品监督管理局</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.医疗器械分类目录:</w:t>
      </w:r>
      <w:r>
        <w:rPr>
          <w:rFonts w:hint="eastAsia" w:ascii="Times New Roman" w:hAnsi="Times New Roman" w:eastAsia="仿宋_GB2312" w:cs="Times New Roman"/>
          <w:color w:val="000000" w:themeColor="text1"/>
          <w:sz w:val="32"/>
          <w:szCs w:val="32"/>
          <w:lang w:val="en" w:eastAsia="zh-CN"/>
          <w14:textFill>
            <w14:solidFill>
              <w14:schemeClr w14:val="tx1"/>
            </w14:solidFill>
          </w14:textFill>
        </w:rPr>
        <w:t>国家食品药品监督管理总局公告2017年第104号</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[Z].</w:t>
      </w:r>
    </w:p>
    <w:p w14:paraId="037BE943">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[9]国家药品监督管理局.医疗器械安全和性能基本原则:国家药监局通告2020年第18号[Z].</w:t>
      </w:r>
    </w:p>
    <w:p w14:paraId="767CFA71">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[10]国家药品监督管理局.医疗器械产品技术要求编写指导原则:国家药监局公告2022年第8号[Z].</w:t>
      </w:r>
    </w:p>
    <w:p w14:paraId="122E2BCC">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[11]国家药品监督管理局医疗器械审评中心.医疗器械软件注册审查指导原则（2022年修订版）:国家药监局器审中心通告2022年第9号[Z].</w:t>
      </w:r>
    </w:p>
    <w:p w14:paraId="2A42DCA8">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[1</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]国家药品监督管理局.医疗器械临床评价技术指导原则等5项技术指导原则:国家药监局通告2021年第73号[Z].</w:t>
      </w:r>
    </w:p>
    <w:p w14:paraId="50F2AC6B">
      <w:pPr>
        <w:spacing w:line="520" w:lineRule="exact"/>
        <w:ind w:firstLine="640" w:firstLineChars="200"/>
        <w:rPr>
          <w:rFonts w:eastAsia="仿宋_GB2312"/>
          <w:sz w:val="32"/>
          <w:szCs w:val="32"/>
        </w:rPr>
      </w:pP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[1</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]GB/T 16886.1-2022,</w:t>
      </w:r>
      <w:r>
        <w:rPr>
          <w:rFonts w:hint="eastAsia" w:eastAsia="仿宋_GB2312"/>
          <w:sz w:val="32"/>
          <w:szCs w:val="32"/>
        </w:rPr>
        <w:t>医疗器械生物学评价第</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1</w:t>
      </w:r>
      <w:r>
        <w:rPr>
          <w:rFonts w:hint="eastAsia" w:eastAsia="仿宋_GB2312"/>
          <w:sz w:val="32"/>
          <w:szCs w:val="32"/>
        </w:rPr>
        <w:t>部分：风险管理过程中的评价与试验</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[S].</w:t>
      </w:r>
    </w:p>
    <w:p w14:paraId="237C1549">
      <w:pPr>
        <w:spacing w:line="52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[1</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4</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]GB/T 42062-2022,</w:t>
      </w:r>
      <w:r>
        <w:rPr>
          <w:rFonts w:hint="eastAsia" w:eastAsia="仿宋_GB2312"/>
          <w:sz w:val="32"/>
          <w:szCs w:val="32"/>
        </w:rPr>
        <w:t>医疗器械风险管理对医疗器械的应用</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[S].</w:t>
      </w:r>
    </w:p>
    <w:p w14:paraId="58D1B8C8">
      <w:pPr>
        <w:spacing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[1</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GB 9706.1-2020,</w:t>
      </w:r>
      <w:r>
        <w:rPr>
          <w:rFonts w:hint="eastAsia" w:eastAsia="仿宋_GB2312"/>
          <w:sz w:val="32"/>
          <w:szCs w:val="32"/>
        </w:rPr>
        <w:t>医用电气设备</w:t>
      </w:r>
      <w:r>
        <w:rPr>
          <w:rFonts w:eastAsia="仿宋_GB2312"/>
          <w:sz w:val="32"/>
          <w:szCs w:val="32"/>
        </w:rPr>
        <w:t xml:space="preserve"> </w:t>
      </w:r>
      <w:r>
        <w:rPr>
          <w:rFonts w:hint="eastAsia" w:eastAsia="仿宋_GB2312"/>
          <w:sz w:val="32"/>
          <w:szCs w:val="32"/>
        </w:rPr>
        <w:t>第</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1部</w:t>
      </w:r>
      <w:r>
        <w:rPr>
          <w:rFonts w:hint="eastAsia" w:eastAsia="仿宋_GB2312"/>
          <w:sz w:val="32"/>
          <w:szCs w:val="32"/>
        </w:rPr>
        <w:t>分：基本安全和基本性能的通用要求</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[S]</w:t>
      </w:r>
      <w:r>
        <w:rPr>
          <w:rFonts w:eastAsia="仿宋_GB2312"/>
          <w:sz w:val="32"/>
          <w:szCs w:val="32"/>
        </w:rPr>
        <w:t>.</w:t>
      </w:r>
    </w:p>
    <w:p w14:paraId="744A1053">
      <w:pPr>
        <w:spacing w:line="560" w:lineRule="exact"/>
        <w:ind w:firstLine="640" w:firstLineChars="200"/>
        <w:rPr>
          <w:rFonts w:hint="eastAsia" w:eastAsia="仿宋_GB2312"/>
          <w:sz w:val="32"/>
          <w:szCs w:val="32"/>
          <w:lang w:val="zh-TW" w:eastAsia="zh-TW"/>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[1</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YY 9706.102,用电气设备 第1-2</w:t>
      </w:r>
      <w:r>
        <w:rPr>
          <w:rFonts w:hint="eastAsia" w:eastAsia="仿宋_GB2312"/>
          <w:sz w:val="32"/>
          <w:szCs w:val="32"/>
        </w:rPr>
        <w:t>部分：基本安全和基本性能的通用要求 并列标准：电磁兼容 要求和试</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验[S]</w:t>
      </w:r>
      <w:r>
        <w:rPr>
          <w:rFonts w:hint="eastAsia" w:eastAsia="仿宋_GB2312"/>
          <w:sz w:val="32"/>
          <w:szCs w:val="32"/>
        </w:rPr>
        <w:t>.</w:t>
      </w:r>
    </w:p>
    <w:p w14:paraId="2B7FEB14">
      <w:pPr>
        <w:spacing w:line="560" w:lineRule="exact"/>
        <w:ind w:firstLine="640" w:firstLineChars="200"/>
        <w:rPr>
          <w:rFonts w:eastAsia="仿宋_GB2312"/>
          <w:sz w:val="32"/>
          <w:szCs w:val="32"/>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[1</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7</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GB/T 14710-2009,</w:t>
      </w:r>
      <w:r>
        <w:rPr>
          <w:rFonts w:hint="eastAsia" w:eastAsia="仿宋_GB2312"/>
          <w:sz w:val="32"/>
          <w:szCs w:val="32"/>
        </w:rPr>
        <w:t>医用电器环境要求及试验方法</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[S]</w:t>
      </w:r>
      <w:r>
        <w:rPr>
          <w:rFonts w:eastAsia="仿宋_GB2312"/>
          <w:sz w:val="32"/>
          <w:szCs w:val="32"/>
        </w:rPr>
        <w:t>.</w:t>
      </w:r>
    </w:p>
    <w:p w14:paraId="682005CF">
      <w:pPr>
        <w:spacing w:line="520" w:lineRule="exact"/>
        <w:ind w:firstLine="640" w:firstLineChars="200"/>
        <w:rPr>
          <w:rFonts w:eastAsia="仿宋_GB2312"/>
          <w:sz w:val="32"/>
          <w:szCs w:val="32"/>
        </w:rPr>
      </w:pP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18</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]GB/T 16886.5,</w:t>
      </w:r>
      <w:r>
        <w:rPr>
          <w:rFonts w:hint="eastAsia" w:eastAsia="仿宋_GB2312"/>
          <w:sz w:val="32"/>
          <w:szCs w:val="32"/>
        </w:rPr>
        <w:t>医疗器械生物学评价 第</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5</w:t>
      </w:r>
      <w:r>
        <w:rPr>
          <w:rFonts w:hint="eastAsia" w:eastAsia="仿宋_GB2312"/>
          <w:sz w:val="32"/>
          <w:szCs w:val="32"/>
        </w:rPr>
        <w:t>部分：体外细胞毒性试验</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[S]</w:t>
      </w:r>
      <w:r>
        <w:rPr>
          <w:rFonts w:hint="eastAsia" w:eastAsia="仿宋_GB2312"/>
          <w:sz w:val="32"/>
          <w:szCs w:val="32"/>
        </w:rPr>
        <w:t>.</w:t>
      </w:r>
    </w:p>
    <w:p w14:paraId="274F5A14">
      <w:pPr>
        <w:spacing w:line="520" w:lineRule="exact"/>
        <w:ind w:firstLine="640" w:firstLineChars="200"/>
        <w:rPr>
          <w:rFonts w:eastAsia="仿宋_GB2312"/>
          <w:sz w:val="32"/>
          <w:szCs w:val="32"/>
        </w:rPr>
      </w:pP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19</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]GB/T 16886.10,</w:t>
      </w:r>
      <w:r>
        <w:rPr>
          <w:rFonts w:hint="eastAsia" w:eastAsia="仿宋_GB2312"/>
          <w:sz w:val="32"/>
          <w:szCs w:val="32"/>
        </w:rPr>
        <w:t>医疗器械生物学评价 第</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10</w:t>
      </w:r>
      <w:r>
        <w:rPr>
          <w:rFonts w:hint="eastAsia" w:eastAsia="仿宋_GB2312"/>
          <w:sz w:val="32"/>
          <w:szCs w:val="32"/>
        </w:rPr>
        <w:t>部分：刺激与皮肤致敏试验</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[S]</w:t>
      </w:r>
      <w:r>
        <w:rPr>
          <w:rFonts w:hint="eastAsia" w:eastAsia="仿宋_GB2312"/>
          <w:sz w:val="32"/>
          <w:szCs w:val="32"/>
        </w:rPr>
        <w:t>.</w:t>
      </w:r>
    </w:p>
    <w:p w14:paraId="3B0214DC">
      <w:pPr>
        <w:spacing w:line="560" w:lineRule="exact"/>
        <w:ind w:firstLine="640" w:firstLineChars="200"/>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pP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20</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]YY/T 0466.1</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医疗器械 用于医疗器械标签、标记和提供信息的符号 第1部分：通用要求[S].</w:t>
      </w:r>
    </w:p>
    <w:p w14:paraId="7A4BB5E6">
      <w:pPr>
        <w:spacing w:line="560" w:lineRule="exact"/>
        <w:ind w:firstLine="640" w:firstLineChars="200"/>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21</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]YY</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T 0864</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2011 医用内窥镜 内窥镜功能供给装置 液体膨腔泵</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[S].</w:t>
      </w:r>
    </w:p>
    <w:p w14:paraId="7C5F0368">
      <w:pPr>
        <w:spacing w:line="560" w:lineRule="exact"/>
        <w:ind w:firstLine="640" w:firstLineChars="200"/>
        <w:rPr>
          <w:rFonts w:hint="eastAsia" w:ascii="Times New Roman" w:hAnsi="Times New Roman" w:eastAsia="仿宋_GB2312" w:cs="Times New Roman"/>
          <w:color w:val="000000" w:themeColor="text1"/>
          <w:sz w:val="32"/>
          <w:szCs w:val="32"/>
          <w:lang w:val="zh-TW"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22</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]YY 1057-2016医用脚踏开关通用技术条件</w:t>
      </w: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[S].</w:t>
      </w:r>
    </w:p>
    <w:p w14:paraId="2D28E8BE">
      <w:pPr>
        <w:spacing w:line="560" w:lineRule="exact"/>
        <w:ind w:firstLine="640" w:firstLineChars="200"/>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pPr>
      <w:r>
        <w:rPr>
          <w:rFonts w:hint="eastAsia" w:ascii="Times New Roman" w:hAnsi="Times New Roman" w:eastAsia="仿宋_GB2312" w:cs="Times New Roman"/>
          <w:color w:val="000000" w:themeColor="text1"/>
          <w:sz w:val="32"/>
          <w:szCs w:val="32"/>
          <w:lang w:val="zh-TW" w:eastAsia="zh-TW"/>
          <w14:textFill>
            <w14:solidFill>
              <w14:schemeClr w14:val="tx1"/>
            </w14:solidFill>
          </w14:textFill>
        </w:rPr>
        <w:t>注：以上标准适用最新版本。</w:t>
      </w:r>
    </w:p>
    <w:p w14:paraId="717736EA">
      <w:pPr>
        <w:spacing w:line="560" w:lineRule="exact"/>
        <w:ind w:firstLine="640" w:firstLineChars="200"/>
        <w:outlineLvl w:val="0"/>
        <w:rPr>
          <w:rFonts w:hint="eastAsia"/>
          <w:lang w:val="zh-TW" w:eastAsia="zh-TW"/>
        </w:rPr>
      </w:pPr>
      <w:r>
        <w:rPr>
          <w:rFonts w:hint="eastAsia" w:eastAsia="黑体"/>
          <w:sz w:val="32"/>
          <w:szCs w:val="32"/>
        </w:rPr>
        <w:t>四</w:t>
      </w:r>
      <w:r>
        <w:rPr>
          <w:rFonts w:eastAsia="黑体"/>
          <w:sz w:val="32"/>
          <w:szCs w:val="32"/>
        </w:rPr>
        <w:t>、</w:t>
      </w:r>
      <w:r>
        <w:rPr>
          <w:rFonts w:hint="eastAsia" w:eastAsia="黑体"/>
          <w:sz w:val="32"/>
          <w:szCs w:val="32"/>
        </w:rPr>
        <w:t>编写单位</w:t>
      </w:r>
    </w:p>
    <w:p w14:paraId="7FB33FEB">
      <w:pPr>
        <w:spacing w:line="560" w:lineRule="exact"/>
        <w:ind w:firstLine="640" w:firstLineChars="200"/>
        <w:rPr>
          <w:rFonts w:hint="eastAsia" w:ascii="仿宋_GB2312" w:hAnsi="楷体" w:eastAsia="仿宋_GB2312"/>
          <w:sz w:val="32"/>
          <w:szCs w:val="28"/>
          <w:lang w:eastAsia="zh-CN"/>
        </w:rPr>
      </w:pPr>
      <w:r>
        <w:rPr>
          <w:rFonts w:hint="eastAsia" w:ascii="仿宋_GB2312" w:hAnsi="楷体" w:eastAsia="仿宋_GB2312"/>
          <w:sz w:val="32"/>
          <w:szCs w:val="28"/>
          <w:lang w:eastAsia="zh-CN"/>
        </w:rPr>
        <w:t>浙江省医疗器械审评中心</w:t>
      </w:r>
    </w:p>
    <w:p w14:paraId="4EAC7886">
      <w:pPr>
        <w:spacing w:line="560" w:lineRule="exact"/>
        <w:ind w:firstLine="0" w:firstLineChars="0"/>
        <w:rPr>
          <w:rFonts w:hint="eastAsia" w:ascii="Times New Roman" w:hAnsi="Times New Roman" w:eastAsia="仿宋_GB2312" w:cs="Times New Roman"/>
          <w:color w:val="000000" w:themeColor="text1"/>
          <w:sz w:val="32"/>
          <w:szCs w:val="32"/>
          <w14:textFill>
            <w14:solidFill>
              <w14:schemeClr w14:val="tx1"/>
            </w14:solidFill>
          </w14:textFill>
        </w:rPr>
      </w:pPr>
    </w:p>
    <w:sectPr>
      <w:footerReference r:id="rId3" w:type="default"/>
      <w:pgSz w:w="11906" w:h="16838"/>
      <w:pgMar w:top="1440" w:right="1797" w:bottom="1440" w:left="1797" w:header="851" w:footer="992" w:gutter="0"/>
      <w:pgBorders>
        <w:top w:val="none" w:sz="0" w:space="0"/>
        <w:left w:val="none" w:sz="0" w:space="0"/>
        <w:bottom w:val="none" w:sz="0" w:space="0"/>
        <w:right w:val="none" w:sz="0" w:space="0"/>
      </w:pgBorders>
      <w:lnNumType w:countBy="1" w:restart="continuous"/>
      <w:pgNumType w:fmt="numberInDash"/>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8A65567-CE6B-47DA-9815-DB85B02F424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E20A7B6F-B435-4842-902F-140AA1F050FE}"/>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embedRegular r:id="rId3" w:fontKey="{C6C738DE-6BE1-401A-B884-19B8AFBCBFA9}"/>
  </w:font>
  <w:font w:name="仿宋">
    <w:panose1 w:val="02010609060101010101"/>
    <w:charset w:val="86"/>
    <w:family w:val="modern"/>
    <w:pitch w:val="default"/>
    <w:sig w:usb0="800002BF" w:usb1="38CF7CFA" w:usb2="00000016" w:usb3="00000000" w:csb0="00040001" w:csb1="00000000"/>
    <w:embedRegular r:id="rId4" w:fontKey="{59BDCAE3-503A-477D-88E7-906D5228333E}"/>
  </w:font>
  <w:font w:name="方正小标宋简体">
    <w:panose1 w:val="02000000000000000000"/>
    <w:charset w:val="86"/>
    <w:family w:val="script"/>
    <w:pitch w:val="default"/>
    <w:sig w:usb0="00000001" w:usb1="080E0000" w:usb2="00000000" w:usb3="00000000" w:csb0="00040000" w:csb1="00000000"/>
    <w:embedRegular r:id="rId5" w:fontKey="{98FE2413-D51D-4DAE-9187-75A54D79AA65}"/>
  </w:font>
  <w:font w:name="楷体_GB2312">
    <w:altName w:val="楷体"/>
    <w:panose1 w:val="02010609030101010101"/>
    <w:charset w:val="86"/>
    <w:family w:val="modern"/>
    <w:pitch w:val="default"/>
    <w:sig w:usb0="00000000" w:usb1="00000000" w:usb2="00000000" w:usb3="00000000" w:csb0="00040000" w:csb1="00000000"/>
    <w:embedRegular r:id="rId6" w:fontKey="{3FFC6417-983F-4BD5-AE65-BE8044B24D44}"/>
  </w:font>
  <w:font w:name="楷体">
    <w:panose1 w:val="02010609060101010101"/>
    <w:charset w:val="86"/>
    <w:family w:val="modern"/>
    <w:pitch w:val="default"/>
    <w:sig w:usb0="800002BF" w:usb1="38CF7CFA" w:usb2="00000016" w:usb3="00000000" w:csb0="00040001" w:csb1="00000000"/>
    <w:embedRegular r:id="rId7" w:fontKey="{D65585F8-42F8-493B-A32F-DF2CEB62B08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B661E">
    <w:pPr>
      <w:pStyle w:val="6"/>
      <w:jc w:val="center"/>
    </w:pPr>
    <w:r>
      <w:rPr>
        <w:rFonts w:ascii="Times New Roman" w:hAnsi="Times New Roman"/>
        <w:sz w:val="24"/>
      </w:rPr>
      <w:fldChar w:fldCharType="begin"/>
    </w:r>
    <w:r>
      <w:rPr>
        <w:rFonts w:ascii="Times New Roman" w:hAnsi="Times New Roman"/>
        <w:sz w:val="24"/>
      </w:rPr>
      <w:instrText xml:space="preserve"> PAGE   \* MERGEFORMAT </w:instrText>
    </w:r>
    <w:r>
      <w:rPr>
        <w:rFonts w:ascii="Times New Roman" w:hAnsi="Times New Roman"/>
        <w:sz w:val="24"/>
      </w:rPr>
      <w:fldChar w:fldCharType="separate"/>
    </w:r>
    <w:r>
      <w:rPr>
        <w:rFonts w:ascii="Times New Roman" w:hAnsi="Times New Roman"/>
        <w:sz w:val="24"/>
        <w:lang w:val="zh-CN"/>
      </w:rPr>
      <w:t>-</w:t>
    </w:r>
    <w:r>
      <w:rPr>
        <w:rFonts w:ascii="Times New Roman" w:hAnsi="Times New Roman"/>
        <w:sz w:val="24"/>
      </w:rPr>
      <w:t xml:space="preserve"> 12 -</w:t>
    </w:r>
    <w:r>
      <w:rPr>
        <w:rFonts w:ascii="Times New Roman" w:hAnsi="Times New Roman"/>
        <w:sz w:val="24"/>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trackRevisions w:val="1"/>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1MTMxMmJmNTRiMmU1OGExYzNlYzhlNzJhNDg1MjIifQ=="/>
  </w:docVars>
  <w:rsids>
    <w:rsidRoot w:val="01D012CF"/>
    <w:rsid w:val="003E6299"/>
    <w:rsid w:val="00784035"/>
    <w:rsid w:val="008B7BE3"/>
    <w:rsid w:val="008F5CFC"/>
    <w:rsid w:val="00954478"/>
    <w:rsid w:val="00C01678"/>
    <w:rsid w:val="00C85F20"/>
    <w:rsid w:val="00CA4B88"/>
    <w:rsid w:val="00DD40F3"/>
    <w:rsid w:val="00DF2A6D"/>
    <w:rsid w:val="00ED609B"/>
    <w:rsid w:val="00FD7DD1"/>
    <w:rsid w:val="01204DA0"/>
    <w:rsid w:val="01454397"/>
    <w:rsid w:val="016519C1"/>
    <w:rsid w:val="01714809"/>
    <w:rsid w:val="01D012CF"/>
    <w:rsid w:val="025D037C"/>
    <w:rsid w:val="02AE1145"/>
    <w:rsid w:val="034A3564"/>
    <w:rsid w:val="038B262D"/>
    <w:rsid w:val="039474F8"/>
    <w:rsid w:val="039F2BD8"/>
    <w:rsid w:val="03E47515"/>
    <w:rsid w:val="03E94B2B"/>
    <w:rsid w:val="03F1255D"/>
    <w:rsid w:val="04177352"/>
    <w:rsid w:val="0421585D"/>
    <w:rsid w:val="045F4DED"/>
    <w:rsid w:val="04BB4853"/>
    <w:rsid w:val="04E470A0"/>
    <w:rsid w:val="05171231"/>
    <w:rsid w:val="056401E1"/>
    <w:rsid w:val="056E4905"/>
    <w:rsid w:val="05AB5E10"/>
    <w:rsid w:val="06147E59"/>
    <w:rsid w:val="06C45EB3"/>
    <w:rsid w:val="06CF642C"/>
    <w:rsid w:val="07082AF2"/>
    <w:rsid w:val="071933F3"/>
    <w:rsid w:val="07780C92"/>
    <w:rsid w:val="082500FC"/>
    <w:rsid w:val="08B64998"/>
    <w:rsid w:val="0A8235E3"/>
    <w:rsid w:val="0B82764C"/>
    <w:rsid w:val="0BC114DF"/>
    <w:rsid w:val="0BEB51B8"/>
    <w:rsid w:val="0CA75583"/>
    <w:rsid w:val="0D7511DD"/>
    <w:rsid w:val="0DF90060"/>
    <w:rsid w:val="0DF96448"/>
    <w:rsid w:val="0E013AA6"/>
    <w:rsid w:val="0E645F25"/>
    <w:rsid w:val="0F036EE5"/>
    <w:rsid w:val="0F041CC7"/>
    <w:rsid w:val="0F482E3B"/>
    <w:rsid w:val="0F577B2C"/>
    <w:rsid w:val="0FF4755A"/>
    <w:rsid w:val="100F5919"/>
    <w:rsid w:val="101E3DAE"/>
    <w:rsid w:val="1097590F"/>
    <w:rsid w:val="1113437A"/>
    <w:rsid w:val="11496C09"/>
    <w:rsid w:val="11610C55"/>
    <w:rsid w:val="120223F7"/>
    <w:rsid w:val="12053DD9"/>
    <w:rsid w:val="128679E9"/>
    <w:rsid w:val="131821D8"/>
    <w:rsid w:val="1340403C"/>
    <w:rsid w:val="1351449B"/>
    <w:rsid w:val="13C24A51"/>
    <w:rsid w:val="13DA7FEC"/>
    <w:rsid w:val="14004C89"/>
    <w:rsid w:val="14135073"/>
    <w:rsid w:val="146D2C0E"/>
    <w:rsid w:val="146D2C81"/>
    <w:rsid w:val="148368D6"/>
    <w:rsid w:val="152271FB"/>
    <w:rsid w:val="152A0AFF"/>
    <w:rsid w:val="152C00DA"/>
    <w:rsid w:val="157F7AFB"/>
    <w:rsid w:val="15C2342E"/>
    <w:rsid w:val="15D4540B"/>
    <w:rsid w:val="16065B76"/>
    <w:rsid w:val="164B4E1A"/>
    <w:rsid w:val="167938C2"/>
    <w:rsid w:val="168406E3"/>
    <w:rsid w:val="1697252A"/>
    <w:rsid w:val="16DF75DF"/>
    <w:rsid w:val="16E32CDB"/>
    <w:rsid w:val="16F6268C"/>
    <w:rsid w:val="17C97A33"/>
    <w:rsid w:val="17FB2C27"/>
    <w:rsid w:val="1812425A"/>
    <w:rsid w:val="18251C23"/>
    <w:rsid w:val="18636CAE"/>
    <w:rsid w:val="188449CB"/>
    <w:rsid w:val="18890233"/>
    <w:rsid w:val="188A0A95"/>
    <w:rsid w:val="18D72D4C"/>
    <w:rsid w:val="1902725A"/>
    <w:rsid w:val="19EB4791"/>
    <w:rsid w:val="19F66572"/>
    <w:rsid w:val="1A8149E7"/>
    <w:rsid w:val="1AB3225C"/>
    <w:rsid w:val="1AC11F06"/>
    <w:rsid w:val="1AEA0BD6"/>
    <w:rsid w:val="1AF25413"/>
    <w:rsid w:val="1B5E076F"/>
    <w:rsid w:val="1B651AC5"/>
    <w:rsid w:val="1BEA2D97"/>
    <w:rsid w:val="1C3E5861"/>
    <w:rsid w:val="1C856F63"/>
    <w:rsid w:val="1CE41EDC"/>
    <w:rsid w:val="1CFE5619"/>
    <w:rsid w:val="1D1175AE"/>
    <w:rsid w:val="1D175AEB"/>
    <w:rsid w:val="1D524C10"/>
    <w:rsid w:val="1D717880"/>
    <w:rsid w:val="1DB5160B"/>
    <w:rsid w:val="1E4A16EB"/>
    <w:rsid w:val="1EC56246"/>
    <w:rsid w:val="1EC64038"/>
    <w:rsid w:val="1ECC75B8"/>
    <w:rsid w:val="1ED012E4"/>
    <w:rsid w:val="1EE34450"/>
    <w:rsid w:val="1F095C2A"/>
    <w:rsid w:val="1F253AB8"/>
    <w:rsid w:val="1F3233D2"/>
    <w:rsid w:val="1F842203"/>
    <w:rsid w:val="1F852AAF"/>
    <w:rsid w:val="1FB45B95"/>
    <w:rsid w:val="20191B4E"/>
    <w:rsid w:val="20381B49"/>
    <w:rsid w:val="203E1903"/>
    <w:rsid w:val="20E3006E"/>
    <w:rsid w:val="20F326ED"/>
    <w:rsid w:val="211C7E96"/>
    <w:rsid w:val="213A166E"/>
    <w:rsid w:val="217A2AC7"/>
    <w:rsid w:val="22AB3C8E"/>
    <w:rsid w:val="22BD2FB3"/>
    <w:rsid w:val="230B5137"/>
    <w:rsid w:val="232C1EE7"/>
    <w:rsid w:val="233A6C4C"/>
    <w:rsid w:val="23753F06"/>
    <w:rsid w:val="23C67B2A"/>
    <w:rsid w:val="24A77F65"/>
    <w:rsid w:val="24A84FF5"/>
    <w:rsid w:val="25B13A19"/>
    <w:rsid w:val="25B92DF6"/>
    <w:rsid w:val="26104EE4"/>
    <w:rsid w:val="27616C96"/>
    <w:rsid w:val="27662377"/>
    <w:rsid w:val="27800A53"/>
    <w:rsid w:val="27B16E5E"/>
    <w:rsid w:val="27DDA70B"/>
    <w:rsid w:val="283C5561"/>
    <w:rsid w:val="28852FC8"/>
    <w:rsid w:val="28AC62E6"/>
    <w:rsid w:val="293B7327"/>
    <w:rsid w:val="2A102562"/>
    <w:rsid w:val="2A8527EC"/>
    <w:rsid w:val="2B13323A"/>
    <w:rsid w:val="2B2A7653"/>
    <w:rsid w:val="2B6337D2"/>
    <w:rsid w:val="2B9F5CDF"/>
    <w:rsid w:val="2BD646F7"/>
    <w:rsid w:val="2C0B028E"/>
    <w:rsid w:val="2C315FBD"/>
    <w:rsid w:val="2D180861"/>
    <w:rsid w:val="2D8E211C"/>
    <w:rsid w:val="2DB30329"/>
    <w:rsid w:val="2DC778E8"/>
    <w:rsid w:val="2DD23B61"/>
    <w:rsid w:val="2DEB299B"/>
    <w:rsid w:val="2E6115DE"/>
    <w:rsid w:val="2F0E5351"/>
    <w:rsid w:val="2F4A630E"/>
    <w:rsid w:val="304A388A"/>
    <w:rsid w:val="31466CA2"/>
    <w:rsid w:val="3153318E"/>
    <w:rsid w:val="31AA2BA6"/>
    <w:rsid w:val="31FD5ADC"/>
    <w:rsid w:val="32271C35"/>
    <w:rsid w:val="3375447C"/>
    <w:rsid w:val="338B4409"/>
    <w:rsid w:val="343F277F"/>
    <w:rsid w:val="344A6670"/>
    <w:rsid w:val="34A96EF5"/>
    <w:rsid w:val="34FD1935"/>
    <w:rsid w:val="35635770"/>
    <w:rsid w:val="358944C3"/>
    <w:rsid w:val="35B25333"/>
    <w:rsid w:val="35BA24A6"/>
    <w:rsid w:val="36F5338D"/>
    <w:rsid w:val="37090F7C"/>
    <w:rsid w:val="37305FF2"/>
    <w:rsid w:val="3776777C"/>
    <w:rsid w:val="37B41B04"/>
    <w:rsid w:val="38141EFE"/>
    <w:rsid w:val="38155682"/>
    <w:rsid w:val="385A3725"/>
    <w:rsid w:val="38C61DEC"/>
    <w:rsid w:val="38E55FE1"/>
    <w:rsid w:val="39135506"/>
    <w:rsid w:val="398061D6"/>
    <w:rsid w:val="398720B8"/>
    <w:rsid w:val="39B46F38"/>
    <w:rsid w:val="3A0D2998"/>
    <w:rsid w:val="3A1B6B6A"/>
    <w:rsid w:val="3A2F07E2"/>
    <w:rsid w:val="3A8A75B4"/>
    <w:rsid w:val="3A8B353F"/>
    <w:rsid w:val="3AA840F1"/>
    <w:rsid w:val="3AAA1C17"/>
    <w:rsid w:val="3B162443"/>
    <w:rsid w:val="3B1A3C30"/>
    <w:rsid w:val="3B312338"/>
    <w:rsid w:val="3BB15227"/>
    <w:rsid w:val="3BCD3BBB"/>
    <w:rsid w:val="3BE26EA9"/>
    <w:rsid w:val="3BF06645"/>
    <w:rsid w:val="3C266F4E"/>
    <w:rsid w:val="3C8F7316"/>
    <w:rsid w:val="3CA83870"/>
    <w:rsid w:val="3CD80572"/>
    <w:rsid w:val="3CDB478C"/>
    <w:rsid w:val="3D6B30DD"/>
    <w:rsid w:val="3D976944"/>
    <w:rsid w:val="3EAC5D52"/>
    <w:rsid w:val="3F010273"/>
    <w:rsid w:val="3F0C1671"/>
    <w:rsid w:val="3F3E3A12"/>
    <w:rsid w:val="3F4F55CD"/>
    <w:rsid w:val="3F6E5909"/>
    <w:rsid w:val="3F80388E"/>
    <w:rsid w:val="3F851ADA"/>
    <w:rsid w:val="3FD1706C"/>
    <w:rsid w:val="41602848"/>
    <w:rsid w:val="41F92911"/>
    <w:rsid w:val="42621029"/>
    <w:rsid w:val="426C1EA8"/>
    <w:rsid w:val="42C703EC"/>
    <w:rsid w:val="42E93823"/>
    <w:rsid w:val="42EE5C48"/>
    <w:rsid w:val="43824DAC"/>
    <w:rsid w:val="441A2E22"/>
    <w:rsid w:val="44581CA3"/>
    <w:rsid w:val="448F00D5"/>
    <w:rsid w:val="4493196E"/>
    <w:rsid w:val="44A96AF9"/>
    <w:rsid w:val="44CD39A8"/>
    <w:rsid w:val="44F04356"/>
    <w:rsid w:val="458F3C72"/>
    <w:rsid w:val="46163116"/>
    <w:rsid w:val="46BF1C9A"/>
    <w:rsid w:val="46D544C0"/>
    <w:rsid w:val="46D83138"/>
    <w:rsid w:val="471054F8"/>
    <w:rsid w:val="472838C4"/>
    <w:rsid w:val="472E597E"/>
    <w:rsid w:val="476D241D"/>
    <w:rsid w:val="477C14DC"/>
    <w:rsid w:val="477D7246"/>
    <w:rsid w:val="478A34FC"/>
    <w:rsid w:val="47925F0D"/>
    <w:rsid w:val="47FE3277"/>
    <w:rsid w:val="4819770A"/>
    <w:rsid w:val="48A33F0A"/>
    <w:rsid w:val="48BB41E4"/>
    <w:rsid w:val="48FF6CB3"/>
    <w:rsid w:val="492C0A93"/>
    <w:rsid w:val="497E4A53"/>
    <w:rsid w:val="499112A0"/>
    <w:rsid w:val="49AE1015"/>
    <w:rsid w:val="4A116313"/>
    <w:rsid w:val="4B0A7451"/>
    <w:rsid w:val="4B296B88"/>
    <w:rsid w:val="4B3911E0"/>
    <w:rsid w:val="4BA72152"/>
    <w:rsid w:val="4BBF58C8"/>
    <w:rsid w:val="4C2C67E0"/>
    <w:rsid w:val="4DC88897"/>
    <w:rsid w:val="4E652E6A"/>
    <w:rsid w:val="4E6B74B7"/>
    <w:rsid w:val="4EAD1B4A"/>
    <w:rsid w:val="4EB15812"/>
    <w:rsid w:val="4EB4172E"/>
    <w:rsid w:val="4F550892"/>
    <w:rsid w:val="4F6F0EAB"/>
    <w:rsid w:val="4FEA3863"/>
    <w:rsid w:val="4FF77255"/>
    <w:rsid w:val="4FF9121F"/>
    <w:rsid w:val="502D711A"/>
    <w:rsid w:val="5047001C"/>
    <w:rsid w:val="50A32F39"/>
    <w:rsid w:val="50B05137"/>
    <w:rsid w:val="50E40542"/>
    <w:rsid w:val="50F80A55"/>
    <w:rsid w:val="511E6A63"/>
    <w:rsid w:val="516A1CA8"/>
    <w:rsid w:val="51742568"/>
    <w:rsid w:val="519B1722"/>
    <w:rsid w:val="51C71BC8"/>
    <w:rsid w:val="51F003FF"/>
    <w:rsid w:val="5247502A"/>
    <w:rsid w:val="529F262B"/>
    <w:rsid w:val="52AD5468"/>
    <w:rsid w:val="52E77591"/>
    <w:rsid w:val="53D87451"/>
    <w:rsid w:val="53EE77E7"/>
    <w:rsid w:val="53F00B8B"/>
    <w:rsid w:val="54336CC9"/>
    <w:rsid w:val="546E3324"/>
    <w:rsid w:val="54B40EE4"/>
    <w:rsid w:val="54DD18E3"/>
    <w:rsid w:val="54FB77E7"/>
    <w:rsid w:val="55AA2FBB"/>
    <w:rsid w:val="5613290E"/>
    <w:rsid w:val="56691E2A"/>
    <w:rsid w:val="56B52653"/>
    <w:rsid w:val="56D46542"/>
    <w:rsid w:val="56EF4625"/>
    <w:rsid w:val="57EA3B43"/>
    <w:rsid w:val="582D1A1C"/>
    <w:rsid w:val="587F428B"/>
    <w:rsid w:val="58DE132A"/>
    <w:rsid w:val="593A700F"/>
    <w:rsid w:val="59843637"/>
    <w:rsid w:val="59A1611D"/>
    <w:rsid w:val="59C06909"/>
    <w:rsid w:val="5A2A74AD"/>
    <w:rsid w:val="5A366BCB"/>
    <w:rsid w:val="5A5B3400"/>
    <w:rsid w:val="5A941256"/>
    <w:rsid w:val="5B0F5D9A"/>
    <w:rsid w:val="5B263BCE"/>
    <w:rsid w:val="5BC34FD5"/>
    <w:rsid w:val="5C2C64D8"/>
    <w:rsid w:val="5C44135B"/>
    <w:rsid w:val="5D0B274A"/>
    <w:rsid w:val="5D52255C"/>
    <w:rsid w:val="5DB80F79"/>
    <w:rsid w:val="5DC32E6C"/>
    <w:rsid w:val="5E2B1CA6"/>
    <w:rsid w:val="5EE4309A"/>
    <w:rsid w:val="5EE5562D"/>
    <w:rsid w:val="5EFF1C82"/>
    <w:rsid w:val="5FF212CF"/>
    <w:rsid w:val="60211B97"/>
    <w:rsid w:val="60D158A0"/>
    <w:rsid w:val="60DC2856"/>
    <w:rsid w:val="611761E6"/>
    <w:rsid w:val="614473CF"/>
    <w:rsid w:val="6151397A"/>
    <w:rsid w:val="61D17319"/>
    <w:rsid w:val="61D727BB"/>
    <w:rsid w:val="62B252F4"/>
    <w:rsid w:val="62BD432E"/>
    <w:rsid w:val="63381C06"/>
    <w:rsid w:val="63D0463C"/>
    <w:rsid w:val="6408372F"/>
    <w:rsid w:val="64194BAB"/>
    <w:rsid w:val="64A811A8"/>
    <w:rsid w:val="64BC5AA2"/>
    <w:rsid w:val="660B3602"/>
    <w:rsid w:val="677156E7"/>
    <w:rsid w:val="67C6450F"/>
    <w:rsid w:val="68142C42"/>
    <w:rsid w:val="68A63701"/>
    <w:rsid w:val="68D72A24"/>
    <w:rsid w:val="694176C8"/>
    <w:rsid w:val="696C40C9"/>
    <w:rsid w:val="698C4A5A"/>
    <w:rsid w:val="69C75445"/>
    <w:rsid w:val="6A627569"/>
    <w:rsid w:val="6B995FFE"/>
    <w:rsid w:val="6C220D8D"/>
    <w:rsid w:val="6C7353BC"/>
    <w:rsid w:val="6D10220D"/>
    <w:rsid w:val="6D577956"/>
    <w:rsid w:val="6DCE71F3"/>
    <w:rsid w:val="6E4E4FEB"/>
    <w:rsid w:val="6E4F6D17"/>
    <w:rsid w:val="6E85086A"/>
    <w:rsid w:val="6F3F02BE"/>
    <w:rsid w:val="6F8F2BAE"/>
    <w:rsid w:val="6FA7439C"/>
    <w:rsid w:val="70301BC4"/>
    <w:rsid w:val="70A703CB"/>
    <w:rsid w:val="717B6263"/>
    <w:rsid w:val="71836742"/>
    <w:rsid w:val="71A16BBB"/>
    <w:rsid w:val="71A212BE"/>
    <w:rsid w:val="71CB4BFC"/>
    <w:rsid w:val="71DB657E"/>
    <w:rsid w:val="723B0DCB"/>
    <w:rsid w:val="72DB435C"/>
    <w:rsid w:val="72ED47BB"/>
    <w:rsid w:val="730B4C41"/>
    <w:rsid w:val="73C92407"/>
    <w:rsid w:val="745B1524"/>
    <w:rsid w:val="74825670"/>
    <w:rsid w:val="74886FCC"/>
    <w:rsid w:val="74977C4C"/>
    <w:rsid w:val="752124FA"/>
    <w:rsid w:val="753C37D8"/>
    <w:rsid w:val="755E4B52"/>
    <w:rsid w:val="756D7B7E"/>
    <w:rsid w:val="757F6C10"/>
    <w:rsid w:val="758F1B5A"/>
    <w:rsid w:val="75BC563D"/>
    <w:rsid w:val="75F220E9"/>
    <w:rsid w:val="767D5E2B"/>
    <w:rsid w:val="76BA0E58"/>
    <w:rsid w:val="77D90C16"/>
    <w:rsid w:val="782341B2"/>
    <w:rsid w:val="788A70F3"/>
    <w:rsid w:val="789B0816"/>
    <w:rsid w:val="78A81248"/>
    <w:rsid w:val="78D75B36"/>
    <w:rsid w:val="78DC3DFA"/>
    <w:rsid w:val="78EC2900"/>
    <w:rsid w:val="78F63DD4"/>
    <w:rsid w:val="78FD327E"/>
    <w:rsid w:val="79073098"/>
    <w:rsid w:val="79233F67"/>
    <w:rsid w:val="799E2892"/>
    <w:rsid w:val="79DC4A3F"/>
    <w:rsid w:val="79FE2BB7"/>
    <w:rsid w:val="7B590514"/>
    <w:rsid w:val="7B7470FC"/>
    <w:rsid w:val="7BC7240C"/>
    <w:rsid w:val="7C66619A"/>
    <w:rsid w:val="7C944505"/>
    <w:rsid w:val="7CCD2F68"/>
    <w:rsid w:val="7CFC52F8"/>
    <w:rsid w:val="7D450D50"/>
    <w:rsid w:val="7D7FE86E"/>
    <w:rsid w:val="7DB639FC"/>
    <w:rsid w:val="7DBE3A17"/>
    <w:rsid w:val="7EE5C591"/>
    <w:rsid w:val="7EEF5417"/>
    <w:rsid w:val="7F3274F1"/>
    <w:rsid w:val="7F7846EA"/>
    <w:rsid w:val="7FCD11C6"/>
    <w:rsid w:val="C8EC3D20"/>
    <w:rsid w:val="E3EFE3B7"/>
    <w:rsid w:val="FBEF6196"/>
    <w:rsid w:val="FCD74C1B"/>
    <w:rsid w:val="FFF74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2"/>
    <w:basedOn w:val="1"/>
    <w:next w:val="1"/>
    <w:qFormat/>
    <w:uiPriority w:val="9"/>
    <w:pPr>
      <w:keepNext/>
      <w:keepLines/>
      <w:spacing w:before="120" w:after="120" w:line="360" w:lineRule="auto"/>
      <w:ind w:firstLine="200" w:firstLineChars="200"/>
      <w:outlineLvl w:val="1"/>
    </w:pPr>
    <w:rPr>
      <w:rFonts w:ascii="Cambria" w:hAnsi="Cambria" w:eastAsia="黑体"/>
      <w:b/>
      <w:bCs/>
      <w:snapToGrid w:val="0"/>
      <w:kern w:val="0"/>
      <w:szCs w:val="32"/>
      <w:lang w:val="zh-CN"/>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unhideWhenUsed/>
    <w:qFormat/>
    <w:uiPriority w:val="0"/>
    <w:pPr>
      <w:jc w:val="left"/>
    </w:pPr>
  </w:style>
  <w:style w:type="paragraph" w:styleId="6">
    <w:name w:val="footer"/>
    <w:basedOn w:val="1"/>
    <w:unhideWhenUsed/>
    <w:qFormat/>
    <w:uiPriority w:val="99"/>
    <w:pPr>
      <w:tabs>
        <w:tab w:val="center" w:pos="4153"/>
        <w:tab w:val="right" w:pos="8306"/>
      </w:tabs>
      <w:snapToGrid w:val="0"/>
      <w:jc w:val="left"/>
    </w:pPr>
    <w:rPr>
      <w:rFonts w:ascii="Calibri" w:hAnsi="Calibri" w:eastAsia="宋体"/>
      <w:kern w:val="0"/>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spacing w:before="42" w:after="42"/>
      <w:jc w:val="left"/>
    </w:pPr>
    <w:rPr>
      <w:kern w:val="0"/>
      <w:sz w:val="24"/>
    </w:rPr>
  </w:style>
  <w:style w:type="table" w:styleId="10">
    <w:name w:val="Table Grid"/>
    <w:basedOn w:val="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Strong"/>
    <w:basedOn w:val="11"/>
    <w:qFormat/>
    <w:uiPriority w:val="0"/>
    <w:rPr>
      <w:b/>
    </w:rPr>
  </w:style>
  <w:style w:type="character" w:styleId="13">
    <w:name w:val="Hyperlink"/>
    <w:qFormat/>
    <w:uiPriority w:val="0"/>
    <w:rPr>
      <w:color w:val="337AB7"/>
      <w:u w:val="none"/>
    </w:rPr>
  </w:style>
  <w:style w:type="character" w:styleId="14">
    <w:name w:val="annotation reference"/>
    <w:qFormat/>
    <w:uiPriority w:val="0"/>
    <w:rPr>
      <w:sz w:val="21"/>
      <w:szCs w:val="21"/>
    </w:rPr>
  </w:style>
  <w:style w:type="paragraph" w:styleId="15">
    <w:name w:val="No Spacing"/>
    <w:qFormat/>
    <w:uiPriority w:val="0"/>
    <w:pPr>
      <w:adjustRightInd w:val="0"/>
      <w:snapToGrid w:val="0"/>
    </w:pPr>
    <w:rPr>
      <w:rFonts w:ascii="Tahoma" w:hAnsi="Tahoma" w:eastAsia="微软雅黑" w:cs="Times New Roman"/>
      <w:sz w:val="22"/>
      <w:szCs w:val="22"/>
      <w:lang w:val="en-US" w:eastAsia="zh-CN" w:bidi="ar-SA"/>
    </w:rPr>
  </w:style>
  <w:style w:type="character" w:customStyle="1" w:styleId="16">
    <w:name w:val="页眉 字符"/>
    <w:basedOn w:val="11"/>
    <w:link w:val="7"/>
    <w:qFormat/>
    <w:uiPriority w:val="0"/>
    <w:rPr>
      <w:rFonts w:ascii="等线" w:hAnsi="等线" w:eastAsia="等线" w:cs="Times New Roman"/>
      <w:kern w:val="2"/>
      <w:sz w:val="18"/>
      <w:szCs w:val="18"/>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列出段落1"/>
    <w:basedOn w:val="1"/>
    <w:qFormat/>
    <w:uiPriority w:val="34"/>
    <w:pPr>
      <w:ind w:firstLine="420" w:firstLineChars="200"/>
    </w:pPr>
    <w:rPr>
      <w:rFonts w:eastAsia="仿宋_GB2312"/>
      <w:szCs w:val="32"/>
    </w:rPr>
  </w:style>
  <w:style w:type="paragraph" w:customStyle="1" w:styleId="19">
    <w:name w:val="列出段落11"/>
    <w:basedOn w:val="1"/>
    <w:qFormat/>
    <w:uiPriority w:val="34"/>
    <w:pPr>
      <w:ind w:firstLine="420" w:firstLineChars="200"/>
    </w:pPr>
    <w:rPr>
      <w:rFonts w:eastAsia="仿宋_GB2312"/>
      <w:szCs w:val="32"/>
    </w:rPr>
  </w:style>
  <w:style w:type="paragraph" w:styleId="20">
    <w:name w:val="List Paragraph"/>
    <w:basedOn w:val="1"/>
    <w:unhideWhenUsed/>
    <w:qFormat/>
    <w:uiPriority w:val="34"/>
    <w:pPr>
      <w:ind w:firstLine="420" w:firstLineChars="200"/>
    </w:pPr>
  </w:style>
  <w:style w:type="character" w:customStyle="1" w:styleId="21">
    <w:name w:val="f101"/>
    <w:qFormat/>
    <w:uiPriority w:val="0"/>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20</Pages>
  <Words>2863</Words>
  <Characters>2932</Characters>
  <Lines>55</Lines>
  <Paragraphs>15</Paragraphs>
  <TotalTime>0</TotalTime>
  <ScaleCrop>false</ScaleCrop>
  <LinksUpToDate>false</LinksUpToDate>
  <CharactersWithSpaces>2941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2021-09-30T15:42:00Z</dcterms:created>
  <dc:creator>Liuqianqian</dc:creator>
  <cp:lastModifiedBy>非</cp:lastModifiedBy>
  <dcterms:modified xsi:type="dcterms:W3CDTF">2026-07-23T07:48:39Z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E3FD0E8C5A514A0AB689BDEE6F3D467E_13</vt:lpwstr>
  </property>
  <property fmtid="{D5CDD505-2E9C-101B-9397-08002B2CF9AE}" pid="4" name="KSOTemplateDocerSaveRecord">
    <vt:lpwstr>eyJoZGlkIjoiMjY1MTMxMmJmNTRiMmU1OGExYzNlYzhlNzJhNDg1MjIiLCJ1c2VySWQiOiI5NjUzMjgzOTQifQ==</vt:lpwstr>
  </property>
</Properties>
</file>