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8990D6">
      <w:pPr>
        <w:spacing w:line="520" w:lineRule="exact"/>
        <w:jc w:val="center"/>
        <w:rPr>
          <w:rFonts w:eastAsia="方正小标宋简体"/>
          <w:bCs/>
          <w:sz w:val="44"/>
          <w:szCs w:val="44"/>
          <w:lang w:bidi="ar"/>
        </w:rPr>
      </w:pPr>
      <w:bookmarkStart w:id="0" w:name="OLE_LINK3"/>
      <w:bookmarkStart w:id="1" w:name="OLE_LINK2"/>
      <w:bookmarkStart w:id="2" w:name="OLE_LINK1"/>
      <w:r>
        <w:rPr>
          <w:rFonts w:hint="eastAsia" w:ascii="方正小标宋简体" w:eastAsia="方正小标宋简体"/>
          <w:sz w:val="44"/>
          <w:szCs w:val="44"/>
        </w:rPr>
        <w:t>眼震图设备</w:t>
      </w:r>
      <w:bookmarkEnd w:id="0"/>
      <w:r>
        <w:rPr>
          <w:rFonts w:hint="eastAsia" w:eastAsia="方正小标宋简体"/>
          <w:bCs/>
          <w:sz w:val="44"/>
          <w:szCs w:val="44"/>
          <w:lang w:bidi="ar"/>
        </w:rPr>
        <w:t>注册审查指导原则</w:t>
      </w:r>
    </w:p>
    <w:p w14:paraId="35863118">
      <w:pPr>
        <w:spacing w:line="520" w:lineRule="exact"/>
        <w:jc w:val="center"/>
        <w:rPr>
          <w:rFonts w:eastAsia="方正小标宋简体"/>
          <w:bCs/>
          <w:sz w:val="44"/>
          <w:szCs w:val="44"/>
          <w:lang w:bidi="ar"/>
        </w:rPr>
      </w:pPr>
      <w:r>
        <w:rPr>
          <w:rFonts w:hint="eastAsia" w:eastAsia="方正小标宋简体"/>
          <w:bCs/>
          <w:sz w:val="44"/>
          <w:szCs w:val="44"/>
          <w:lang w:bidi="ar"/>
        </w:rPr>
        <w:t>（征求意见稿）</w:t>
      </w:r>
    </w:p>
    <w:p w14:paraId="781626E7">
      <w:pPr>
        <w:overflowPunct w:val="0"/>
        <w:spacing w:line="520" w:lineRule="exact"/>
        <w:ind w:firstLine="420" w:firstLineChars="200"/>
        <w:rPr>
          <w:rFonts w:asciiTheme="minorHAnsi" w:hAnsiTheme="minorHAnsi" w:eastAsiaTheme="minorEastAsia" w:cstheme="minorBidi"/>
        </w:rPr>
      </w:pPr>
    </w:p>
    <w:p w14:paraId="04DF6D2C">
      <w:pPr>
        <w:overflowPunct w:val="0"/>
        <w:spacing w:line="520" w:lineRule="exact"/>
        <w:ind w:firstLine="640" w:firstLineChars="200"/>
        <w:rPr>
          <w:rFonts w:eastAsia="仿宋_GB2312" w:cs="仿宋_GB2312"/>
          <w:snapToGrid w:val="0"/>
          <w:kern w:val="0"/>
          <w:sz w:val="32"/>
          <w:szCs w:val="32"/>
        </w:rPr>
      </w:pPr>
      <w:r>
        <w:rPr>
          <w:rFonts w:hint="eastAsia" w:eastAsia="仿宋_GB2312" w:cs="仿宋_GB2312"/>
          <w:snapToGrid w:val="0"/>
          <w:kern w:val="0"/>
          <w:sz w:val="32"/>
          <w:szCs w:val="32"/>
        </w:rPr>
        <w:t>本指导原则旨在指导注册申请人对</w:t>
      </w:r>
      <w:bookmarkStart w:id="3" w:name="OLE_LINK4"/>
      <w:bookmarkStart w:id="4" w:name="OLE_LINK7"/>
      <w:r>
        <w:rPr>
          <w:rFonts w:hint="eastAsia" w:eastAsia="仿宋_GB2312" w:cs="仿宋_GB2312"/>
          <w:snapToGrid w:val="0"/>
          <w:kern w:val="0"/>
          <w:sz w:val="32"/>
          <w:szCs w:val="32"/>
        </w:rPr>
        <w:t>眼震图</w:t>
      </w:r>
      <w:bookmarkEnd w:id="3"/>
      <w:r>
        <w:rPr>
          <w:rFonts w:hint="eastAsia" w:eastAsia="仿宋_GB2312" w:cs="仿宋_GB2312"/>
          <w:snapToGrid w:val="0"/>
          <w:kern w:val="0"/>
          <w:sz w:val="32"/>
          <w:szCs w:val="32"/>
        </w:rPr>
        <w:t>设备</w:t>
      </w:r>
      <w:bookmarkEnd w:id="4"/>
      <w:r>
        <w:rPr>
          <w:rFonts w:hint="eastAsia" w:eastAsia="仿宋_GB2312" w:cs="仿宋_GB2312"/>
          <w:snapToGrid w:val="0"/>
          <w:kern w:val="0"/>
          <w:sz w:val="32"/>
          <w:szCs w:val="32"/>
        </w:rPr>
        <w:t>注册申报资料的准备及撰写，同时也为技术审评部门审评注册申报资料提供参考。</w:t>
      </w:r>
    </w:p>
    <w:p w14:paraId="0A6BF134">
      <w:pPr>
        <w:overflowPunct w:val="0"/>
        <w:autoSpaceDE w:val="0"/>
        <w:autoSpaceDN w:val="0"/>
        <w:spacing w:line="520" w:lineRule="exact"/>
        <w:ind w:firstLine="640" w:firstLineChars="200"/>
        <w:rPr>
          <w:rFonts w:eastAsia="仿宋_GB2312" w:cs="仿宋_GB2312"/>
          <w:snapToGrid w:val="0"/>
          <w:kern w:val="0"/>
          <w:sz w:val="32"/>
          <w:szCs w:val="32"/>
        </w:rPr>
      </w:pPr>
      <w:r>
        <w:rPr>
          <w:rFonts w:hint="eastAsia" w:eastAsia="仿宋_GB2312" w:cs="仿宋_GB2312"/>
          <w:snapToGrid w:val="0"/>
          <w:kern w:val="0"/>
          <w:sz w:val="32"/>
          <w:szCs w:val="32"/>
        </w:rPr>
        <w:t>本指导原则是对眼震图设备的一般要求，申请人应依据产品的</w:t>
      </w:r>
      <w:r>
        <w:rPr>
          <w:rFonts w:eastAsia="仿宋_GB2312"/>
          <w:sz w:val="32"/>
          <w:szCs w:val="32"/>
        </w:rPr>
        <w:t>具体</w:t>
      </w:r>
      <w:r>
        <w:rPr>
          <w:rFonts w:hint="eastAsia" w:eastAsia="仿宋_GB2312" w:cs="仿宋_GB2312"/>
          <w:snapToGrid w:val="0"/>
          <w:kern w:val="0"/>
          <w:sz w:val="32"/>
          <w:szCs w:val="32"/>
        </w:rPr>
        <w:t>特性确定其中的内容是否适用。若不适用，需具体阐述其理由及相应的科学依据，并依据具体的产品特性对注册申报资料的内容进行充实和细化。</w:t>
      </w:r>
    </w:p>
    <w:p w14:paraId="6A10FE8D">
      <w:pPr>
        <w:overflowPunct w:val="0"/>
        <w:autoSpaceDE w:val="0"/>
        <w:autoSpaceDN w:val="0"/>
        <w:spacing w:line="520" w:lineRule="exact"/>
        <w:ind w:firstLine="640" w:firstLineChars="200"/>
        <w:rPr>
          <w:rFonts w:eastAsia="仿宋_GB2312" w:cs="仿宋_GB2312"/>
          <w:snapToGrid w:val="0"/>
          <w:kern w:val="0"/>
          <w:sz w:val="32"/>
          <w:szCs w:val="32"/>
        </w:rPr>
      </w:pPr>
      <w:r>
        <w:rPr>
          <w:rFonts w:hint="eastAsia" w:eastAsia="仿宋_GB2312" w:cs="仿宋_GB2312"/>
          <w:snapToGrid w:val="0"/>
          <w:kern w:val="0"/>
          <w:sz w:val="32"/>
          <w:szCs w:val="32"/>
        </w:rPr>
        <w:t>本指导原则是供注册申请人和技术审评人员使用的指导性文件，但不包括注册审批所涉及的行政事项，亦不作为法规强制执行，应在遵循相关法规的前提下使用本指导原则。如果有能够满足相关法规要求的其他方法，也可以采用，但是需要提供详细的研究资料和验证资料。</w:t>
      </w:r>
    </w:p>
    <w:p w14:paraId="29025CF0">
      <w:pPr>
        <w:overflowPunct w:val="0"/>
        <w:spacing w:line="520" w:lineRule="exact"/>
        <w:ind w:firstLine="640"/>
        <w:rPr>
          <w:rFonts w:eastAsia="仿宋_GB2312" w:cs="仿宋_GB2312"/>
          <w:snapToGrid w:val="0"/>
          <w:sz w:val="32"/>
          <w:szCs w:val="32"/>
          <w:lang w:bidi="ar"/>
        </w:rPr>
      </w:pPr>
      <w:r>
        <w:rPr>
          <w:rFonts w:hint="eastAsia" w:eastAsia="仿宋_GB2312" w:cs="仿宋_GB2312"/>
          <w:snapToGrid w:val="0"/>
          <w:kern w:val="0"/>
          <w:sz w:val="32"/>
          <w:szCs w:val="32"/>
        </w:rPr>
        <w:t>本指导原则是在现行法规和标准体系以及当前认知水平下制定的，随着法规和标准的不断完善，以及科学技术的不断发展，相关内容也将适时进行调整。</w:t>
      </w:r>
    </w:p>
    <w:p w14:paraId="5AB42460">
      <w:pPr>
        <w:spacing w:line="520" w:lineRule="exact"/>
        <w:ind w:firstLine="641"/>
        <w:outlineLvl w:val="0"/>
      </w:pPr>
      <w:r>
        <w:rPr>
          <w:rFonts w:hint="eastAsia" w:eastAsia="黑体"/>
          <w:snapToGrid w:val="0"/>
          <w:kern w:val="0"/>
          <w:sz w:val="32"/>
          <w:szCs w:val="32"/>
        </w:rPr>
        <w:t>一、适用范围</w:t>
      </w:r>
    </w:p>
    <w:p w14:paraId="4BE451C3">
      <w:pPr>
        <w:spacing w:line="520" w:lineRule="exact"/>
        <w:ind w:firstLine="640"/>
        <w:rPr>
          <w:rFonts w:eastAsia="仿宋_GB2312" w:cs="仿宋_GB2312"/>
          <w:snapToGrid w:val="0"/>
          <w:kern w:val="0"/>
          <w:sz w:val="32"/>
          <w:szCs w:val="32"/>
        </w:rPr>
      </w:pPr>
      <w:r>
        <w:rPr>
          <w:rFonts w:hint="eastAsia" w:eastAsia="仿宋_GB2312" w:cs="仿宋_GB2312"/>
          <w:snapToGrid w:val="0"/>
          <w:kern w:val="0"/>
          <w:sz w:val="32"/>
          <w:szCs w:val="32"/>
        </w:rPr>
        <w:t>本指导</w:t>
      </w:r>
      <w:r>
        <w:rPr>
          <w:rFonts w:eastAsia="仿宋_GB2312" w:cs="仿宋_GB2312"/>
          <w:snapToGrid w:val="0"/>
          <w:kern w:val="0"/>
          <w:sz w:val="32"/>
          <w:szCs w:val="32"/>
        </w:rPr>
        <w:t>原则</w:t>
      </w:r>
      <w:r>
        <w:rPr>
          <w:rFonts w:hint="eastAsia" w:eastAsia="仿宋_GB2312" w:cs="仿宋_GB2312"/>
          <w:snapToGrid w:val="0"/>
          <w:kern w:val="0"/>
          <w:sz w:val="32"/>
          <w:szCs w:val="32"/>
        </w:rPr>
        <w:t>适用于</w:t>
      </w:r>
      <w:r>
        <w:rPr>
          <w:rFonts w:hint="eastAsia" w:eastAsia="仿宋_GB2312"/>
          <w:sz w:val="32"/>
          <w:szCs w:val="32"/>
        </w:rPr>
        <w:t>眼震图设备</w:t>
      </w:r>
      <w:r>
        <w:rPr>
          <w:rFonts w:hint="eastAsia" w:eastAsia="仿宋_GB2312" w:cs="仿宋_GB2312"/>
          <w:snapToGrid w:val="0"/>
          <w:kern w:val="0"/>
          <w:sz w:val="32"/>
          <w:szCs w:val="32"/>
        </w:rPr>
        <w:t>的产品注册，</w:t>
      </w:r>
      <w:r>
        <w:rPr>
          <w:rFonts w:hint="eastAsia" w:eastAsia="仿宋_GB2312"/>
          <w:color w:val="000000" w:themeColor="text1"/>
          <w:sz w:val="32"/>
          <w:szCs w:val="32"/>
          <w14:textFill>
            <w14:solidFill>
              <w14:schemeClr w14:val="tx1"/>
            </w14:solidFill>
          </w14:textFill>
        </w:rPr>
        <w:t>常见的产品有</w:t>
      </w:r>
      <w:r>
        <w:rPr>
          <w:rFonts w:hint="eastAsia" w:eastAsia="仿宋_GB2312"/>
          <w:bCs/>
          <w:sz w:val="32"/>
          <w:szCs w:val="32"/>
        </w:rPr>
        <w:t>眼震电图设备、眼震视图设备、视频眼震图设备等</w:t>
      </w:r>
      <w:r>
        <w:rPr>
          <w:rFonts w:hint="eastAsia" w:eastAsia="仿宋_GB2312" w:cs="仿宋_GB2312"/>
          <w:snapToGrid w:val="0"/>
          <w:kern w:val="0"/>
          <w:sz w:val="32"/>
          <w:szCs w:val="32"/>
        </w:rPr>
        <w:t>。按现行《医疗器械分类目录》，该类产品分类编码为</w:t>
      </w:r>
      <w:r>
        <w:rPr>
          <w:rFonts w:eastAsia="仿宋_GB2312" w:cs="仿宋_GB2312"/>
          <w:snapToGrid w:val="0"/>
          <w:kern w:val="0"/>
          <w:sz w:val="32"/>
          <w:szCs w:val="32"/>
        </w:rPr>
        <w:t>0</w:t>
      </w:r>
      <w:r>
        <w:rPr>
          <w:rFonts w:hint="eastAsia" w:eastAsia="仿宋_GB2312" w:cs="仿宋_GB2312"/>
          <w:snapToGrid w:val="0"/>
          <w:kern w:val="0"/>
          <w:sz w:val="32"/>
          <w:szCs w:val="32"/>
        </w:rPr>
        <w:t>7</w:t>
      </w:r>
      <w:r>
        <w:rPr>
          <w:rFonts w:eastAsia="仿宋_GB2312" w:cs="仿宋_GB2312"/>
          <w:snapToGrid w:val="0"/>
          <w:kern w:val="0"/>
          <w:sz w:val="32"/>
          <w:szCs w:val="32"/>
        </w:rPr>
        <w:t>-0</w:t>
      </w:r>
      <w:r>
        <w:rPr>
          <w:rFonts w:hint="eastAsia" w:eastAsia="仿宋_GB2312" w:cs="仿宋_GB2312"/>
          <w:snapToGrid w:val="0"/>
          <w:kern w:val="0"/>
          <w:sz w:val="32"/>
          <w:szCs w:val="32"/>
        </w:rPr>
        <w:t>9</w:t>
      </w:r>
      <w:r>
        <w:rPr>
          <w:rFonts w:eastAsia="仿宋_GB2312" w:cs="仿宋_GB2312"/>
          <w:snapToGrid w:val="0"/>
          <w:kern w:val="0"/>
          <w:sz w:val="32"/>
          <w:szCs w:val="32"/>
        </w:rPr>
        <w:t>-0</w:t>
      </w:r>
      <w:r>
        <w:rPr>
          <w:rFonts w:hint="eastAsia" w:eastAsia="仿宋_GB2312" w:cs="仿宋_GB2312"/>
          <w:snapToGrid w:val="0"/>
          <w:kern w:val="0"/>
          <w:sz w:val="32"/>
          <w:szCs w:val="32"/>
        </w:rPr>
        <w:t>2，管理类别为Ⅱ类</w:t>
      </w:r>
      <w:r>
        <w:rPr>
          <w:rFonts w:hint="eastAsia" w:eastAsia="仿宋_GB2312"/>
          <w:snapToGrid w:val="0"/>
          <w:kern w:val="0"/>
          <w:sz w:val="32"/>
          <w:szCs w:val="32"/>
        </w:rPr>
        <w:t>。</w:t>
      </w:r>
    </w:p>
    <w:p w14:paraId="11218C58">
      <w:pPr>
        <w:spacing w:line="520" w:lineRule="exact"/>
        <w:ind w:firstLine="641"/>
        <w:outlineLvl w:val="0"/>
        <w:rPr>
          <w:rFonts w:eastAsia="黑体"/>
          <w:snapToGrid w:val="0"/>
          <w:kern w:val="0"/>
          <w:sz w:val="32"/>
          <w:szCs w:val="32"/>
        </w:rPr>
      </w:pPr>
      <w:r>
        <w:rPr>
          <w:rFonts w:hint="eastAsia" w:eastAsia="黑体"/>
          <w:snapToGrid w:val="0"/>
          <w:kern w:val="0"/>
          <w:sz w:val="32"/>
          <w:szCs w:val="32"/>
        </w:rPr>
        <w:t>二、注册审查要点</w:t>
      </w:r>
    </w:p>
    <w:p w14:paraId="4F11D207">
      <w:pPr>
        <w:spacing w:line="520" w:lineRule="exact"/>
        <w:ind w:firstLine="641"/>
        <w:outlineLvl w:val="1"/>
        <w:rPr>
          <w:rFonts w:eastAsia="楷体_GB2312"/>
          <w:sz w:val="32"/>
          <w:szCs w:val="32"/>
        </w:rPr>
      </w:pPr>
      <w:r>
        <w:rPr>
          <w:rFonts w:hint="eastAsia" w:eastAsia="楷体_GB2312"/>
          <w:sz w:val="32"/>
          <w:szCs w:val="32"/>
        </w:rPr>
        <w:t>（一）监管信息</w:t>
      </w:r>
    </w:p>
    <w:p w14:paraId="79B32A03">
      <w:pPr>
        <w:spacing w:line="520" w:lineRule="exact"/>
        <w:ind w:firstLine="640"/>
        <w:rPr>
          <w:rFonts w:asciiTheme="minorHAnsi" w:hAnsiTheme="minorHAnsi" w:eastAsiaTheme="minorEastAsia"/>
        </w:rPr>
      </w:pPr>
      <w:r>
        <w:rPr>
          <w:rFonts w:hint="eastAsia" w:eastAsia="仿宋_GB2312"/>
          <w:sz w:val="32"/>
          <w:szCs w:val="32"/>
        </w:rPr>
        <w:t>明确申请表中</w:t>
      </w:r>
      <w:r>
        <w:rPr>
          <w:rFonts w:eastAsia="仿宋_GB2312"/>
          <w:snapToGrid w:val="0"/>
          <w:kern w:val="0"/>
          <w:sz w:val="32"/>
          <w:szCs w:val="32"/>
        </w:rPr>
        <w:t>产品名称</w:t>
      </w:r>
      <w:r>
        <w:rPr>
          <w:rFonts w:hint="eastAsia" w:eastAsia="仿宋_GB2312"/>
          <w:snapToGrid w:val="0"/>
          <w:kern w:val="0"/>
          <w:sz w:val="32"/>
          <w:szCs w:val="32"/>
        </w:rPr>
        <w:t>、</w:t>
      </w:r>
      <w:r>
        <w:rPr>
          <w:rFonts w:eastAsia="仿宋_GB2312"/>
          <w:snapToGrid w:val="0"/>
          <w:kern w:val="0"/>
          <w:sz w:val="32"/>
          <w:szCs w:val="32"/>
        </w:rPr>
        <w:t>管理类别、分类编码</w:t>
      </w:r>
      <w:r>
        <w:rPr>
          <w:rFonts w:hint="eastAsia" w:eastAsia="仿宋_GB2312"/>
          <w:snapToGrid w:val="0"/>
          <w:kern w:val="0"/>
          <w:sz w:val="32"/>
          <w:szCs w:val="32"/>
        </w:rPr>
        <w:t>、型号规格、产品组成等信息。</w:t>
      </w:r>
    </w:p>
    <w:p w14:paraId="695F9C44">
      <w:pPr>
        <w:spacing w:line="520" w:lineRule="exact"/>
        <w:ind w:firstLine="640"/>
        <w:rPr>
          <w:rFonts w:eastAsia="仿宋_GB2312"/>
          <w:lang w:bidi="ar"/>
        </w:rPr>
      </w:pPr>
      <w:r>
        <w:rPr>
          <w:rFonts w:eastAsia="仿宋_GB2312"/>
          <w:snapToGrid w:val="0"/>
          <w:kern w:val="0"/>
          <w:sz w:val="32"/>
          <w:szCs w:val="32"/>
        </w:rPr>
        <w:t>1.产品名称</w:t>
      </w:r>
    </w:p>
    <w:p w14:paraId="13FABB31">
      <w:pPr>
        <w:overflowPunct w:val="0"/>
        <w:autoSpaceDE w:val="0"/>
        <w:autoSpaceDN w:val="0"/>
        <w:spacing w:line="520" w:lineRule="exact"/>
        <w:ind w:firstLine="640" w:firstLineChars="200"/>
        <w:rPr>
          <w:rFonts w:eastAsia="仿宋_GB2312"/>
          <w:bCs/>
          <w:sz w:val="32"/>
          <w:szCs w:val="32"/>
        </w:rPr>
      </w:pPr>
      <w:r>
        <w:rPr>
          <w:rFonts w:hint="eastAsia" w:eastAsia="仿宋_GB2312"/>
          <w:snapToGrid w:val="0"/>
          <w:kern w:val="0"/>
          <w:sz w:val="32"/>
          <w:szCs w:val="32"/>
        </w:rPr>
        <w:t>产品命名需符合《医疗器械通用名称命名规则》</w:t>
      </w:r>
      <w:r>
        <w:rPr>
          <w:rFonts w:eastAsia="仿宋_GB2312"/>
          <w:color w:val="000000" w:themeColor="text1"/>
          <w:sz w:val="32"/>
          <w:szCs w:val="32"/>
          <w14:textFill>
            <w14:solidFill>
              <w14:schemeClr w14:val="tx1"/>
            </w14:solidFill>
          </w14:textFill>
        </w:rPr>
        <w:t>和国家标准、行业标准、规范性文件中的通用命名要求</w:t>
      </w:r>
      <w:r>
        <w:rPr>
          <w:rFonts w:hint="eastAsia" w:eastAsia="仿宋_GB2312"/>
          <w:snapToGrid w:val="0"/>
          <w:kern w:val="0"/>
          <w:sz w:val="32"/>
          <w:szCs w:val="32"/>
        </w:rPr>
        <w:t>。根据产品预期用途</w:t>
      </w:r>
      <w:r>
        <w:rPr>
          <w:rFonts w:hint="eastAsia" w:eastAsia="仿宋_GB2312"/>
          <w:bCs/>
          <w:sz w:val="32"/>
          <w:szCs w:val="32"/>
        </w:rPr>
        <w:t>可命名为“眼震电图设备（仪）”、“眼震视图设备（仪）”、“</w:t>
      </w:r>
      <w:bookmarkStart w:id="5" w:name="OLE_LINK9"/>
      <w:r>
        <w:rPr>
          <w:rFonts w:hint="eastAsia" w:eastAsia="仿宋_GB2312"/>
          <w:bCs/>
          <w:sz w:val="32"/>
          <w:szCs w:val="32"/>
        </w:rPr>
        <w:t>视频眼震图设备</w:t>
      </w:r>
      <w:bookmarkEnd w:id="5"/>
      <w:r>
        <w:rPr>
          <w:rFonts w:hint="eastAsia" w:eastAsia="仿宋_GB2312"/>
          <w:bCs/>
          <w:sz w:val="32"/>
          <w:szCs w:val="32"/>
        </w:rPr>
        <w:t>（仪）”</w:t>
      </w:r>
      <w:r>
        <w:rPr>
          <w:rFonts w:eastAsia="仿宋_GB2312"/>
          <w:sz w:val="32"/>
          <w:szCs w:val="32"/>
        </w:rPr>
        <w:t>。</w:t>
      </w:r>
    </w:p>
    <w:p w14:paraId="14EBFC27">
      <w:pPr>
        <w:spacing w:line="520" w:lineRule="exact"/>
        <w:ind w:firstLine="640" w:firstLineChars="200"/>
        <w:rPr>
          <w:rFonts w:eastAsia="仿宋_GB2312"/>
          <w:sz w:val="32"/>
          <w:szCs w:val="32"/>
        </w:rPr>
      </w:pPr>
      <w:r>
        <w:rPr>
          <w:rFonts w:eastAsia="仿宋_GB2312"/>
          <w:sz w:val="32"/>
          <w:szCs w:val="32"/>
        </w:rPr>
        <w:t>2.分类编码</w:t>
      </w:r>
    </w:p>
    <w:p w14:paraId="3C35243B">
      <w:pPr>
        <w:widowControl/>
        <w:spacing w:line="520" w:lineRule="exact"/>
        <w:ind w:firstLine="640" w:firstLineChars="200"/>
        <w:rPr>
          <w:rFonts w:eastAsia="仿宋_GB2312"/>
          <w:sz w:val="32"/>
          <w:szCs w:val="32"/>
        </w:rPr>
      </w:pPr>
      <w:r>
        <w:rPr>
          <w:rFonts w:hint="eastAsia" w:eastAsia="仿宋_GB2312"/>
          <w:snapToGrid w:val="0"/>
          <w:kern w:val="0"/>
          <w:sz w:val="32"/>
          <w:szCs w:val="32"/>
        </w:rPr>
        <w:t>依据</w:t>
      </w:r>
      <w:r>
        <w:rPr>
          <w:rFonts w:eastAsia="仿宋_GB2312"/>
          <w:snapToGrid w:val="0"/>
          <w:kern w:val="0"/>
          <w:sz w:val="32"/>
          <w:szCs w:val="32"/>
        </w:rPr>
        <w:t>《医疗器械分类目录》，申报产品</w:t>
      </w:r>
      <w:r>
        <w:rPr>
          <w:rFonts w:hint="eastAsia" w:eastAsia="仿宋_GB2312"/>
          <w:snapToGrid w:val="0"/>
          <w:kern w:val="0"/>
          <w:sz w:val="32"/>
          <w:szCs w:val="32"/>
        </w:rPr>
        <w:t>分类</w:t>
      </w:r>
      <w:r>
        <w:rPr>
          <w:rFonts w:eastAsia="仿宋_GB2312"/>
          <w:snapToGrid w:val="0"/>
          <w:kern w:val="0"/>
          <w:sz w:val="32"/>
          <w:szCs w:val="32"/>
        </w:rPr>
        <w:t>编码为</w:t>
      </w:r>
      <w:r>
        <w:rPr>
          <w:rFonts w:eastAsia="仿宋_GB2312" w:cs="仿宋_GB2312"/>
          <w:snapToGrid w:val="0"/>
          <w:kern w:val="0"/>
          <w:sz w:val="32"/>
          <w:szCs w:val="32"/>
        </w:rPr>
        <w:t>0</w:t>
      </w:r>
      <w:r>
        <w:rPr>
          <w:rFonts w:hint="eastAsia" w:eastAsia="仿宋_GB2312" w:cs="仿宋_GB2312"/>
          <w:snapToGrid w:val="0"/>
          <w:kern w:val="0"/>
          <w:sz w:val="32"/>
          <w:szCs w:val="32"/>
        </w:rPr>
        <w:t>7</w:t>
      </w:r>
      <w:r>
        <w:rPr>
          <w:rFonts w:eastAsia="仿宋_GB2312" w:cs="仿宋_GB2312"/>
          <w:snapToGrid w:val="0"/>
          <w:kern w:val="0"/>
          <w:sz w:val="32"/>
          <w:szCs w:val="32"/>
        </w:rPr>
        <w:t>-0</w:t>
      </w:r>
      <w:r>
        <w:rPr>
          <w:rFonts w:hint="eastAsia" w:eastAsia="仿宋_GB2312" w:cs="仿宋_GB2312"/>
          <w:snapToGrid w:val="0"/>
          <w:kern w:val="0"/>
          <w:sz w:val="32"/>
          <w:szCs w:val="32"/>
        </w:rPr>
        <w:t>9</w:t>
      </w:r>
      <w:r>
        <w:rPr>
          <w:rFonts w:eastAsia="仿宋_GB2312" w:cs="仿宋_GB2312"/>
          <w:snapToGrid w:val="0"/>
          <w:kern w:val="0"/>
          <w:sz w:val="32"/>
          <w:szCs w:val="32"/>
        </w:rPr>
        <w:t>-0</w:t>
      </w:r>
      <w:r>
        <w:rPr>
          <w:rFonts w:hint="eastAsia" w:eastAsia="仿宋_GB2312" w:cs="仿宋_GB2312"/>
          <w:snapToGrid w:val="0"/>
          <w:kern w:val="0"/>
          <w:sz w:val="32"/>
          <w:szCs w:val="32"/>
        </w:rPr>
        <w:t>2</w:t>
      </w:r>
      <w:r>
        <w:rPr>
          <w:rFonts w:eastAsia="仿宋_GB2312"/>
          <w:sz w:val="32"/>
          <w:szCs w:val="32"/>
        </w:rPr>
        <w:t>。</w:t>
      </w:r>
    </w:p>
    <w:p w14:paraId="5DBBD0E3">
      <w:pPr>
        <w:widowControl/>
        <w:spacing w:line="520" w:lineRule="exact"/>
        <w:ind w:firstLine="640" w:firstLineChars="200"/>
        <w:rPr>
          <w:rFonts w:eastAsia="仿宋_GB2312"/>
          <w:sz w:val="32"/>
          <w:szCs w:val="32"/>
        </w:rPr>
      </w:pPr>
      <w:r>
        <w:rPr>
          <w:rFonts w:hint="eastAsia" w:eastAsia="仿宋_GB2312"/>
          <w:sz w:val="32"/>
          <w:szCs w:val="32"/>
        </w:rPr>
        <w:t>3.</w:t>
      </w:r>
      <w:r>
        <w:rPr>
          <w:rFonts w:hint="eastAsia" w:eastAsia="仿宋_GB2312"/>
          <w:color w:val="000000" w:themeColor="text1"/>
          <w:sz w:val="32"/>
          <w:szCs w:val="32"/>
          <w14:textFill>
            <w14:solidFill>
              <w14:schemeClr w14:val="tx1"/>
            </w14:solidFill>
          </w14:textFill>
        </w:rPr>
        <w:t>注册单元划分</w:t>
      </w:r>
    </w:p>
    <w:p w14:paraId="09496C0F">
      <w:pPr>
        <w:spacing w:line="520" w:lineRule="exact"/>
        <w:ind w:right="-67" w:rightChars="-32" w:firstLine="640" w:firstLineChars="200"/>
        <w:rPr>
          <w:rFonts w:eastAsia="仿宋_GB2312"/>
          <w:color w:val="000000" w:themeColor="text1"/>
          <w:sz w:val="32"/>
          <w:szCs w:val="32"/>
          <w14:textFill>
            <w14:solidFill>
              <w14:schemeClr w14:val="tx1"/>
            </w14:solidFill>
          </w14:textFill>
        </w:rPr>
      </w:pPr>
      <w:r>
        <w:rPr>
          <w:rFonts w:hint="eastAsia" w:eastAsia="仿宋_GB2312"/>
          <w:color w:val="000000" w:themeColor="text1"/>
          <w:sz w:val="32"/>
          <w:szCs w:val="32"/>
          <w14:textFill>
            <w14:solidFill>
              <w14:schemeClr w14:val="tx1"/>
            </w14:solidFill>
          </w14:textFill>
        </w:rPr>
        <w:t>根据《医疗器械注册与备案管理办法》第一百一十一条，同时需参考《医疗器械注册单元划分指导原则》的要求，原则上以产品的技术原理、结构组成、性能指标和适用范围为划分依据。结合产品技术特点，注册单元划分建议符合以下原则：</w:t>
      </w:r>
    </w:p>
    <w:p w14:paraId="60C33BE3">
      <w:pPr>
        <w:spacing w:line="520" w:lineRule="exact"/>
        <w:ind w:right="-67" w:rightChars="-32" w:firstLine="640" w:firstLineChars="200"/>
        <w:rPr>
          <w:rStyle w:val="24"/>
          <w:rFonts w:eastAsia="仿宋_GB2312"/>
          <w:color w:val="000000" w:themeColor="text1"/>
          <w:sz w:val="32"/>
          <w:szCs w:val="32"/>
          <w14:textFill>
            <w14:solidFill>
              <w14:schemeClr w14:val="tx1"/>
            </w14:solidFill>
          </w14:textFill>
        </w:rPr>
      </w:pPr>
      <w:r>
        <w:rPr>
          <w:rFonts w:eastAsia="仿宋_GB2312"/>
          <w:color w:val="000000" w:themeColor="text1"/>
          <w:sz w:val="32"/>
          <w:szCs w:val="32"/>
          <w14:textFill>
            <w14:solidFill>
              <w14:schemeClr w14:val="tx1"/>
            </w14:solidFill>
          </w14:textFill>
        </w:rPr>
        <w:t>工作原理、结构组成有重大差异的，应划分为不同的注册单元。例如，眼震电图设备（基于电生理信号采集）与眼震视图设备（基于光学视频采集）因核心技术原理、信号采集方式、结构组成存在本质差异，应划分为不同注册单元。</w:t>
      </w:r>
    </w:p>
    <w:p w14:paraId="3CDD5566">
      <w:pPr>
        <w:spacing w:line="520" w:lineRule="exact"/>
        <w:ind w:firstLine="640" w:firstLineChars="200"/>
        <w:outlineLvl w:val="1"/>
        <w:rPr>
          <w:rFonts w:eastAsia="楷体_GB2312"/>
          <w:sz w:val="32"/>
          <w:szCs w:val="32"/>
        </w:rPr>
      </w:pPr>
      <w:r>
        <w:rPr>
          <w:rFonts w:eastAsia="楷体_GB2312"/>
          <w:sz w:val="32"/>
          <w:szCs w:val="32"/>
        </w:rPr>
        <w:t>（二）综述资料</w:t>
      </w:r>
    </w:p>
    <w:p w14:paraId="1221ED0B">
      <w:pPr>
        <w:pStyle w:val="34"/>
        <w:overflowPunct w:val="0"/>
        <w:autoSpaceDE w:val="0"/>
        <w:autoSpaceDN w:val="0"/>
        <w:spacing w:line="520" w:lineRule="exact"/>
        <w:ind w:right="210" w:firstLine="640"/>
        <w:outlineLvl w:val="2"/>
        <w:rPr>
          <w:rFonts w:eastAsia="仿宋_GB2312"/>
          <w:sz w:val="32"/>
          <w:szCs w:val="32"/>
        </w:rPr>
      </w:pPr>
      <w:r>
        <w:rPr>
          <w:rFonts w:hint="eastAsia" w:eastAsia="楷体_GB2312"/>
          <w:sz w:val="32"/>
          <w:szCs w:val="32"/>
        </w:rPr>
        <w:t>1.</w:t>
      </w:r>
      <w:r>
        <w:rPr>
          <w:rFonts w:hint="eastAsia" w:eastAsia="仿宋_GB2312"/>
          <w:sz w:val="32"/>
          <w:szCs w:val="32"/>
        </w:rPr>
        <w:t>产品描述</w:t>
      </w:r>
    </w:p>
    <w:p w14:paraId="3A8F814F">
      <w:pPr>
        <w:spacing w:line="520" w:lineRule="exact"/>
        <w:ind w:right="-67" w:rightChars="-32" w:firstLine="640" w:firstLineChars="200"/>
        <w:rPr>
          <w:rFonts w:eastAsia="仿宋_GB2312"/>
          <w:color w:val="000000" w:themeColor="text1"/>
          <w:sz w:val="32"/>
          <w:szCs w:val="32"/>
          <w14:textFill>
            <w14:solidFill>
              <w14:schemeClr w14:val="tx1"/>
            </w14:solidFill>
          </w14:textFill>
        </w:rPr>
      </w:pPr>
      <w:r>
        <w:rPr>
          <w:rFonts w:hint="eastAsia" w:eastAsia="仿宋_GB2312"/>
          <w:color w:val="000000" w:themeColor="text1"/>
          <w:sz w:val="32"/>
          <w:szCs w:val="32"/>
          <w14:textFill>
            <w14:solidFill>
              <w14:schemeClr w14:val="tx1"/>
            </w14:solidFill>
          </w14:textFill>
        </w:rPr>
        <w:t>申请人应描述产品的工作原理、作用机理、结构及组成、主要功能及其组成部件的功能、产品图示，以及区别于其他同类产品的特征等内容。含有多个组成部分的，应说明其连接或组装关系。建议提供每个型号的整体结构示意图、内部构造图等。应明确申报产品的工作模式（给出波形图示等主要参数），并说明相应的临床意义。</w:t>
      </w:r>
    </w:p>
    <w:p w14:paraId="2E608406">
      <w:pPr>
        <w:pStyle w:val="34"/>
        <w:overflowPunct w:val="0"/>
        <w:autoSpaceDE w:val="0"/>
        <w:autoSpaceDN w:val="0"/>
        <w:spacing w:line="520" w:lineRule="exact"/>
        <w:ind w:right="210" w:firstLine="640"/>
        <w:outlineLvl w:val="3"/>
        <w:rPr>
          <w:rFonts w:eastAsia="仿宋_GB2312"/>
          <w:snapToGrid w:val="0"/>
          <w:kern w:val="0"/>
          <w:sz w:val="32"/>
          <w:szCs w:val="32"/>
        </w:rPr>
      </w:pPr>
      <w:r>
        <w:rPr>
          <w:rFonts w:hint="eastAsia" w:eastAsia="仿宋_GB2312"/>
          <w:snapToGrid w:val="0"/>
          <w:kern w:val="0"/>
          <w:sz w:val="32"/>
          <w:szCs w:val="32"/>
        </w:rPr>
        <w:t>1.1器械及操作原理描述</w:t>
      </w:r>
    </w:p>
    <w:p w14:paraId="47B5A93B">
      <w:pPr>
        <w:pStyle w:val="34"/>
        <w:overflowPunct w:val="0"/>
        <w:autoSpaceDE w:val="0"/>
        <w:autoSpaceDN w:val="0"/>
        <w:spacing w:line="520" w:lineRule="exact"/>
        <w:ind w:right="210" w:firstLine="640"/>
        <w:rPr>
          <w:rFonts w:eastAsia="仿宋_GB2312"/>
          <w:snapToGrid w:val="0"/>
          <w:kern w:val="0"/>
          <w:sz w:val="32"/>
          <w:szCs w:val="32"/>
        </w:rPr>
      </w:pPr>
      <w:r>
        <w:rPr>
          <w:rFonts w:hint="eastAsia" w:eastAsia="仿宋_GB2312"/>
          <w:snapToGrid w:val="0"/>
          <w:kern w:val="0"/>
          <w:sz w:val="32"/>
          <w:szCs w:val="32"/>
        </w:rPr>
        <w:t>1.1.1</w:t>
      </w:r>
      <w:r>
        <w:rPr>
          <w:rFonts w:eastAsia="仿宋_GB2312"/>
          <w:snapToGrid w:val="0"/>
          <w:kern w:val="0"/>
          <w:sz w:val="32"/>
          <w:szCs w:val="32"/>
        </w:rPr>
        <w:t>工作原理</w:t>
      </w:r>
    </w:p>
    <w:p w14:paraId="1F2A081D">
      <w:pPr>
        <w:overflowPunct w:val="0"/>
        <w:autoSpaceDE w:val="0"/>
        <w:autoSpaceDN w:val="0"/>
        <w:spacing w:line="520" w:lineRule="exact"/>
        <w:ind w:firstLine="640" w:firstLineChars="200"/>
        <w:rPr>
          <w:rFonts w:eastAsia="仿宋_GB2312"/>
          <w:color w:val="000000" w:themeColor="text1"/>
          <w:sz w:val="32"/>
          <w:szCs w:val="32"/>
          <w14:textFill>
            <w14:solidFill>
              <w14:schemeClr w14:val="tx1"/>
            </w14:solidFill>
          </w14:textFill>
        </w:rPr>
      </w:pPr>
      <w:r>
        <w:rPr>
          <w:rFonts w:hint="eastAsia" w:eastAsia="仿宋_GB2312"/>
          <w:color w:val="000000" w:themeColor="text1"/>
          <w:sz w:val="32"/>
          <w:szCs w:val="32"/>
          <w14:textFill>
            <w14:solidFill>
              <w14:schemeClr w14:val="tx1"/>
            </w14:solidFill>
          </w14:textFill>
        </w:rPr>
        <w:t>眼震图设备一般用于实时捕捉人眼瞳孔的运动轨迹，</w:t>
      </w:r>
      <w:r>
        <w:rPr>
          <w:rFonts w:eastAsia="仿宋_GB2312"/>
          <w:color w:val="000000" w:themeColor="text1"/>
          <w:sz w:val="32"/>
          <w:szCs w:val="32"/>
          <w14:textFill>
            <w14:solidFill>
              <w14:schemeClr w14:val="tx1"/>
            </w14:solidFill>
          </w14:textFill>
        </w:rPr>
        <w:t>结合不同体位、视觉、前庭刺激方式诱发眼球运动反应，供临床判定人体前庭平衡功能、中枢眼动调控功能，实现眩晕相关病症辅助检查。</w:t>
      </w:r>
    </w:p>
    <w:p w14:paraId="2A86058C">
      <w:pPr>
        <w:overflowPunct w:val="0"/>
        <w:autoSpaceDE w:val="0"/>
        <w:autoSpaceDN w:val="0"/>
        <w:spacing w:line="520" w:lineRule="exact"/>
        <w:ind w:firstLine="640" w:firstLineChars="200"/>
        <w:rPr>
          <w:rFonts w:eastAsia="仿宋_GB2312"/>
          <w:strike/>
          <w:snapToGrid w:val="0"/>
          <w:kern w:val="0"/>
          <w:sz w:val="32"/>
          <w:szCs w:val="32"/>
        </w:rPr>
      </w:pPr>
      <w:r>
        <w:rPr>
          <w:rFonts w:eastAsia="仿宋_GB2312"/>
          <w:color w:val="000000" w:themeColor="text1"/>
          <w:sz w:val="32"/>
          <w:szCs w:val="32"/>
          <w14:textFill>
            <w14:solidFill>
              <w14:schemeClr w14:val="tx1"/>
            </w14:solidFill>
          </w14:textFill>
        </w:rPr>
        <w:t>注册申请人应</w:t>
      </w:r>
      <w:r>
        <w:rPr>
          <w:rFonts w:hint="eastAsia" w:eastAsia="仿宋_GB2312"/>
          <w:color w:val="000000" w:themeColor="text1"/>
          <w:sz w:val="32"/>
          <w:szCs w:val="32"/>
          <w14:textFill>
            <w14:solidFill>
              <w14:schemeClr w14:val="tx1"/>
            </w14:solidFill>
          </w14:textFill>
        </w:rPr>
        <w:t>根据产品自身结构特点阐述各关键组件的工作原理。</w:t>
      </w:r>
      <w:r>
        <w:rPr>
          <w:rFonts w:eastAsia="仿宋_GB2312"/>
          <w:snapToGrid w:val="0"/>
          <w:kern w:val="0"/>
          <w:sz w:val="32"/>
          <w:szCs w:val="32"/>
        </w:rPr>
        <w:t>例如</w:t>
      </w:r>
      <w:r>
        <w:rPr>
          <w:rFonts w:hint="eastAsia" w:eastAsia="仿宋_GB2312"/>
          <w:snapToGrid w:val="0"/>
          <w:kern w:val="0"/>
          <w:sz w:val="32"/>
          <w:szCs w:val="32"/>
        </w:rPr>
        <w:t>，</w:t>
      </w:r>
    </w:p>
    <w:p w14:paraId="728F8A7F">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眼震电图设备工作原理：</w:t>
      </w:r>
      <w:r>
        <w:rPr>
          <w:rFonts w:hint="eastAsia" w:eastAsia="仿宋_GB2312"/>
          <w:sz w:val="32"/>
          <w:szCs w:val="32"/>
        </w:rPr>
        <w:t>通过电极</w:t>
      </w:r>
      <w:r>
        <w:rPr>
          <w:rFonts w:hint="eastAsia" w:eastAsia="仿宋_GB2312"/>
          <w:snapToGrid w:val="0"/>
          <w:kern w:val="0"/>
          <w:sz w:val="32"/>
          <w:szCs w:val="32"/>
        </w:rPr>
        <w:t>采集</w:t>
      </w:r>
      <w:r>
        <w:rPr>
          <w:rFonts w:hint="eastAsia" w:eastAsia="仿宋_GB2312"/>
          <w:sz w:val="32"/>
          <w:szCs w:val="32"/>
        </w:rPr>
        <w:t>眼部的电信号，再用放大器加以放大，并用记录器描记下来</w:t>
      </w:r>
      <w:r>
        <w:rPr>
          <w:rFonts w:hint="eastAsia" w:eastAsia="仿宋_GB2312"/>
          <w:snapToGrid w:val="0"/>
          <w:kern w:val="0"/>
          <w:sz w:val="32"/>
          <w:szCs w:val="32"/>
        </w:rPr>
        <w:t>。</w:t>
      </w:r>
    </w:p>
    <w:p w14:paraId="07C124A6">
      <w:pPr>
        <w:overflowPunct w:val="0"/>
        <w:autoSpaceDE w:val="0"/>
        <w:autoSpaceDN w:val="0"/>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眼震视图设备工作原理：通过</w:t>
      </w:r>
      <w:r>
        <w:rPr>
          <w:rFonts w:hint="eastAsia" w:eastAsia="仿宋_GB2312"/>
          <w:snapToGrid w:val="0"/>
          <w:color w:val="auto"/>
          <w:kern w:val="0"/>
          <w:sz w:val="32"/>
          <w:szCs w:val="32"/>
        </w:rPr>
        <w:t>主机眼罩采集患者眼动信号等信息，传输至工作站</w:t>
      </w:r>
      <w:r>
        <w:rPr>
          <w:rFonts w:hint="eastAsia" w:eastAsia="仿宋_GB2312"/>
          <w:snapToGrid w:val="0"/>
          <w:kern w:val="0"/>
          <w:sz w:val="32"/>
          <w:szCs w:val="32"/>
        </w:rPr>
        <w:t>显示眼动视频或眼震图等信息。</w:t>
      </w:r>
    </w:p>
    <w:p w14:paraId="17A7A72F">
      <w:pPr>
        <w:pStyle w:val="34"/>
        <w:overflowPunct w:val="0"/>
        <w:autoSpaceDE w:val="0"/>
        <w:autoSpaceDN w:val="0"/>
        <w:spacing w:line="520" w:lineRule="exact"/>
        <w:ind w:left="431" w:right="210" w:firstLine="200" w:firstLineChars="0"/>
        <w:rPr>
          <w:rFonts w:eastAsia="仿宋_GB2312"/>
          <w:snapToGrid w:val="0"/>
          <w:kern w:val="0"/>
          <w:sz w:val="32"/>
          <w:szCs w:val="32"/>
        </w:rPr>
      </w:pPr>
      <w:r>
        <w:rPr>
          <w:rFonts w:hint="eastAsia" w:eastAsia="仿宋_GB2312"/>
          <w:snapToGrid w:val="0"/>
          <w:kern w:val="0"/>
          <w:sz w:val="32"/>
          <w:szCs w:val="32"/>
        </w:rPr>
        <w:t>1.1.2</w:t>
      </w:r>
      <w:r>
        <w:rPr>
          <w:rFonts w:eastAsia="仿宋_GB2312"/>
          <w:snapToGrid w:val="0"/>
          <w:kern w:val="0"/>
          <w:sz w:val="32"/>
          <w:szCs w:val="32"/>
        </w:rPr>
        <w:t>结构组成</w:t>
      </w:r>
    </w:p>
    <w:p w14:paraId="15C5765E">
      <w:pPr>
        <w:ind w:firstLine="636" w:firstLineChars="200"/>
        <w:rPr>
          <w:rFonts w:eastAsia="仿宋_GB2312"/>
          <w:sz w:val="32"/>
          <w:szCs w:val="32"/>
        </w:rPr>
      </w:pPr>
      <w:r>
        <w:rPr>
          <w:rFonts w:eastAsia="仿宋_GB2312"/>
          <w:color w:val="000000" w:themeColor="text1"/>
          <w:spacing w:val="-1"/>
          <w:sz w:val="32"/>
          <w:szCs w:val="32"/>
          <w14:textFill>
            <w14:solidFill>
              <w14:schemeClr w14:val="tx1"/>
            </w14:solidFill>
          </w14:textFill>
        </w:rPr>
        <w:t>注册申请人应</w:t>
      </w:r>
      <w:r>
        <w:rPr>
          <w:rFonts w:hint="eastAsia" w:eastAsia="仿宋_GB2312"/>
          <w:color w:val="000000" w:themeColor="text1"/>
          <w:spacing w:val="-1"/>
          <w:sz w:val="32"/>
          <w:szCs w:val="32"/>
          <w14:textFill>
            <w14:solidFill>
              <w14:schemeClr w14:val="tx1"/>
            </w14:solidFill>
          </w14:textFill>
        </w:rPr>
        <w:t>全面详尽地</w:t>
      </w:r>
      <w:r>
        <w:rPr>
          <w:rFonts w:eastAsia="仿宋_GB2312"/>
          <w:color w:val="000000" w:themeColor="text1"/>
          <w:spacing w:val="-1"/>
          <w:sz w:val="32"/>
          <w:szCs w:val="32"/>
          <w14:textFill>
            <w14:solidFill>
              <w14:schemeClr w14:val="tx1"/>
            </w14:solidFill>
          </w14:textFill>
        </w:rPr>
        <w:t>描述产品的结构组成、主要功能及其组成部件的功能，包括软件功能。</w:t>
      </w:r>
      <w:r>
        <w:rPr>
          <w:rFonts w:hint="eastAsia" w:eastAsia="仿宋_GB2312"/>
          <w:color w:val="000000" w:themeColor="text1"/>
          <w:spacing w:val="-1"/>
          <w:sz w:val="32"/>
          <w:szCs w:val="32"/>
          <w14:textFill>
            <w14:solidFill>
              <w14:schemeClr w14:val="tx1"/>
            </w14:solidFill>
          </w14:textFill>
        </w:rPr>
        <w:t>必要时应</w:t>
      </w:r>
      <w:r>
        <w:rPr>
          <w:rFonts w:hint="eastAsia" w:eastAsia="仿宋_GB2312"/>
          <w:sz w:val="32"/>
          <w:szCs w:val="32"/>
        </w:rPr>
        <w:t>提供各组成部分的详细结构示意图，特别是眼罩内部结构、光路（如适用）说明。眼震图设备结构组成包括但不限于：</w:t>
      </w:r>
    </w:p>
    <w:p w14:paraId="535AA1C7">
      <w:pPr>
        <w:ind w:firstLine="640" w:firstLineChars="200"/>
        <w:rPr>
          <w:rFonts w:eastAsia="仿宋_GB2312"/>
          <w:sz w:val="32"/>
          <w:szCs w:val="32"/>
        </w:rPr>
      </w:pPr>
      <w:r>
        <w:rPr>
          <w:rFonts w:hint="eastAsia" w:eastAsia="仿宋_GB2312"/>
          <w:snapToGrid w:val="0"/>
          <w:kern w:val="0"/>
          <w:sz w:val="32"/>
          <w:szCs w:val="32"/>
        </w:rPr>
        <w:t>眼震电图设备</w:t>
      </w:r>
      <w:r>
        <w:rPr>
          <w:rFonts w:hint="eastAsia" w:eastAsia="仿宋_GB2312"/>
          <w:sz w:val="32"/>
          <w:szCs w:val="32"/>
        </w:rPr>
        <w:t>产品通常包括电极、放大器和记录器三部分。</w:t>
      </w:r>
    </w:p>
    <w:p w14:paraId="56FD40E2">
      <w:pPr>
        <w:ind w:firstLine="640" w:firstLineChars="200"/>
        <w:rPr>
          <w:rFonts w:eastAsia="仿宋_GB2312"/>
          <w:sz w:val="32"/>
          <w:szCs w:val="32"/>
        </w:rPr>
      </w:pPr>
      <w:r>
        <w:rPr>
          <w:rFonts w:hint="eastAsia" w:eastAsia="仿宋_GB2312"/>
          <w:snapToGrid w:val="0"/>
          <w:kern w:val="0"/>
          <w:sz w:val="32"/>
          <w:szCs w:val="32"/>
        </w:rPr>
        <w:t>眼震视图设备</w:t>
      </w:r>
      <w:r>
        <w:rPr>
          <w:rFonts w:hint="eastAsia" w:eastAsia="仿宋_GB2312"/>
          <w:sz w:val="32"/>
          <w:szCs w:val="32"/>
        </w:rPr>
        <w:t>产品通常包</w:t>
      </w:r>
      <w:r>
        <w:rPr>
          <w:rFonts w:hint="eastAsia" w:eastAsia="仿宋_GB2312"/>
          <w:color w:val="auto"/>
          <w:sz w:val="32"/>
          <w:szCs w:val="32"/>
        </w:rPr>
        <w:t>括主机眼罩和电脑端软件两</w:t>
      </w:r>
      <w:r>
        <w:rPr>
          <w:rFonts w:hint="eastAsia" w:eastAsia="仿宋_GB2312"/>
          <w:sz w:val="32"/>
          <w:szCs w:val="32"/>
        </w:rPr>
        <w:t>部分。</w:t>
      </w:r>
    </w:p>
    <w:p w14:paraId="4CAF0607">
      <w:pPr>
        <w:ind w:firstLine="636" w:firstLineChars="200"/>
        <w:rPr>
          <w:rFonts w:hint="eastAsia" w:ascii="黑体" w:hAnsi="黑体" w:eastAsia="黑体"/>
          <w:sz w:val="28"/>
          <w:szCs w:val="28"/>
        </w:rPr>
      </w:pPr>
      <w:r>
        <w:rPr>
          <w:rFonts w:eastAsia="仿宋_GB2312"/>
          <w:color w:val="000000" w:themeColor="text1"/>
          <w:spacing w:val="-1"/>
          <w:sz w:val="32"/>
          <w:szCs w:val="32"/>
          <w14:textFill>
            <w14:solidFill>
              <w14:schemeClr w14:val="tx1"/>
            </w14:solidFill>
          </w14:textFill>
        </w:rPr>
        <w:t>常见</w:t>
      </w:r>
      <w:r>
        <w:rPr>
          <w:rFonts w:eastAsia="仿宋_GB2312"/>
          <w:sz w:val="32"/>
          <w:szCs w:val="32"/>
        </w:rPr>
        <w:t>的</w:t>
      </w:r>
      <w:r>
        <w:rPr>
          <w:rFonts w:hint="eastAsia" w:eastAsia="仿宋_GB2312"/>
          <w:sz w:val="32"/>
          <w:szCs w:val="32"/>
        </w:rPr>
        <w:t>眼震电图设备和</w:t>
      </w:r>
      <w:r>
        <w:rPr>
          <w:rFonts w:eastAsia="仿宋_GB2312"/>
          <w:sz w:val="32"/>
          <w:szCs w:val="32"/>
        </w:rPr>
        <w:t>眼震</w:t>
      </w:r>
      <w:r>
        <w:rPr>
          <w:rFonts w:hint="eastAsia" w:eastAsia="仿宋_GB2312"/>
          <w:sz w:val="32"/>
          <w:szCs w:val="32"/>
        </w:rPr>
        <w:t>视</w:t>
      </w:r>
      <w:r>
        <w:rPr>
          <w:rFonts w:eastAsia="仿宋_GB2312"/>
          <w:sz w:val="32"/>
          <w:szCs w:val="32"/>
        </w:rPr>
        <w:t>图设备</w:t>
      </w:r>
      <w:r>
        <w:rPr>
          <w:rFonts w:hint="eastAsia" w:eastAsia="仿宋_GB2312"/>
          <w:sz w:val="32"/>
          <w:szCs w:val="32"/>
        </w:rPr>
        <w:t>如</w:t>
      </w:r>
      <w:r>
        <w:rPr>
          <w:rFonts w:eastAsia="仿宋_GB2312"/>
          <w:sz w:val="32"/>
          <w:szCs w:val="32"/>
        </w:rPr>
        <w:t>图</w:t>
      </w:r>
      <w:r>
        <w:rPr>
          <w:rFonts w:hint="eastAsia" w:eastAsia="仿宋_GB2312"/>
          <w:sz w:val="32"/>
          <w:szCs w:val="32"/>
        </w:rPr>
        <w:t>1和图2所示</w:t>
      </w:r>
      <w:r>
        <w:rPr>
          <w:rStyle w:val="25"/>
          <w:rFonts w:eastAsia="仿宋_GB2312"/>
          <w:sz w:val="32"/>
          <w:szCs w:val="32"/>
        </w:rPr>
        <w:footnoteReference w:id="0"/>
      </w:r>
      <w:r>
        <w:rPr>
          <w:rFonts w:hint="eastAsia" w:eastAsia="仿宋_GB2312"/>
          <w:sz w:val="32"/>
          <w:szCs w:val="32"/>
        </w:rPr>
        <w:t>。</w:t>
      </w:r>
    </w:p>
    <w:p w14:paraId="718711E8">
      <w:pPr>
        <w:ind w:firstLine="420" w:firstLineChars="200"/>
        <w:jc w:val="center"/>
        <w:rPr>
          <w:rFonts w:hint="eastAsia" w:ascii="黑体" w:hAnsi="黑体" w:eastAsia="黑体"/>
          <w:sz w:val="28"/>
          <w:szCs w:val="28"/>
        </w:rPr>
      </w:pPr>
      <w:r>
        <w:drawing>
          <wp:inline distT="0" distB="0" distL="0" distR="0">
            <wp:extent cx="4149090" cy="1373505"/>
            <wp:effectExtent l="0" t="0" r="3810" b="0"/>
            <wp:docPr id="3348903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890318" name="图片 1"/>
                    <pic:cNvPicPr>
                      <a:picLocks noChangeAspect="1"/>
                    </pic:cNvPicPr>
                  </pic:nvPicPr>
                  <pic:blipFill>
                    <a:blip r:embed="rId7"/>
                    <a:srcRect t="9085" b="4078"/>
                    <a:stretch>
                      <a:fillRect/>
                    </a:stretch>
                  </pic:blipFill>
                  <pic:spPr>
                    <a:xfrm>
                      <a:off x="0" y="0"/>
                      <a:ext cx="4197670" cy="1389627"/>
                    </a:xfrm>
                    <a:prstGeom prst="rect">
                      <a:avLst/>
                    </a:prstGeom>
                    <a:ln>
                      <a:noFill/>
                    </a:ln>
                  </pic:spPr>
                </pic:pic>
              </a:graphicData>
            </a:graphic>
          </wp:inline>
        </w:drawing>
      </w:r>
    </w:p>
    <w:p w14:paraId="65C6E98A">
      <w:pPr>
        <w:ind w:firstLine="560" w:firstLineChars="200"/>
        <w:jc w:val="center"/>
        <w:rPr>
          <w:rFonts w:hint="eastAsia" w:ascii="黑体" w:hAnsi="黑体" w:eastAsia="黑体"/>
          <w:sz w:val="28"/>
          <w:szCs w:val="28"/>
        </w:rPr>
      </w:pPr>
      <w:r>
        <w:rPr>
          <w:rFonts w:hint="eastAsia" w:ascii="黑体" w:hAnsi="黑体" w:eastAsia="黑体"/>
          <w:sz w:val="28"/>
          <w:szCs w:val="28"/>
        </w:rPr>
        <w:t>图1 眼震电图设备</w:t>
      </w:r>
    </w:p>
    <w:p w14:paraId="1AFA4181">
      <w:pPr>
        <w:ind w:firstLine="420" w:firstLineChars="200"/>
        <w:jc w:val="center"/>
        <w:rPr>
          <w:rFonts w:hint="eastAsia" w:ascii="黑体" w:hAnsi="黑体" w:eastAsia="黑体"/>
          <w:sz w:val="28"/>
          <w:szCs w:val="28"/>
        </w:rPr>
      </w:pPr>
      <w:r>
        <w:t xml:space="preserve"> </w:t>
      </w:r>
      <w:r>
        <w:drawing>
          <wp:inline distT="0" distB="0" distL="0" distR="0">
            <wp:extent cx="2019300" cy="2874645"/>
            <wp:effectExtent l="0" t="0" r="0" b="1905"/>
            <wp:docPr id="1372601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601390" name="图片 1"/>
                    <pic:cNvPicPr>
                      <a:picLocks noChangeAspect="1"/>
                    </pic:cNvPicPr>
                  </pic:nvPicPr>
                  <pic:blipFill>
                    <a:blip r:embed="rId8"/>
                    <a:stretch>
                      <a:fillRect/>
                    </a:stretch>
                  </pic:blipFill>
                  <pic:spPr>
                    <a:xfrm>
                      <a:off x="0" y="0"/>
                      <a:ext cx="2019300" cy="2874645"/>
                    </a:xfrm>
                    <a:prstGeom prst="rect">
                      <a:avLst/>
                    </a:prstGeom>
                  </pic:spPr>
                </pic:pic>
              </a:graphicData>
            </a:graphic>
          </wp:inline>
        </w:drawing>
      </w:r>
      <w:r>
        <w:t xml:space="preserve"> </w:t>
      </w:r>
      <w:r>
        <w:drawing>
          <wp:inline distT="0" distB="0" distL="0" distR="0">
            <wp:extent cx="3110865" cy="1718310"/>
            <wp:effectExtent l="0" t="0" r="13335" b="15240"/>
            <wp:docPr id="15051468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146840" name="图片 1"/>
                    <pic:cNvPicPr>
                      <a:picLocks noChangeAspect="1"/>
                    </pic:cNvPicPr>
                  </pic:nvPicPr>
                  <pic:blipFill>
                    <a:blip r:embed="rId9"/>
                    <a:stretch>
                      <a:fillRect/>
                    </a:stretch>
                  </pic:blipFill>
                  <pic:spPr>
                    <a:xfrm>
                      <a:off x="0" y="0"/>
                      <a:ext cx="3110865" cy="1718310"/>
                    </a:xfrm>
                    <a:prstGeom prst="rect">
                      <a:avLst/>
                    </a:prstGeom>
                  </pic:spPr>
                </pic:pic>
              </a:graphicData>
            </a:graphic>
          </wp:inline>
        </w:drawing>
      </w:r>
    </w:p>
    <w:p w14:paraId="0DAFBAB2">
      <w:pPr>
        <w:ind w:firstLine="560" w:firstLineChars="200"/>
        <w:jc w:val="center"/>
        <w:rPr>
          <w:rFonts w:hint="eastAsia" w:ascii="黑体" w:hAnsi="黑体" w:eastAsia="黑体"/>
          <w:bCs/>
          <w:sz w:val="28"/>
          <w:szCs w:val="28"/>
        </w:rPr>
      </w:pPr>
      <w:r>
        <w:rPr>
          <w:rFonts w:hint="eastAsia" w:ascii="黑体" w:hAnsi="黑体" w:eastAsia="黑体"/>
          <w:bCs/>
          <w:sz w:val="28"/>
          <w:szCs w:val="28"/>
        </w:rPr>
        <w:t xml:space="preserve">图2 </w:t>
      </w:r>
      <w:r>
        <w:rPr>
          <w:rFonts w:ascii="黑体" w:hAnsi="黑体" w:eastAsia="黑体"/>
          <w:bCs/>
          <w:sz w:val="28"/>
          <w:szCs w:val="28"/>
        </w:rPr>
        <w:t>眼震视图设备</w:t>
      </w:r>
    </w:p>
    <w:p w14:paraId="299A076C">
      <w:pPr>
        <w:ind w:firstLine="420" w:firstLineChars="200"/>
        <w:jc w:val="center"/>
        <w:rPr>
          <w:rFonts w:hint="eastAsia" w:ascii="宋体" w:hAnsi="宋体"/>
        </w:rPr>
      </w:pPr>
      <w:r>
        <mc:AlternateContent>
          <mc:Choice Requires="wps">
            <w:drawing>
              <wp:anchor distT="0" distB="0" distL="114300" distR="114300" simplePos="0" relativeHeight="251662336" behindDoc="0" locked="0" layoutInCell="1" allowOverlap="1">
                <wp:simplePos x="0" y="0"/>
                <wp:positionH relativeFrom="column">
                  <wp:posOffset>4603750</wp:posOffset>
                </wp:positionH>
                <wp:positionV relativeFrom="paragraph">
                  <wp:posOffset>666750</wp:posOffset>
                </wp:positionV>
                <wp:extent cx="921385" cy="328930"/>
                <wp:effectExtent l="0" t="0" r="0" b="0"/>
                <wp:wrapNone/>
                <wp:docPr id="9" name="文本框 9"/>
                <wp:cNvGraphicFramePr/>
                <a:graphic xmlns:a="http://schemas.openxmlformats.org/drawingml/2006/main">
                  <a:graphicData uri="http://schemas.microsoft.com/office/word/2010/wordprocessingShape">
                    <wps:wsp>
                      <wps:cNvSpPr txBox="1"/>
                      <wps:spPr>
                        <a:xfrm>
                          <a:off x="0" y="0"/>
                          <a:ext cx="921385" cy="328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9CD97E8">
                            <w:pPr>
                              <w:jc w:val="left"/>
                            </w:pPr>
                            <w:r>
                              <w:rPr>
                                <w:rFonts w:hint="eastAsia"/>
                                <w:sz w:val="24"/>
                                <w:szCs w:val="22"/>
                                <w14:textOutline w14:w="9525" w14:cap="flat" w14:cmpd="sng" w14:algn="ctr">
                                  <w14:solidFill>
                                    <w14:srgbClr w14:val="000000"/>
                                  </w14:solidFill>
                                  <w14:prstDash w14:val="solid"/>
                                  <w14:round/>
                                </w14:textOutline>
                              </w:rPr>
                              <w:t>主机眼罩</w:t>
                            </w:r>
                            <w:r>
                              <w:rPr>
                                <w:rFonts w:hint="eastAsia" w:ascii="宋体" w:hAnsi="宋体"/>
                              </w:rPr>
                              <w:drawing>
                                <wp:inline distT="0" distB="0" distL="114300" distR="114300">
                                  <wp:extent cx="4074160" cy="3055620"/>
                                  <wp:effectExtent l="0" t="0" r="2540" b="11430"/>
                                  <wp:docPr id="1061714254" name="图片 1061714254" descr="img_v3_02cc_782e5caf-ce01-4d52-be68-51bccdf5c23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714254" name="图片 1061714254" descr="img_v3_02cc_782e5caf-ce01-4d52-be68-51bccdf5c23g"/>
                                          <pic:cNvPicPr>
                                            <a:picLocks noChangeAspect="1"/>
                                          </pic:cNvPicPr>
                                        </pic:nvPicPr>
                                        <pic:blipFill>
                                          <a:blip r:embed="rId10"/>
                                          <a:stretch>
                                            <a:fillRect/>
                                          </a:stretch>
                                        </pic:blipFill>
                                        <pic:spPr>
                                          <a:xfrm>
                                            <a:off x="0" y="0"/>
                                            <a:ext cx="4074160" cy="305562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62.5pt;margin-top:52.5pt;height:25.9pt;width:72.55pt;z-index:251662336;mso-width-relative:page;mso-height-relative:page;" filled="f" stroked="f" coordsize="21600,21600" o:gfxdata="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&#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JGv/nLaAAAACwEAAA8AAAAAAAAAAQAgAAAAIgAAAGRy&#10;cy9kb3ducmV2LnhtbFBLAQIUABQAAAAIAIdO4kCa5DfNPAIAAGUEAAAOAAAAAAAAAAEAIAAAACkB&#10;AABkcnMvZTJvRG9jLnhtbFBLBQYAAAAABgAGAFkBAADXBQAAAAA=&#10;">
                <v:fill on="f" focussize="0,0"/>
                <v:stroke on="f" weight="0.5pt"/>
                <v:imagedata o:title=""/>
                <o:lock v:ext="edit" aspectratio="f"/>
                <v:textbox>
                  <w:txbxContent>
                    <w:p w14:paraId="29CD97E8">
                      <w:pPr>
                        <w:jc w:val="left"/>
                      </w:pPr>
                      <w:r>
                        <w:rPr>
                          <w:rFonts w:hint="eastAsia"/>
                          <w:sz w:val="24"/>
                          <w:szCs w:val="22"/>
                          <w14:textOutline w14:w="9525" w14:cap="flat" w14:cmpd="sng" w14:algn="ctr">
                            <w14:solidFill>
                              <w14:srgbClr w14:val="000000"/>
                            </w14:solidFill>
                            <w14:prstDash w14:val="solid"/>
                            <w14:round/>
                          </w14:textOutline>
                        </w:rPr>
                        <w:t>主机眼罩</w:t>
                      </w:r>
                      <w:r>
                        <w:rPr>
                          <w:rFonts w:hint="eastAsia" w:ascii="宋体" w:hAnsi="宋体"/>
                        </w:rPr>
                        <w:drawing>
                          <wp:inline distT="0" distB="0" distL="114300" distR="114300">
                            <wp:extent cx="4074160" cy="3055620"/>
                            <wp:effectExtent l="0" t="0" r="2540" b="11430"/>
                            <wp:docPr id="1061714254" name="图片 1061714254" descr="img_v3_02cc_782e5caf-ce01-4d52-be68-51bccdf5c23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714254" name="图片 1061714254" descr="img_v3_02cc_782e5caf-ce01-4d52-be68-51bccdf5c23g"/>
                                    <pic:cNvPicPr>
                                      <a:picLocks noChangeAspect="1"/>
                                    </pic:cNvPicPr>
                                  </pic:nvPicPr>
                                  <pic:blipFill>
                                    <a:blip r:embed="rId10"/>
                                    <a:stretch>
                                      <a:fillRect/>
                                    </a:stretch>
                                  </pic:blipFill>
                                  <pic:spPr>
                                    <a:xfrm>
                                      <a:off x="0" y="0"/>
                                      <a:ext cx="4074160" cy="3055620"/>
                                    </a:xfrm>
                                    <a:prstGeom prst="rect">
                                      <a:avLst/>
                                    </a:prstGeom>
                                  </pic:spPr>
                                </pic:pic>
                              </a:graphicData>
                            </a:graphic>
                          </wp:inline>
                        </w:drawing>
                      </w:r>
                    </w:p>
                  </w:txbxContent>
                </v:textbox>
              </v:shape>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4053205</wp:posOffset>
                </wp:positionH>
                <wp:positionV relativeFrom="paragraph">
                  <wp:posOffset>826135</wp:posOffset>
                </wp:positionV>
                <wp:extent cx="598805" cy="9525"/>
                <wp:effectExtent l="0" t="36830" r="10795" b="29845"/>
                <wp:wrapNone/>
                <wp:docPr id="7" name="直接箭头连接符 7"/>
                <wp:cNvGraphicFramePr/>
                <a:graphic xmlns:a="http://schemas.openxmlformats.org/drawingml/2006/main">
                  <a:graphicData uri="http://schemas.microsoft.com/office/word/2010/wordprocessingShape">
                    <wps:wsp>
                      <wps:cNvCnPr/>
                      <wps:spPr>
                        <a:xfrm flipV="1">
                          <a:off x="0" y="0"/>
                          <a:ext cx="598805" cy="9525"/>
                        </a:xfrm>
                        <a:prstGeom prst="straightConnector1">
                          <a:avLst/>
                        </a:prstGeom>
                        <a:ln>
                          <a:solidFill>
                            <a:schemeClr val="tx1"/>
                          </a:solidFill>
                          <a:headEnd type="none" w="med" len="med"/>
                          <a:tailEnd type="triangle" w="med" len="med"/>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319.15pt;margin-top:65.05pt;height:0.75pt;width:47.15pt;z-index:251661312;mso-width-relative:page;mso-height-relative:page;" filled="f" stroked="t" coordsize="21600,21600" o:gfxdata="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8VP1c2AAAAAsB&#10;AAAPAAAAAAAAAAEAIAAAACIAAABkcnMvZG93bnJldi54bWxQSwECFAAUAAAACACHTuJAsnYXMBsC&#10;AAATBAAADgAAAAAAAAABACAAAAAnAQAAZHJzL2Uyb0RvYy54bWxQSwUGAAAAAAYABgBZAQAAtAUA&#10;AAAA&#10;">
                <v:fill on="f" focussize="0,0"/>
                <v:stroke weight="2pt" color="#000000 [3213]" joinstyle="round" endarrow="block"/>
                <v:imagedata o:title=""/>
                <o:lock v:ext="edit" aspectratio="f"/>
              </v:shape>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1075055</wp:posOffset>
                </wp:positionH>
                <wp:positionV relativeFrom="paragraph">
                  <wp:posOffset>2186940</wp:posOffset>
                </wp:positionV>
                <wp:extent cx="666750" cy="328930"/>
                <wp:effectExtent l="0" t="0" r="0" b="0"/>
                <wp:wrapNone/>
                <wp:docPr id="6" name="文本框 6"/>
                <wp:cNvGraphicFramePr/>
                <a:graphic xmlns:a="http://schemas.openxmlformats.org/drawingml/2006/main">
                  <a:graphicData uri="http://schemas.microsoft.com/office/word/2010/wordprocessingShape">
                    <wps:wsp>
                      <wps:cNvSpPr txBox="1"/>
                      <wps:spPr>
                        <a:xfrm>
                          <a:off x="1978025" y="3402330"/>
                          <a:ext cx="666750" cy="328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D80A83">
                            <w:pPr>
                              <w:rPr>
                                <w14:textOutline w14:w="9525" w14:cap="flat" w14:cmpd="sng" w14:algn="ctr">
                                  <w14:solidFill>
                                    <w14:srgbClr w14:val="000000"/>
                                  </w14:solidFill>
                                  <w14:prstDash w14:val="solid"/>
                                  <w14:round/>
                                </w14:textOutline>
                              </w:rPr>
                            </w:pPr>
                            <w:r>
                              <w:rPr>
                                <w:sz w:val="24"/>
                                <w:szCs w:val="22"/>
                                <w14:textOutline w14:w="9525" w14:cap="flat" w14:cmpd="sng" w14:algn="ctr">
                                  <w14:solidFill>
                                    <w14:srgbClr w14:val="000000"/>
                                  </w14:solidFill>
                                  <w14:prstDash w14:val="solid"/>
                                  <w14:round/>
                                </w14:textOutline>
                              </w:rPr>
                              <w:t>数据线</w:t>
                            </w:r>
                            <w:r>
                              <w:rPr>
                                <w:rFonts w:hint="eastAsia" w:ascii="宋体" w:hAnsi="宋体"/>
                              </w:rPr>
                              <w:drawing>
                                <wp:inline distT="0" distB="0" distL="114300" distR="114300">
                                  <wp:extent cx="4074160" cy="3055620"/>
                                  <wp:effectExtent l="0" t="0" r="2540" b="11430"/>
                                  <wp:docPr id="8" name="图片 8" descr="img_v3_02cc_782e5caf-ce01-4d52-be68-51bccdf5c23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v3_02cc_782e5caf-ce01-4d52-be68-51bccdf5c23g"/>
                                          <pic:cNvPicPr>
                                            <a:picLocks noChangeAspect="1"/>
                                          </pic:cNvPicPr>
                                        </pic:nvPicPr>
                                        <pic:blipFill>
                                          <a:blip r:embed="rId10"/>
                                          <a:stretch>
                                            <a:fillRect/>
                                          </a:stretch>
                                        </pic:blipFill>
                                        <pic:spPr>
                                          <a:xfrm>
                                            <a:off x="0" y="0"/>
                                            <a:ext cx="4074160" cy="305562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4.65pt;margin-top:172.2pt;height:25.9pt;width:52.5pt;z-index:251660288;mso-width-relative:page;mso-height-relative:page;" filled="f" stroked="f" coordsize="21600,21600" o:gfxdata="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ExTI8/bAAAACwEAAA8AAAAAAAAAAQAg&#10;AAAAIgAAAGRycy9kb3ducmV2LnhtbFBLAQIUABQAAAAIAIdO4kCaqwRfRAIAAHEEAAAOAAAAAAAA&#10;AAEAIAAAACoBAABkcnMvZTJvRG9jLnhtbFBLBQYAAAAABgAGAFkBAADgBQAAAAA=&#10;">
                <v:fill on="f" focussize="0,0"/>
                <v:stroke on="f" weight="0.5pt"/>
                <v:imagedata o:title=""/>
                <o:lock v:ext="edit" aspectratio="f"/>
                <v:textbox>
                  <w:txbxContent>
                    <w:p w14:paraId="50D80A83">
                      <w:pPr>
                        <w:rPr>
                          <w14:textOutline w14:w="9525" w14:cap="flat" w14:cmpd="sng" w14:algn="ctr">
                            <w14:solidFill>
                              <w14:srgbClr w14:val="000000"/>
                            </w14:solidFill>
                            <w14:prstDash w14:val="solid"/>
                            <w14:round/>
                          </w14:textOutline>
                        </w:rPr>
                      </w:pPr>
                      <w:r>
                        <w:rPr>
                          <w:sz w:val="24"/>
                          <w:szCs w:val="22"/>
                          <w14:textOutline w14:w="9525" w14:cap="flat" w14:cmpd="sng" w14:algn="ctr">
                            <w14:solidFill>
                              <w14:srgbClr w14:val="000000"/>
                            </w14:solidFill>
                            <w14:prstDash w14:val="solid"/>
                            <w14:round/>
                          </w14:textOutline>
                        </w:rPr>
                        <w:t>数据线</w:t>
                      </w:r>
                      <w:r>
                        <w:rPr>
                          <w:rFonts w:hint="eastAsia" w:ascii="宋体" w:hAnsi="宋体"/>
                        </w:rPr>
                        <w:drawing>
                          <wp:inline distT="0" distB="0" distL="114300" distR="114300">
                            <wp:extent cx="4074160" cy="3055620"/>
                            <wp:effectExtent l="0" t="0" r="2540" b="11430"/>
                            <wp:docPr id="8" name="图片 8" descr="img_v3_02cc_782e5caf-ce01-4d52-be68-51bccdf5c23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v3_02cc_782e5caf-ce01-4d52-be68-51bccdf5c23g"/>
                                    <pic:cNvPicPr>
                                      <a:picLocks noChangeAspect="1"/>
                                    </pic:cNvPicPr>
                                  </pic:nvPicPr>
                                  <pic:blipFill>
                                    <a:blip r:embed="rId10"/>
                                    <a:stretch>
                                      <a:fillRect/>
                                    </a:stretch>
                                  </pic:blipFill>
                                  <pic:spPr>
                                    <a:xfrm>
                                      <a:off x="0" y="0"/>
                                      <a:ext cx="4074160" cy="3055620"/>
                                    </a:xfrm>
                                    <a:prstGeom prst="rect">
                                      <a:avLst/>
                                    </a:prstGeom>
                                  </pic:spPr>
                                </pic:pic>
                              </a:graphicData>
                            </a:graphic>
                          </wp:inline>
                        </w:drawing>
                      </w:r>
                    </w:p>
                  </w:txbxContent>
                </v:textbox>
              </v:shape>
            </w:pict>
          </mc:Fallback>
        </mc:AlternateContent>
      </w:r>
      <w:r>
        <w:rPr>
          <w:rFonts w:hint="eastAsia" w:ascii="宋体" w:hAnsi="宋体"/>
        </w:rPr>
        <w:drawing>
          <wp:inline distT="0" distB="0" distL="114300" distR="114300">
            <wp:extent cx="4074160" cy="3055620"/>
            <wp:effectExtent l="0" t="0" r="2540" b="11430"/>
            <wp:docPr id="60" name="图片 60" descr="img_v3_02cc_782e5caf-ce01-4d52-be68-51bccdf5c23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img_v3_02cc_782e5caf-ce01-4d52-be68-51bccdf5c23g"/>
                    <pic:cNvPicPr>
                      <a:picLocks noChangeAspect="1"/>
                    </pic:cNvPicPr>
                  </pic:nvPicPr>
                  <pic:blipFill>
                    <a:blip r:embed="rId10"/>
                    <a:stretch>
                      <a:fillRect/>
                    </a:stretch>
                  </pic:blipFill>
                  <pic:spPr>
                    <a:xfrm>
                      <a:off x="0" y="0"/>
                      <a:ext cx="4074160" cy="3055620"/>
                    </a:xfrm>
                    <a:prstGeom prst="rect">
                      <a:avLst/>
                    </a:prstGeom>
                  </pic:spPr>
                </pic:pic>
              </a:graphicData>
            </a:graphic>
          </wp:inline>
        </w:drawing>
      </w:r>
      <w:r>
        <mc:AlternateContent>
          <mc:Choice Requires="wps">
            <w:drawing>
              <wp:anchor distT="0" distB="0" distL="114300" distR="114300" simplePos="0" relativeHeight="251659264" behindDoc="0" locked="0" layoutInCell="1" allowOverlap="1">
                <wp:simplePos x="0" y="0"/>
                <wp:positionH relativeFrom="column">
                  <wp:posOffset>1741805</wp:posOffset>
                </wp:positionH>
                <wp:positionV relativeFrom="paragraph">
                  <wp:posOffset>2345055</wp:posOffset>
                </wp:positionV>
                <wp:extent cx="402590" cy="6350"/>
                <wp:effectExtent l="0" t="33020" r="16510" b="36830"/>
                <wp:wrapNone/>
                <wp:docPr id="5" name="直接箭头连接符 5"/>
                <wp:cNvGraphicFramePr/>
                <a:graphic xmlns:a="http://schemas.openxmlformats.org/drawingml/2006/main">
                  <a:graphicData uri="http://schemas.microsoft.com/office/word/2010/wordprocessingShape">
                    <wps:wsp>
                      <wps:cNvCnPr/>
                      <wps:spPr>
                        <a:xfrm flipH="1">
                          <a:off x="2729230" y="3677285"/>
                          <a:ext cx="402590" cy="6350"/>
                        </a:xfrm>
                        <a:prstGeom prst="straightConnector1">
                          <a:avLst/>
                        </a:prstGeom>
                        <a:ln>
                          <a:solidFill>
                            <a:schemeClr val="tx1"/>
                          </a:solidFill>
                          <a:headEnd type="none" w="med" len="med"/>
                          <a:tailEnd type="triangle" w="med" len="med"/>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137.15pt;margin-top:184.65pt;height:0.5pt;width:31.7pt;z-index:251659264;mso-width-relative:page;mso-height-relative:page;" filled="f" stroked="t" coordsize="21600,21600" o:gfxdata="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fnS3a2AAAAAsBAAAPAAAAAAAAAAEAIAAAACIAAABkcnMvZG93bnJldi54bWxQSwECFAAU&#10;AAAACACHTuJAZiCg8yoCAAAfBAAADgAAAAAAAAABACAAAAAnAQAAZHJzL2Uyb0RvYy54bWxQSwUG&#10;AAAAAAYABgBZAQAAwwUAAAAA&#10;">
                <v:fill on="f" focussize="0,0"/>
                <v:stroke weight="2pt" color="#000000 [3213]" joinstyle="round" endarrow="block"/>
                <v:imagedata o:title=""/>
                <o:lock v:ext="edit" aspectratio="f"/>
              </v:shape>
            </w:pict>
          </mc:Fallback>
        </mc:AlternateContent>
      </w:r>
    </w:p>
    <w:p w14:paraId="151B7C06">
      <w:pPr>
        <w:ind w:firstLine="560" w:firstLineChars="200"/>
        <w:jc w:val="center"/>
        <w:rPr>
          <w:rFonts w:hint="eastAsia" w:ascii="黑体" w:hAnsi="黑体" w:eastAsia="黑体"/>
          <w:bCs/>
          <w:sz w:val="28"/>
          <w:szCs w:val="28"/>
        </w:rPr>
      </w:pPr>
      <w:r>
        <w:rPr>
          <w:rFonts w:hint="eastAsia" w:ascii="黑体" w:hAnsi="黑体" w:eastAsia="黑体"/>
          <w:bCs/>
          <w:sz w:val="28"/>
          <w:szCs w:val="28"/>
        </w:rPr>
        <w:t xml:space="preserve">图3 </w:t>
      </w:r>
      <w:r>
        <w:rPr>
          <w:rFonts w:ascii="黑体" w:hAnsi="黑体" w:eastAsia="黑体"/>
          <w:bCs/>
          <w:sz w:val="28"/>
          <w:szCs w:val="28"/>
        </w:rPr>
        <w:t>眼震视图设备</w:t>
      </w:r>
      <w:r>
        <w:rPr>
          <w:rFonts w:hint="eastAsia" w:ascii="黑体" w:hAnsi="黑体" w:eastAsia="黑体"/>
          <w:bCs/>
          <w:sz w:val="28"/>
          <w:szCs w:val="28"/>
        </w:rPr>
        <w:t>（示例1）</w:t>
      </w:r>
    </w:p>
    <w:p w14:paraId="5A71B816">
      <w:pPr>
        <w:ind w:firstLine="420" w:firstLineChars="200"/>
        <w:jc w:val="center"/>
        <w:rPr>
          <w:rFonts w:hint="eastAsia" w:ascii="黑体" w:hAnsi="黑体" w:eastAsia="黑体"/>
          <w:bCs/>
          <w:sz w:val="28"/>
          <w:szCs w:val="28"/>
        </w:rPr>
      </w:pPr>
      <w:r>
        <mc:AlternateContent>
          <mc:Choice Requires="wps">
            <w:drawing>
              <wp:anchor distT="0" distB="0" distL="114300" distR="114300" simplePos="0" relativeHeight="251664384" behindDoc="0" locked="0" layoutInCell="1" allowOverlap="1">
                <wp:simplePos x="0" y="0"/>
                <wp:positionH relativeFrom="column">
                  <wp:posOffset>4141470</wp:posOffset>
                </wp:positionH>
                <wp:positionV relativeFrom="paragraph">
                  <wp:posOffset>861060</wp:posOffset>
                </wp:positionV>
                <wp:extent cx="921385" cy="328930"/>
                <wp:effectExtent l="0" t="0" r="0" b="0"/>
                <wp:wrapNone/>
                <wp:docPr id="1415708924" name="文本框 1415708924"/>
                <wp:cNvGraphicFramePr/>
                <a:graphic xmlns:a="http://schemas.openxmlformats.org/drawingml/2006/main">
                  <a:graphicData uri="http://schemas.microsoft.com/office/word/2010/wordprocessingShape">
                    <wps:wsp>
                      <wps:cNvSpPr txBox="1"/>
                      <wps:spPr>
                        <a:xfrm>
                          <a:off x="0" y="0"/>
                          <a:ext cx="921385" cy="3289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7D1E693">
                            <w:pPr>
                              <w:jc w:val="left"/>
                            </w:pPr>
                            <w:r>
                              <w:rPr>
                                <w:rFonts w:hint="eastAsia"/>
                                <w:sz w:val="24"/>
                                <w:szCs w:val="22"/>
                                <w14:textOutline w14:w="9525" w14:cap="flat" w14:cmpd="sng" w14:algn="ctr">
                                  <w14:solidFill>
                                    <w14:srgbClr w14:val="000000"/>
                                  </w14:solidFill>
                                  <w14:prstDash w14:val="solid"/>
                                  <w14:round/>
                                </w14:textOutline>
                              </w:rPr>
                              <w:t>主机眼罩</w:t>
                            </w:r>
                            <w:r>
                              <w:rPr>
                                <w:rFonts w:hint="eastAsia" w:ascii="宋体" w:hAnsi="宋体"/>
                              </w:rPr>
                              <w:drawing>
                                <wp:inline distT="0" distB="0" distL="114300" distR="114300">
                                  <wp:extent cx="4074160" cy="3055620"/>
                                  <wp:effectExtent l="0" t="0" r="2540" b="11430"/>
                                  <wp:docPr id="543434513" name="图片 543434513" descr="img_v3_02cc_782e5caf-ce01-4d52-be68-51bccdf5c23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434513" name="图片 543434513" descr="img_v3_02cc_782e5caf-ce01-4d52-be68-51bccdf5c23g"/>
                                          <pic:cNvPicPr>
                                            <a:picLocks noChangeAspect="1"/>
                                          </pic:cNvPicPr>
                                        </pic:nvPicPr>
                                        <pic:blipFill>
                                          <a:blip r:embed="rId10"/>
                                          <a:stretch>
                                            <a:fillRect/>
                                          </a:stretch>
                                        </pic:blipFill>
                                        <pic:spPr>
                                          <a:xfrm>
                                            <a:off x="0" y="0"/>
                                            <a:ext cx="4074160" cy="305562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6.1pt;margin-top:67.8pt;height:25.9pt;width:72.55pt;z-index:251664384;mso-width-relative:page;mso-height-relative:page;" filled="f" stroked="f" coordsize="21600,21600" o:gfxdata="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Ku6ki3AAAAAsBAAAPAAAAAAAAAAEA&#10;IAAAACIAAABkcnMvZG93bnJldi54bWxQSwECFAAUAAAACACHTuJA5IDBtEQCAAB3BAAADgAAAAAA&#10;AAABACAAAAArAQAAZHJzL2Uyb0RvYy54bWxQSwUGAAAAAAYABgBZAQAA4QUAAAAA&#10;">
                <v:fill on="f" focussize="0,0"/>
                <v:stroke on="f" weight="0.5pt"/>
                <v:imagedata o:title=""/>
                <o:lock v:ext="edit" aspectratio="f"/>
                <v:textbox>
                  <w:txbxContent>
                    <w:p w14:paraId="47D1E693">
                      <w:pPr>
                        <w:jc w:val="left"/>
                      </w:pPr>
                      <w:r>
                        <w:rPr>
                          <w:rFonts w:hint="eastAsia"/>
                          <w:sz w:val="24"/>
                          <w:szCs w:val="22"/>
                          <w14:textOutline w14:w="9525" w14:cap="flat" w14:cmpd="sng" w14:algn="ctr">
                            <w14:solidFill>
                              <w14:srgbClr w14:val="000000"/>
                            </w14:solidFill>
                            <w14:prstDash w14:val="solid"/>
                            <w14:round/>
                          </w14:textOutline>
                        </w:rPr>
                        <w:t>主机眼罩</w:t>
                      </w:r>
                      <w:r>
                        <w:rPr>
                          <w:rFonts w:hint="eastAsia" w:ascii="宋体" w:hAnsi="宋体"/>
                        </w:rPr>
                        <w:drawing>
                          <wp:inline distT="0" distB="0" distL="114300" distR="114300">
                            <wp:extent cx="4074160" cy="3055620"/>
                            <wp:effectExtent l="0" t="0" r="2540" b="11430"/>
                            <wp:docPr id="543434513" name="图片 543434513" descr="img_v3_02cc_782e5caf-ce01-4d52-be68-51bccdf5c23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434513" name="图片 543434513" descr="img_v3_02cc_782e5caf-ce01-4d52-be68-51bccdf5c23g"/>
                                    <pic:cNvPicPr>
                                      <a:picLocks noChangeAspect="1"/>
                                    </pic:cNvPicPr>
                                  </pic:nvPicPr>
                                  <pic:blipFill>
                                    <a:blip r:embed="rId10"/>
                                    <a:stretch>
                                      <a:fillRect/>
                                    </a:stretch>
                                  </pic:blipFill>
                                  <pic:spPr>
                                    <a:xfrm>
                                      <a:off x="0" y="0"/>
                                      <a:ext cx="4074160" cy="3055620"/>
                                    </a:xfrm>
                                    <a:prstGeom prst="rect">
                                      <a:avLst/>
                                    </a:prstGeom>
                                  </pic:spPr>
                                </pic:pic>
                              </a:graphicData>
                            </a:graphic>
                          </wp:inline>
                        </w:drawing>
                      </w:r>
                    </w:p>
                  </w:txbxContent>
                </v:textbox>
              </v:shape>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3590925</wp:posOffset>
                </wp:positionH>
                <wp:positionV relativeFrom="paragraph">
                  <wp:posOffset>1005205</wp:posOffset>
                </wp:positionV>
                <wp:extent cx="598805" cy="9525"/>
                <wp:effectExtent l="0" t="36830" r="10795" b="29845"/>
                <wp:wrapNone/>
                <wp:docPr id="604230508" name="直接箭头连接符 604230508"/>
                <wp:cNvGraphicFramePr/>
                <a:graphic xmlns:a="http://schemas.openxmlformats.org/drawingml/2006/main">
                  <a:graphicData uri="http://schemas.microsoft.com/office/word/2010/wordprocessingShape">
                    <wps:wsp>
                      <wps:cNvCnPr/>
                      <wps:spPr>
                        <a:xfrm flipV="1">
                          <a:off x="0" y="0"/>
                          <a:ext cx="598805" cy="9525"/>
                        </a:xfrm>
                        <a:prstGeom prst="straightConnector1">
                          <a:avLst/>
                        </a:prstGeom>
                        <a:ln>
                          <a:solidFill>
                            <a:schemeClr val="tx1"/>
                          </a:solidFill>
                          <a:headEnd type="none" w="med" len="med"/>
                          <a:tailEnd type="triangle" w="med" len="med"/>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282.75pt;margin-top:79.15pt;height:0.75pt;width:47.15pt;z-index:251663360;mso-width-relative:page;mso-height-relative:page;" filled="f" stroked="t" coordsize="21600,21600" o:gfxdata="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GCW&#10;XobYAAAACwEAAA8AAAAAAAAAAQAgAAAAIgAAAGRycy9kb3ducmV2LnhtbFBLAQIUABQAAAAIAIdO&#10;4kC2lBswIwIAACMEAAAOAAAAAAAAAAEAIAAAACcBAABkcnMvZTJvRG9jLnhtbFBLBQYAAAAABgAG&#10;AFkBAAC8BQAAAAA=&#10;">
                <v:fill on="f" focussize="0,0"/>
                <v:stroke weight="2pt" color="#000000 [3213]" joinstyle="round" endarrow="block"/>
                <v:imagedata o:title=""/>
                <o:lock v:ext="edit" aspectratio="f"/>
              </v:shape>
            </w:pict>
          </mc:Fallback>
        </mc:AlternateContent>
      </w:r>
      <w:r>
        <w:rPr>
          <w:rFonts w:hint="eastAsia" w:ascii="黑体" w:hAnsi="黑体" w:eastAsia="黑体"/>
          <w:bCs/>
          <w:sz w:val="28"/>
          <w:szCs w:val="28"/>
        </w:rPr>
        <w:drawing>
          <wp:inline distT="0" distB="0" distL="0" distR="0">
            <wp:extent cx="2554605" cy="2752090"/>
            <wp:effectExtent l="0" t="0" r="0" b="0"/>
            <wp:docPr id="121787847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878477" name="图片 7"/>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564767" cy="2763073"/>
                    </a:xfrm>
                    <a:prstGeom prst="rect">
                      <a:avLst/>
                    </a:prstGeom>
                  </pic:spPr>
                </pic:pic>
              </a:graphicData>
            </a:graphic>
          </wp:inline>
        </w:drawing>
      </w:r>
    </w:p>
    <w:p w14:paraId="57B00FE3">
      <w:pPr>
        <w:ind w:firstLine="560" w:firstLineChars="200"/>
        <w:jc w:val="center"/>
        <w:rPr>
          <w:rFonts w:hint="eastAsia" w:ascii="黑体" w:hAnsi="黑体" w:eastAsia="黑体"/>
          <w:bCs/>
          <w:sz w:val="28"/>
          <w:szCs w:val="28"/>
        </w:rPr>
      </w:pPr>
      <w:r>
        <w:rPr>
          <w:rFonts w:hint="eastAsia" w:ascii="黑体" w:hAnsi="黑体" w:eastAsia="黑体"/>
          <w:bCs/>
          <w:sz w:val="28"/>
          <w:szCs w:val="28"/>
        </w:rPr>
        <w:t xml:space="preserve">图4 </w:t>
      </w:r>
      <w:r>
        <w:rPr>
          <w:rFonts w:ascii="黑体" w:hAnsi="黑体" w:eastAsia="黑体"/>
          <w:bCs/>
          <w:sz w:val="28"/>
          <w:szCs w:val="28"/>
        </w:rPr>
        <w:t>眼震视图设备</w:t>
      </w:r>
      <w:r>
        <w:rPr>
          <w:rFonts w:hint="eastAsia" w:ascii="黑体" w:hAnsi="黑体" w:eastAsia="黑体"/>
          <w:bCs/>
          <w:sz w:val="28"/>
          <w:szCs w:val="28"/>
        </w:rPr>
        <w:t>（示例2）</w:t>
      </w:r>
    </w:p>
    <w:p w14:paraId="185E66E3">
      <w:pPr>
        <w:rPr>
          <w:rFonts w:hint="eastAsia" w:ascii="黑体" w:hAnsi="黑体" w:eastAsia="黑体"/>
          <w:sz w:val="28"/>
          <w:szCs w:val="28"/>
        </w:rPr>
      </w:pPr>
    </w:p>
    <w:p w14:paraId="789DC9C2">
      <w:pPr>
        <w:pStyle w:val="34"/>
        <w:overflowPunct w:val="0"/>
        <w:autoSpaceDE w:val="0"/>
        <w:autoSpaceDN w:val="0"/>
        <w:spacing w:line="520" w:lineRule="exact"/>
        <w:ind w:right="210" w:firstLine="640"/>
        <w:outlineLvl w:val="3"/>
        <w:rPr>
          <w:rFonts w:eastAsia="仿宋_GB2312"/>
          <w:snapToGrid w:val="0"/>
          <w:kern w:val="0"/>
          <w:sz w:val="32"/>
          <w:szCs w:val="32"/>
        </w:rPr>
      </w:pPr>
      <w:r>
        <w:rPr>
          <w:rFonts w:hint="eastAsia" w:eastAsia="仿宋_GB2312"/>
          <w:snapToGrid w:val="0"/>
          <w:kern w:val="0"/>
          <w:sz w:val="32"/>
          <w:szCs w:val="32"/>
        </w:rPr>
        <w:t>1</w:t>
      </w:r>
      <w:r>
        <w:rPr>
          <w:rFonts w:eastAsia="仿宋_GB2312"/>
          <w:snapToGrid w:val="0"/>
          <w:kern w:val="0"/>
          <w:sz w:val="32"/>
          <w:szCs w:val="32"/>
        </w:rPr>
        <w:t>.</w:t>
      </w:r>
      <w:r>
        <w:rPr>
          <w:rFonts w:hint="eastAsia" w:eastAsia="仿宋_GB2312"/>
          <w:snapToGrid w:val="0"/>
          <w:kern w:val="0"/>
          <w:sz w:val="32"/>
          <w:szCs w:val="32"/>
        </w:rPr>
        <w:t>2</w:t>
      </w:r>
      <w:r>
        <w:rPr>
          <w:rFonts w:eastAsia="仿宋_GB2312"/>
          <w:snapToGrid w:val="0"/>
          <w:kern w:val="0"/>
          <w:sz w:val="32"/>
          <w:szCs w:val="32"/>
        </w:rPr>
        <w:t>型号规格</w:t>
      </w:r>
    </w:p>
    <w:p w14:paraId="585219A0">
      <w:pPr>
        <w:spacing w:line="520" w:lineRule="exact"/>
        <w:ind w:firstLine="636" w:firstLineChars="200"/>
        <w:rPr>
          <w:rFonts w:eastAsia="仿宋_GB2312"/>
          <w:sz w:val="32"/>
          <w:szCs w:val="32"/>
        </w:rPr>
      </w:pPr>
      <w:r>
        <w:rPr>
          <w:rFonts w:eastAsia="仿宋_GB2312"/>
          <w:color w:val="000000" w:themeColor="text1"/>
          <w:spacing w:val="-1"/>
          <w:sz w:val="32"/>
          <w:szCs w:val="32"/>
          <w14:textFill>
            <w14:solidFill>
              <w14:schemeClr w14:val="tx1"/>
            </w14:solidFill>
          </w14:textFill>
        </w:rPr>
        <w:t>申请人需明确申报产品的型号规格、型号规格划分原则及软件发布版本。若同一个注册单元包含多个型号规格，需进一步明确各型号规格之间的区别。可采用图文对比表、说明性文字等形式，描述各型号在结构组成或配置、功能、性能指标、适用范围（若适用）等方面的具体差异。</w:t>
      </w:r>
    </w:p>
    <w:p w14:paraId="60ADFC98">
      <w:pPr>
        <w:spacing w:line="520" w:lineRule="exact"/>
        <w:ind w:left="640" w:right="-67" w:rightChars="-32"/>
        <w:outlineLvl w:val="2"/>
        <w:rPr>
          <w:rFonts w:eastAsia="仿宋_GB2312"/>
          <w:color w:val="000000" w:themeColor="text1"/>
          <w:sz w:val="32"/>
          <w:szCs w:val="32"/>
          <w14:textFill>
            <w14:solidFill>
              <w14:schemeClr w14:val="tx1"/>
            </w14:solidFill>
          </w14:textFill>
        </w:rPr>
      </w:pPr>
      <w:bookmarkStart w:id="6" w:name="_Toc1381"/>
      <w:r>
        <w:rPr>
          <w:rFonts w:hint="eastAsia" w:eastAsia="仿宋_GB2312"/>
          <w:color w:val="000000" w:themeColor="text1"/>
          <w:sz w:val="32"/>
          <w:szCs w:val="32"/>
          <w14:textFill>
            <w14:solidFill>
              <w14:schemeClr w14:val="tx1"/>
            </w14:solidFill>
          </w14:textFill>
        </w:rPr>
        <w:t>2.</w:t>
      </w:r>
      <w:r>
        <w:rPr>
          <w:rFonts w:eastAsia="仿宋_GB2312"/>
          <w:color w:val="000000" w:themeColor="text1"/>
          <w:sz w:val="32"/>
          <w:szCs w:val="32"/>
          <w14:textFill>
            <w14:solidFill>
              <w14:schemeClr w14:val="tx1"/>
            </w14:solidFill>
          </w14:textFill>
        </w:rPr>
        <w:t>研发历程、与同类和/或前代产品的参考和比较</w:t>
      </w:r>
      <w:bookmarkEnd w:id="6"/>
    </w:p>
    <w:p w14:paraId="0DC03B86">
      <w:pPr>
        <w:spacing w:line="520" w:lineRule="exact"/>
        <w:ind w:firstLine="636" w:firstLineChars="200"/>
        <w:rPr>
          <w:rFonts w:eastAsia="仿宋_GB2312"/>
          <w:color w:val="000000" w:themeColor="text1"/>
          <w:spacing w:val="-1"/>
          <w:sz w:val="32"/>
          <w:szCs w:val="32"/>
          <w14:textFill>
            <w14:solidFill>
              <w14:schemeClr w14:val="tx1"/>
            </w14:solidFill>
          </w14:textFill>
        </w:rPr>
      </w:pPr>
      <w:r>
        <w:rPr>
          <w:rFonts w:eastAsia="仿宋_GB2312"/>
          <w:color w:val="000000" w:themeColor="text1"/>
          <w:spacing w:val="-1"/>
          <w:sz w:val="32"/>
          <w:szCs w:val="32"/>
          <w14:textFill>
            <w14:solidFill>
              <w14:schemeClr w14:val="tx1"/>
            </w14:solidFill>
          </w14:textFill>
        </w:rPr>
        <w:t>综述同类产品的现状及发展趋势，阐述申报产品研发的背景和目的，说明申报产品与已上市同类产品、前代产品</w:t>
      </w:r>
      <w:r>
        <w:rPr>
          <w:rFonts w:hint="eastAsia" w:eastAsia="仿宋_GB2312"/>
          <w:color w:val="000000" w:themeColor="text1"/>
          <w:spacing w:val="-1"/>
          <w:sz w:val="32"/>
          <w:szCs w:val="32"/>
          <w14:textFill>
            <w14:solidFill>
              <w14:schemeClr w14:val="tx1"/>
            </w14:solidFill>
          </w14:textFill>
        </w:rPr>
        <w:t>的改进点、</w:t>
      </w:r>
      <w:r>
        <w:rPr>
          <w:rFonts w:eastAsia="仿宋_GB2312"/>
          <w:color w:val="000000" w:themeColor="text1"/>
          <w:spacing w:val="-1"/>
          <w:sz w:val="32"/>
          <w:szCs w:val="32"/>
          <w14:textFill>
            <w14:solidFill>
              <w14:schemeClr w14:val="tx1"/>
            </w14:solidFill>
          </w14:textFill>
        </w:rPr>
        <w:t>相似点和不同点，建议以列表的方式表述。应详细描述申报产品和同类产品的差异，应列表描述包括结构组成、工作原理、适用范围、性能指标、使用方式等方面的异同，差异部分建议说明差异的设计依据。</w:t>
      </w:r>
    </w:p>
    <w:p w14:paraId="22B8312A">
      <w:pPr>
        <w:spacing w:line="520" w:lineRule="exact"/>
        <w:ind w:firstLine="636" w:firstLineChars="200"/>
        <w:rPr>
          <w:rFonts w:eastAsia="仿宋_GB2312"/>
          <w:color w:val="000000" w:themeColor="text1"/>
          <w:spacing w:val="-1"/>
          <w:sz w:val="32"/>
          <w:szCs w:val="32"/>
          <w14:textFill>
            <w14:solidFill>
              <w14:schemeClr w14:val="tx1"/>
            </w14:solidFill>
          </w14:textFill>
        </w:rPr>
      </w:pPr>
      <w:r>
        <w:rPr>
          <w:rFonts w:eastAsia="仿宋_GB2312"/>
          <w:color w:val="000000" w:themeColor="text1"/>
          <w:spacing w:val="-1"/>
          <w:sz w:val="32"/>
          <w:szCs w:val="32"/>
          <w14:textFill>
            <w14:solidFill>
              <w14:schemeClr w14:val="tx1"/>
            </w14:solidFill>
          </w14:textFill>
        </w:rPr>
        <w:t>性能参数的对比，建议至少包含技术要求中的性能指标。</w:t>
      </w:r>
    </w:p>
    <w:p w14:paraId="0F42D58D">
      <w:pPr>
        <w:spacing w:line="520" w:lineRule="exact"/>
        <w:ind w:right="-67" w:rightChars="-32" w:firstLine="640" w:firstLineChars="200"/>
        <w:outlineLvl w:val="2"/>
        <w:rPr>
          <w:rFonts w:eastAsia="仿宋_GB2312"/>
          <w:sz w:val="32"/>
          <w:szCs w:val="32"/>
        </w:rPr>
      </w:pPr>
      <w:r>
        <w:rPr>
          <w:rFonts w:hint="eastAsia" w:eastAsia="仿宋_GB2312"/>
          <w:sz w:val="32"/>
          <w:szCs w:val="32"/>
        </w:rPr>
        <w:t>3</w:t>
      </w:r>
      <w:r>
        <w:rPr>
          <w:rFonts w:hint="eastAsia" w:ascii="仿宋_GB2312" w:eastAsia="仿宋_GB2312"/>
          <w:sz w:val="32"/>
          <w:szCs w:val="32"/>
        </w:rPr>
        <w:t>.</w:t>
      </w:r>
      <w:r>
        <w:rPr>
          <w:rFonts w:hint="eastAsia" w:eastAsia="仿宋_GB2312"/>
          <w:sz w:val="32"/>
          <w:szCs w:val="32"/>
        </w:rPr>
        <w:t>包装说明</w:t>
      </w:r>
    </w:p>
    <w:p w14:paraId="12074C08">
      <w:pPr>
        <w:spacing w:line="520" w:lineRule="exact"/>
        <w:ind w:firstLine="640"/>
        <w:outlineLvl w:val="3"/>
        <w:rPr>
          <w:rFonts w:eastAsia="仿宋_GB2312"/>
          <w:color w:val="000000" w:themeColor="text1"/>
          <w:spacing w:val="-1"/>
          <w:sz w:val="32"/>
          <w:szCs w:val="32"/>
          <w14:textFill>
            <w14:solidFill>
              <w14:schemeClr w14:val="tx1"/>
            </w14:solidFill>
          </w14:textFill>
        </w:rPr>
      </w:pPr>
      <w:r>
        <w:rPr>
          <w:rFonts w:eastAsia="仿宋_GB2312"/>
          <w:color w:val="000000" w:themeColor="text1"/>
          <w:spacing w:val="-1"/>
          <w:sz w:val="32"/>
          <w:szCs w:val="32"/>
          <w14:textFill>
            <w14:solidFill>
              <w14:schemeClr w14:val="tx1"/>
            </w14:solidFill>
          </w14:textFill>
        </w:rPr>
        <w:t>提供</w:t>
      </w:r>
      <w:r>
        <w:rPr>
          <w:rFonts w:hint="eastAsia" w:eastAsia="仿宋_GB2312"/>
          <w:color w:val="000000" w:themeColor="text1"/>
          <w:spacing w:val="-1"/>
          <w:sz w:val="32"/>
          <w:szCs w:val="32"/>
          <w14:textFill>
            <w14:solidFill>
              <w14:schemeClr w14:val="tx1"/>
            </w14:solidFill>
          </w14:textFill>
        </w:rPr>
        <w:t>设备</w:t>
      </w:r>
      <w:r>
        <w:rPr>
          <w:rFonts w:eastAsia="仿宋_GB2312"/>
          <w:color w:val="000000" w:themeColor="text1"/>
          <w:spacing w:val="-1"/>
          <w:sz w:val="32"/>
          <w:szCs w:val="32"/>
          <w14:textFill>
            <w14:solidFill>
              <w14:schemeClr w14:val="tx1"/>
            </w14:solidFill>
          </w14:textFill>
        </w:rPr>
        <w:t>的外包装及各</w:t>
      </w:r>
      <w:r>
        <w:rPr>
          <w:rFonts w:hint="eastAsia" w:eastAsia="仿宋_GB2312"/>
          <w:color w:val="000000" w:themeColor="text1"/>
          <w:spacing w:val="-1"/>
          <w:sz w:val="32"/>
          <w:szCs w:val="32"/>
          <w14:textFill>
            <w14:solidFill>
              <w14:schemeClr w14:val="tx1"/>
            </w14:solidFill>
          </w14:textFill>
        </w:rPr>
        <w:t>组件</w:t>
      </w:r>
      <w:r>
        <w:rPr>
          <w:rFonts w:eastAsia="仿宋_GB2312"/>
          <w:color w:val="000000" w:themeColor="text1"/>
          <w:spacing w:val="-1"/>
          <w:sz w:val="32"/>
          <w:szCs w:val="32"/>
          <w14:textFill>
            <w14:solidFill>
              <w14:schemeClr w14:val="tx1"/>
            </w14:solidFill>
          </w14:textFill>
        </w:rPr>
        <w:t>的包装情况。若产品组成中包含一次性使用</w:t>
      </w:r>
      <w:r>
        <w:rPr>
          <w:rFonts w:hint="eastAsia" w:eastAsia="仿宋_GB2312"/>
          <w:color w:val="000000" w:themeColor="text1"/>
          <w:spacing w:val="-1"/>
          <w:sz w:val="32"/>
          <w:szCs w:val="32"/>
          <w14:textFill>
            <w14:solidFill>
              <w14:schemeClr w14:val="tx1"/>
            </w14:solidFill>
          </w14:textFill>
        </w:rPr>
        <w:t>产品（</w:t>
      </w:r>
      <w:r>
        <w:rPr>
          <w:rFonts w:hint="eastAsia" w:eastAsia="仿宋_GB2312"/>
          <w:bCs/>
          <w:sz w:val="32"/>
          <w:szCs w:val="32"/>
        </w:rPr>
        <w:t>如：一次性眼垫、一次性面垫、一次性电极等</w:t>
      </w:r>
      <w:r>
        <w:rPr>
          <w:rFonts w:hint="eastAsia" w:eastAsia="仿宋_GB2312"/>
          <w:color w:val="000000" w:themeColor="text1"/>
          <w:spacing w:val="-1"/>
          <w:sz w:val="32"/>
          <w:szCs w:val="32"/>
          <w14:textFill>
            <w14:solidFill>
              <w14:schemeClr w14:val="tx1"/>
            </w14:solidFill>
          </w14:textFill>
        </w:rPr>
        <w:t>）</w:t>
      </w:r>
      <w:r>
        <w:rPr>
          <w:rFonts w:eastAsia="仿宋_GB2312"/>
          <w:color w:val="000000" w:themeColor="text1"/>
          <w:spacing w:val="-1"/>
          <w:sz w:val="32"/>
          <w:szCs w:val="32"/>
          <w14:textFill>
            <w14:solidFill>
              <w14:schemeClr w14:val="tx1"/>
            </w14:solidFill>
          </w14:textFill>
        </w:rPr>
        <w:t>，则提供该附件与灭菌方法相适应的最初包装的信息。</w:t>
      </w:r>
    </w:p>
    <w:p w14:paraId="3CFC7F29">
      <w:pPr>
        <w:spacing w:line="520" w:lineRule="exact"/>
        <w:ind w:firstLine="640" w:firstLineChars="200"/>
        <w:outlineLvl w:val="2"/>
        <w:rPr>
          <w:rFonts w:eastAsia="仿宋_GB2312"/>
        </w:rPr>
      </w:pPr>
      <w:r>
        <w:rPr>
          <w:rFonts w:hint="eastAsia" w:eastAsia="仿宋_GB2312"/>
          <w:sz w:val="32"/>
          <w:szCs w:val="32"/>
        </w:rPr>
        <w:t>4.适用范围和禁忌证</w:t>
      </w:r>
    </w:p>
    <w:p w14:paraId="3DA720D6">
      <w:pPr>
        <w:pStyle w:val="34"/>
        <w:overflowPunct w:val="0"/>
        <w:autoSpaceDE w:val="0"/>
        <w:autoSpaceDN w:val="0"/>
        <w:spacing w:line="520" w:lineRule="exact"/>
        <w:ind w:right="210" w:firstLine="640"/>
        <w:outlineLvl w:val="3"/>
        <w:rPr>
          <w:rFonts w:eastAsia="仿宋_GB2312"/>
          <w:snapToGrid w:val="0"/>
          <w:kern w:val="0"/>
          <w:sz w:val="32"/>
          <w:szCs w:val="32"/>
        </w:rPr>
      </w:pPr>
      <w:r>
        <w:rPr>
          <w:rFonts w:hint="eastAsia" w:eastAsia="仿宋_GB2312"/>
          <w:snapToGrid w:val="0"/>
          <w:kern w:val="0"/>
          <w:sz w:val="32"/>
          <w:szCs w:val="32"/>
        </w:rPr>
        <w:t>4.1</w:t>
      </w:r>
      <w:r>
        <w:rPr>
          <w:rFonts w:eastAsia="仿宋_GB2312"/>
          <w:snapToGrid w:val="0"/>
          <w:kern w:val="0"/>
          <w:sz w:val="32"/>
          <w:szCs w:val="32"/>
        </w:rPr>
        <w:t>适用范围</w:t>
      </w:r>
    </w:p>
    <w:p w14:paraId="4FA37C85">
      <w:pPr>
        <w:overflowPunct w:val="0"/>
        <w:autoSpaceDE w:val="0"/>
        <w:autoSpaceDN w:val="0"/>
        <w:spacing w:line="520" w:lineRule="exact"/>
        <w:ind w:firstLine="640" w:firstLineChars="200"/>
        <w:rPr>
          <w:rFonts w:eastAsia="仿宋_GB2312"/>
          <w:color w:val="000000" w:themeColor="text1"/>
          <w:sz w:val="32"/>
          <w:szCs w:val="32"/>
          <w14:textFill>
            <w14:solidFill>
              <w14:schemeClr w14:val="tx1"/>
            </w14:solidFill>
          </w14:textFill>
        </w:rPr>
      </w:pPr>
      <w:r>
        <w:rPr>
          <w:rFonts w:hint="eastAsia" w:eastAsia="仿宋_GB2312"/>
          <w:snapToGrid w:val="0"/>
          <w:kern w:val="0"/>
          <w:sz w:val="32"/>
          <w:szCs w:val="32"/>
        </w:rPr>
        <w:t>需</w:t>
      </w:r>
      <w:r>
        <w:rPr>
          <w:rFonts w:eastAsia="仿宋_GB2312"/>
          <w:snapToGrid w:val="0"/>
          <w:kern w:val="0"/>
          <w:sz w:val="32"/>
          <w:szCs w:val="32"/>
        </w:rPr>
        <w:t>明确设备使用场</w:t>
      </w:r>
      <w:r>
        <w:rPr>
          <w:rFonts w:hint="eastAsia" w:eastAsia="仿宋_GB2312"/>
          <w:snapToGrid w:val="0"/>
          <w:kern w:val="0"/>
          <w:sz w:val="32"/>
          <w:szCs w:val="32"/>
        </w:rPr>
        <w:t>所</w:t>
      </w:r>
      <w:r>
        <w:rPr>
          <w:rFonts w:eastAsia="仿宋_GB2312"/>
          <w:snapToGrid w:val="0"/>
          <w:kern w:val="0"/>
          <w:sz w:val="32"/>
          <w:szCs w:val="32"/>
        </w:rPr>
        <w:t>和使用环境要求</w:t>
      </w:r>
      <w:r>
        <w:rPr>
          <w:rFonts w:hint="eastAsia" w:eastAsia="仿宋_GB2312"/>
          <w:snapToGrid w:val="0"/>
          <w:kern w:val="0"/>
          <w:sz w:val="32"/>
          <w:szCs w:val="32"/>
        </w:rPr>
        <w:t>，例如，</w:t>
      </w:r>
      <w:r>
        <w:rPr>
          <w:rFonts w:hint="eastAsia" w:eastAsia="仿宋_GB2312"/>
          <w:color w:val="000000" w:themeColor="text1"/>
          <w:sz w:val="32"/>
          <w:szCs w:val="32"/>
          <w14:textFill>
            <w14:solidFill>
              <w14:schemeClr w14:val="tx1"/>
            </w14:solidFill>
          </w14:textFill>
        </w:rPr>
        <w:t>“在医疗机构使用”</w:t>
      </w:r>
      <w:r>
        <w:rPr>
          <w:rFonts w:eastAsia="仿宋_GB2312"/>
          <w:snapToGrid w:val="0"/>
          <w:kern w:val="0"/>
          <w:sz w:val="32"/>
          <w:szCs w:val="32"/>
        </w:rPr>
        <w:t>。</w:t>
      </w:r>
      <w:r>
        <w:rPr>
          <w:rFonts w:hint="eastAsia" w:eastAsia="仿宋_GB2312"/>
          <w:sz w:val="32"/>
          <w:szCs w:val="32"/>
        </w:rPr>
        <w:t>产品的适用范围应与申报产品的性能、功能相符，</w:t>
      </w:r>
      <w:r>
        <w:rPr>
          <w:rFonts w:hint="eastAsia" w:eastAsia="仿宋_GB2312"/>
          <w:color w:val="000000" w:themeColor="text1"/>
          <w:sz w:val="32"/>
          <w:szCs w:val="32"/>
          <w14:textFill>
            <w14:solidFill>
              <w14:schemeClr w14:val="tx1"/>
            </w14:solidFill>
          </w14:textFill>
        </w:rPr>
        <w:t>包含产品的工作原理和具体应用。</w:t>
      </w:r>
    </w:p>
    <w:p w14:paraId="4DECDECB">
      <w:pPr>
        <w:overflowPunct w:val="0"/>
        <w:autoSpaceDE w:val="0"/>
        <w:autoSpaceDN w:val="0"/>
        <w:spacing w:line="520" w:lineRule="exact"/>
        <w:ind w:firstLine="640" w:firstLineChars="200"/>
        <w:rPr>
          <w:rFonts w:eastAsia="仿宋_GB2312"/>
          <w:color w:val="000000" w:themeColor="text1"/>
          <w:sz w:val="32"/>
          <w:szCs w:val="32"/>
          <w14:textFill>
            <w14:solidFill>
              <w14:schemeClr w14:val="tx1"/>
            </w14:solidFill>
          </w14:textFill>
        </w:rPr>
      </w:pPr>
      <w:r>
        <w:rPr>
          <w:rFonts w:hint="eastAsia" w:eastAsia="仿宋_GB2312"/>
          <w:color w:val="000000" w:themeColor="text1"/>
          <w:sz w:val="32"/>
          <w:szCs w:val="32"/>
          <w14:textFill>
            <w14:solidFill>
              <w14:schemeClr w14:val="tx1"/>
            </w14:solidFill>
          </w14:textFill>
        </w:rPr>
        <w:t>示例，产品在医疗机构使用，</w:t>
      </w:r>
      <w:r>
        <w:rPr>
          <w:rFonts w:eastAsia="仿宋_GB2312"/>
          <w:color w:val="000000" w:themeColor="text1"/>
          <w:sz w:val="32"/>
          <w:szCs w:val="32"/>
          <w14:textFill>
            <w14:solidFill>
              <w14:schemeClr w14:val="tx1"/>
            </w14:solidFill>
          </w14:textFill>
        </w:rPr>
        <w:t>用于眩晕症的检查。</w:t>
      </w:r>
    </w:p>
    <w:p w14:paraId="132C01D8">
      <w:pPr>
        <w:pStyle w:val="34"/>
        <w:overflowPunct w:val="0"/>
        <w:autoSpaceDE w:val="0"/>
        <w:autoSpaceDN w:val="0"/>
        <w:spacing w:line="520" w:lineRule="exact"/>
        <w:ind w:right="210" w:firstLine="640"/>
        <w:outlineLvl w:val="3"/>
        <w:rPr>
          <w:rFonts w:eastAsia="仿宋_GB2312"/>
          <w:snapToGrid w:val="0"/>
          <w:color w:val="auto"/>
          <w:kern w:val="0"/>
          <w:sz w:val="32"/>
          <w:szCs w:val="32"/>
        </w:rPr>
      </w:pPr>
      <w:r>
        <w:rPr>
          <w:rFonts w:hint="eastAsia" w:eastAsia="仿宋_GB2312"/>
          <w:snapToGrid w:val="0"/>
          <w:kern w:val="0"/>
          <w:sz w:val="32"/>
          <w:szCs w:val="32"/>
        </w:rPr>
        <w:t>4.2使用</w:t>
      </w:r>
      <w:r>
        <w:rPr>
          <w:rFonts w:hint="eastAsia" w:ascii="仿宋_GB2312" w:eastAsia="仿宋_GB2312"/>
          <w:sz w:val="32"/>
          <w:szCs w:val="32"/>
        </w:rPr>
        <w:t>禁忌</w:t>
      </w:r>
      <w:r>
        <w:rPr>
          <w:rFonts w:hint="eastAsia" w:ascii="仿宋_GB2312" w:eastAsia="仿宋_GB2312"/>
          <w:color w:val="auto"/>
          <w:sz w:val="32"/>
          <w:szCs w:val="32"/>
        </w:rPr>
        <w:t>证</w:t>
      </w:r>
    </w:p>
    <w:p w14:paraId="1A4F64C2">
      <w:pPr>
        <w:spacing w:line="520" w:lineRule="exact"/>
        <w:ind w:right="-67" w:rightChars="-32" w:firstLine="640" w:firstLineChars="200"/>
        <w:rPr>
          <w:rFonts w:ascii="仿宋_GB2312" w:eastAsia="仿宋_GB2312"/>
          <w:color w:val="auto"/>
          <w:sz w:val="32"/>
          <w:szCs w:val="32"/>
        </w:rPr>
      </w:pPr>
      <w:r>
        <w:rPr>
          <w:rFonts w:hint="eastAsia" w:ascii="仿宋_GB2312" w:eastAsia="仿宋_GB2312"/>
          <w:color w:val="auto"/>
          <w:sz w:val="32"/>
          <w:szCs w:val="32"/>
        </w:rPr>
        <w:t>包括绝对禁忌、</w:t>
      </w:r>
      <w:r>
        <w:rPr>
          <w:rFonts w:hint="eastAsia" w:ascii="仿宋_GB2312" w:eastAsia="仿宋_GB2312"/>
          <w:color w:val="auto"/>
          <w:sz w:val="32"/>
          <w:szCs w:val="32"/>
          <w:lang w:val="en-US" w:eastAsia="zh-CN"/>
        </w:rPr>
        <w:t>相对</w:t>
      </w:r>
      <w:r>
        <w:rPr>
          <w:rFonts w:hint="eastAsia" w:ascii="仿宋_GB2312" w:eastAsia="仿宋_GB2312"/>
          <w:color w:val="auto"/>
          <w:sz w:val="32"/>
          <w:szCs w:val="32"/>
        </w:rPr>
        <w:t>禁忌、慎用人群</w:t>
      </w:r>
      <w:bookmarkStart w:id="17" w:name="_GoBack"/>
      <w:bookmarkEnd w:id="17"/>
      <w:r>
        <w:rPr>
          <w:rFonts w:hint="eastAsia" w:ascii="仿宋_GB2312" w:eastAsia="仿宋_GB2312"/>
          <w:color w:val="auto"/>
          <w:sz w:val="32"/>
          <w:szCs w:val="32"/>
        </w:rPr>
        <w:t>具体详见</w:t>
      </w:r>
      <w:r>
        <w:rPr>
          <w:rFonts w:hint="eastAsia" w:ascii="仿宋_GB2312" w:eastAsia="仿宋_GB2312"/>
          <w:color w:val="auto"/>
          <w:sz w:val="32"/>
          <w:szCs w:val="32"/>
          <w:lang w:val="en-US" w:eastAsia="zh-CN"/>
        </w:rPr>
        <w:t>附件1</w:t>
      </w:r>
      <w:r>
        <w:rPr>
          <w:rFonts w:hint="eastAsia" w:ascii="仿宋_GB2312" w:eastAsia="仿宋_GB2312"/>
          <w:color w:val="auto"/>
          <w:sz w:val="32"/>
          <w:szCs w:val="32"/>
        </w:rPr>
        <w:t>。</w:t>
      </w:r>
    </w:p>
    <w:p w14:paraId="72D91D2C">
      <w:pPr>
        <w:pStyle w:val="2"/>
        <w:spacing w:line="520" w:lineRule="exact"/>
        <w:ind w:firstLine="640" w:firstLineChars="200"/>
        <w:rPr>
          <w:rFonts w:ascii="Times New Roman" w:hAnsi="Times New Roman" w:eastAsia="仿宋_GB2312"/>
          <w:kern w:val="2"/>
          <w:sz w:val="32"/>
          <w:szCs w:val="32"/>
        </w:rPr>
      </w:pPr>
      <w:r>
        <w:rPr>
          <w:rFonts w:hint="eastAsia" w:ascii="Times New Roman" w:hAnsi="Times New Roman" w:eastAsia="仿宋_GB2312"/>
          <w:kern w:val="2"/>
          <w:sz w:val="32"/>
          <w:szCs w:val="32"/>
        </w:rPr>
        <w:t>5</w:t>
      </w:r>
      <w:r>
        <w:rPr>
          <w:rFonts w:ascii="Times New Roman" w:hAnsi="Times New Roman" w:eastAsia="仿宋_GB2312"/>
          <w:kern w:val="2"/>
          <w:sz w:val="32"/>
          <w:szCs w:val="32"/>
        </w:rPr>
        <w:t>.产品的不良事件历史记录</w:t>
      </w:r>
    </w:p>
    <w:p w14:paraId="0E4111C1">
      <w:pPr>
        <w:pStyle w:val="2"/>
        <w:spacing w:line="520" w:lineRule="exact"/>
        <w:ind w:firstLine="640" w:firstLineChars="200"/>
        <w:jc w:val="both"/>
        <w:rPr>
          <w:rFonts w:ascii="Times New Roman" w:hAnsi="Times New Roman" w:eastAsia="仿宋_GB2312"/>
          <w:kern w:val="2"/>
          <w:sz w:val="32"/>
          <w:szCs w:val="32"/>
        </w:rPr>
      </w:pPr>
      <w:r>
        <w:rPr>
          <w:rFonts w:ascii="Times New Roman" w:hAnsi="Times New Roman" w:eastAsia="仿宋_GB2312"/>
          <w:kern w:val="2"/>
          <w:sz w:val="32"/>
          <w:szCs w:val="32"/>
        </w:rPr>
        <w:t>如适用，应当提交申报产品的上市情况、不良事件和召回、销售/不良事件及召回率等信息。注册申请人应关注和检索不良事件，在风险分析时关注同品种医疗器械产品的不良事件历史记录。应详细阐述不良事件发生的情况，并根据不良事件的情形分类，分析不良事件发生的原因。</w:t>
      </w:r>
    </w:p>
    <w:p w14:paraId="7152DAD3">
      <w:pPr>
        <w:overflowPunct w:val="0"/>
        <w:autoSpaceDE w:val="0"/>
        <w:autoSpaceDN w:val="0"/>
        <w:spacing w:line="520" w:lineRule="exact"/>
        <w:ind w:left="221" w:firstLine="198"/>
        <w:outlineLvl w:val="1"/>
        <w:rPr>
          <w:rFonts w:eastAsia="楷体_GB2312"/>
          <w:sz w:val="32"/>
          <w:szCs w:val="32"/>
        </w:rPr>
      </w:pPr>
      <w:bookmarkStart w:id="7" w:name="_Toc432753649"/>
      <w:r>
        <w:rPr>
          <w:rFonts w:hint="eastAsia" w:eastAsia="楷体_GB2312"/>
          <w:sz w:val="32"/>
          <w:szCs w:val="32"/>
        </w:rPr>
        <w:t>（三）非</w:t>
      </w:r>
      <w:r>
        <w:rPr>
          <w:rFonts w:eastAsia="楷体_GB2312"/>
          <w:sz w:val="32"/>
          <w:szCs w:val="32"/>
        </w:rPr>
        <w:t>临床</w:t>
      </w:r>
      <w:r>
        <w:rPr>
          <w:rFonts w:hint="eastAsia" w:eastAsia="楷体_GB2312"/>
          <w:sz w:val="32"/>
          <w:szCs w:val="32"/>
        </w:rPr>
        <w:t>资料</w:t>
      </w:r>
    </w:p>
    <w:p w14:paraId="12A1B5F5">
      <w:pPr>
        <w:spacing w:line="520" w:lineRule="exact"/>
        <w:ind w:right="-67" w:rightChars="-32" w:firstLine="640" w:firstLineChars="200"/>
        <w:outlineLvl w:val="2"/>
        <w:rPr>
          <w:rFonts w:eastAsia="仿宋_GB2312"/>
          <w:sz w:val="32"/>
          <w:szCs w:val="32"/>
        </w:rPr>
      </w:pPr>
      <w:r>
        <w:rPr>
          <w:rFonts w:hint="eastAsia" w:eastAsia="仿宋_GB2312"/>
          <w:sz w:val="32"/>
          <w:szCs w:val="32"/>
        </w:rPr>
        <w:t>1.产品风险</w:t>
      </w:r>
      <w:bookmarkEnd w:id="7"/>
      <w:r>
        <w:rPr>
          <w:rFonts w:hint="eastAsia" w:eastAsia="仿宋_GB2312"/>
          <w:sz w:val="32"/>
          <w:szCs w:val="32"/>
        </w:rPr>
        <w:t>管理资料</w:t>
      </w:r>
    </w:p>
    <w:p w14:paraId="60CE41A8">
      <w:pPr>
        <w:overflowPunct w:val="0"/>
        <w:autoSpaceDE w:val="0"/>
        <w:autoSpaceDN w:val="0"/>
        <w:adjustRightInd w:val="0"/>
        <w:spacing w:line="520" w:lineRule="exact"/>
        <w:ind w:firstLine="640" w:firstLineChars="200"/>
        <w:rPr>
          <w:rFonts w:eastAsia="仿宋_GB2312"/>
          <w:snapToGrid w:val="0"/>
          <w:color w:val="000000" w:themeColor="text1"/>
          <w:kern w:val="0"/>
          <w:sz w:val="32"/>
          <w:szCs w:val="32"/>
          <w:lang w:val="zh-CN"/>
          <w14:textFill>
            <w14:solidFill>
              <w14:schemeClr w14:val="tx1"/>
            </w14:solidFill>
          </w14:textFill>
        </w:rPr>
      </w:pPr>
      <w:bookmarkStart w:id="8" w:name="_Toc432753650"/>
      <w:r>
        <w:rPr>
          <w:rFonts w:eastAsia="仿宋_GB2312"/>
          <w:snapToGrid w:val="0"/>
          <w:color w:val="000000" w:themeColor="text1"/>
          <w:kern w:val="0"/>
          <w:sz w:val="32"/>
          <w:szCs w:val="32"/>
          <w14:textFill>
            <w14:solidFill>
              <w14:schemeClr w14:val="tx1"/>
            </w14:solidFill>
          </w14:textFill>
        </w:rPr>
        <w:t>注册申请人应依据GB/T 42062《医疗器械风险管理对医疗器械的应用》，</w:t>
      </w:r>
      <w:r>
        <w:rPr>
          <w:rFonts w:hint="eastAsia" w:eastAsia="仿宋_GB2312"/>
          <w:color w:val="000000"/>
          <w:sz w:val="32"/>
          <w:szCs w:val="28"/>
        </w:rPr>
        <w:t>结合产品自身设计特点、临床用途及使用场景，充分识别与安全有关的特征，进行风险分析、评价及控制，</w:t>
      </w:r>
      <w:bookmarkStart w:id="9" w:name="OLE_LINK15"/>
      <w:r>
        <w:rPr>
          <w:rFonts w:hint="eastAsia" w:eastAsia="仿宋_GB2312"/>
          <w:color w:val="000000"/>
          <w:sz w:val="32"/>
          <w:szCs w:val="28"/>
        </w:rPr>
        <w:t>对产品进行全生命周期风险管理，提交风险管理资料</w:t>
      </w:r>
      <w:bookmarkEnd w:id="9"/>
      <w:r>
        <w:rPr>
          <w:rFonts w:eastAsia="仿宋_GB2312"/>
          <w:snapToGrid w:val="0"/>
          <w:color w:val="000000" w:themeColor="text1"/>
          <w:kern w:val="0"/>
          <w:sz w:val="32"/>
          <w:szCs w:val="32"/>
          <w:lang w:val="zh-CN"/>
          <w14:textFill>
            <w14:solidFill>
              <w14:schemeClr w14:val="tx1"/>
            </w14:solidFill>
          </w14:textFill>
        </w:rPr>
        <w:t>。</w:t>
      </w:r>
    </w:p>
    <w:p w14:paraId="63B9B913">
      <w:pPr>
        <w:overflowPunct w:val="0"/>
        <w:autoSpaceDE w:val="0"/>
        <w:autoSpaceDN w:val="0"/>
        <w:adjustRightInd w:val="0"/>
        <w:spacing w:line="520" w:lineRule="exact"/>
        <w:ind w:firstLine="640" w:firstLineChars="200"/>
        <w:rPr>
          <w:rFonts w:eastAsia="仿宋_GB2312"/>
          <w:snapToGrid w:val="0"/>
          <w:color w:val="000000" w:themeColor="text1"/>
          <w:kern w:val="0"/>
          <w:sz w:val="32"/>
          <w:szCs w:val="32"/>
          <w14:textFill>
            <w14:solidFill>
              <w14:schemeClr w14:val="tx1"/>
            </w14:solidFill>
          </w14:textFill>
        </w:rPr>
      </w:pPr>
      <w:r>
        <w:rPr>
          <w:rFonts w:eastAsia="仿宋_GB2312"/>
          <w:snapToGrid w:val="0"/>
          <w:color w:val="000000" w:themeColor="text1"/>
          <w:kern w:val="0"/>
          <w:sz w:val="32"/>
          <w:szCs w:val="32"/>
          <w14:textFill>
            <w14:solidFill>
              <w14:schemeClr w14:val="tx1"/>
            </w14:solidFill>
          </w14:textFill>
        </w:rPr>
        <w:t>申请人应确保各风险的可追溯性，提供各风险及综合剩余风险的可接受准则，确认各风险及综合剩余风险可接受。</w:t>
      </w:r>
    </w:p>
    <w:p w14:paraId="66FDEF15">
      <w:pPr>
        <w:overflowPunct w:val="0"/>
        <w:autoSpaceDE w:val="0"/>
        <w:autoSpaceDN w:val="0"/>
        <w:adjustRightInd w:val="0"/>
        <w:spacing w:line="520" w:lineRule="exact"/>
        <w:ind w:firstLine="640" w:firstLineChars="200"/>
        <w:rPr>
          <w:rFonts w:eastAsia="仿宋_GB2312"/>
          <w:snapToGrid w:val="0"/>
          <w:color w:val="000000" w:themeColor="text1"/>
          <w:kern w:val="0"/>
          <w:sz w:val="32"/>
          <w:szCs w:val="32"/>
          <w14:textFill>
            <w14:solidFill>
              <w14:schemeClr w14:val="tx1"/>
            </w14:solidFill>
          </w14:textFill>
        </w:rPr>
      </w:pPr>
      <w:r>
        <w:rPr>
          <w:rFonts w:hint="eastAsia" w:eastAsia="仿宋_GB2312"/>
          <w:snapToGrid w:val="0"/>
          <w:color w:val="000000" w:themeColor="text1"/>
          <w:kern w:val="0"/>
          <w:sz w:val="32"/>
          <w:szCs w:val="32"/>
          <w14:textFill>
            <w14:solidFill>
              <w14:schemeClr w14:val="tx1"/>
            </w14:solidFill>
          </w14:textFill>
        </w:rPr>
        <w:t>眼震图</w:t>
      </w:r>
      <w:r>
        <w:rPr>
          <w:rFonts w:eastAsia="仿宋_GB2312"/>
          <w:snapToGrid w:val="0"/>
          <w:color w:val="000000" w:themeColor="text1"/>
          <w:kern w:val="0"/>
          <w:sz w:val="32"/>
          <w:szCs w:val="32"/>
          <w14:textFill>
            <w14:solidFill>
              <w14:schemeClr w14:val="tx1"/>
            </w14:solidFill>
          </w14:textFill>
        </w:rPr>
        <w:t>设备应至少考虑</w:t>
      </w:r>
      <w:r>
        <w:rPr>
          <w:rFonts w:hint="eastAsia" w:eastAsia="仿宋_GB2312"/>
          <w:snapToGrid w:val="0"/>
          <w:color w:val="000000" w:themeColor="text1"/>
          <w:kern w:val="0"/>
          <w:sz w:val="32"/>
          <w:szCs w:val="32"/>
          <w14:textFill>
            <w14:solidFill>
              <w14:schemeClr w14:val="tx1"/>
            </w14:solidFill>
          </w14:textFill>
        </w:rPr>
        <w:t>：</w:t>
      </w:r>
    </w:p>
    <w:p w14:paraId="36C9E906">
      <w:pPr>
        <w:overflowPunct w:val="0"/>
        <w:autoSpaceDE w:val="0"/>
        <w:autoSpaceDN w:val="0"/>
        <w:adjustRightInd w:val="0"/>
        <w:spacing w:line="520" w:lineRule="exact"/>
        <w:ind w:firstLine="640" w:firstLineChars="200"/>
        <w:rPr>
          <w:rFonts w:eastAsia="仿宋_GB2312"/>
          <w:snapToGrid w:val="0"/>
          <w:color w:val="000000" w:themeColor="text1"/>
          <w:kern w:val="0"/>
          <w:sz w:val="32"/>
          <w:szCs w:val="32"/>
          <w14:textFill>
            <w14:solidFill>
              <w14:schemeClr w14:val="tx1"/>
            </w14:solidFill>
          </w14:textFill>
        </w:rPr>
      </w:pPr>
      <w:r>
        <w:rPr>
          <w:rFonts w:hint="eastAsia" w:eastAsia="仿宋_GB2312"/>
          <w:snapToGrid w:val="0"/>
          <w:color w:val="000000" w:themeColor="text1"/>
          <w:kern w:val="0"/>
          <w:sz w:val="32"/>
          <w:szCs w:val="32"/>
          <w14:textFill>
            <w14:solidFill>
              <w14:schemeClr w14:val="tx1"/>
            </w14:solidFill>
          </w14:textFill>
        </w:rPr>
        <w:t>1.1能量</w:t>
      </w:r>
      <w:r>
        <w:rPr>
          <w:rFonts w:eastAsia="仿宋_GB2312"/>
          <w:snapToGrid w:val="0"/>
          <w:color w:val="000000" w:themeColor="text1"/>
          <w:kern w:val="0"/>
          <w:sz w:val="32"/>
          <w:szCs w:val="32"/>
          <w14:textFill>
            <w14:solidFill>
              <w14:schemeClr w14:val="tx1"/>
            </w14:solidFill>
          </w14:textFill>
        </w:rPr>
        <w:t>危害</w:t>
      </w:r>
      <w:r>
        <w:rPr>
          <w:rFonts w:hint="eastAsia" w:eastAsia="仿宋_GB2312"/>
          <w:snapToGrid w:val="0"/>
          <w:color w:val="000000" w:themeColor="text1"/>
          <w:kern w:val="0"/>
          <w:sz w:val="32"/>
          <w:szCs w:val="32"/>
          <w14:textFill>
            <w14:solidFill>
              <w14:schemeClr w14:val="tx1"/>
            </w14:solidFill>
          </w14:textFill>
        </w:rPr>
        <w:t>（</w:t>
      </w:r>
      <w:r>
        <w:rPr>
          <w:rFonts w:eastAsia="仿宋_GB2312"/>
          <w:snapToGrid w:val="0"/>
          <w:color w:val="000000" w:themeColor="text1"/>
          <w:kern w:val="0"/>
          <w:sz w:val="32"/>
          <w:szCs w:val="32"/>
          <w14:textFill>
            <w14:solidFill>
              <w14:schemeClr w14:val="tx1"/>
            </w14:solidFill>
          </w14:textFill>
        </w:rPr>
        <w:t>电气</w:t>
      </w:r>
      <w:bookmarkStart w:id="10" w:name="OLE_LINK6"/>
      <w:r>
        <w:rPr>
          <w:rFonts w:eastAsia="仿宋_GB2312"/>
          <w:snapToGrid w:val="0"/>
          <w:color w:val="000000" w:themeColor="text1"/>
          <w:kern w:val="0"/>
          <w:sz w:val="32"/>
          <w:szCs w:val="32"/>
          <w14:textFill>
            <w14:solidFill>
              <w14:schemeClr w14:val="tx1"/>
            </w14:solidFill>
          </w14:textFill>
        </w:rPr>
        <w:t>安全防护失效、电磁兼容防护失效、非预期的辐射危害</w:t>
      </w:r>
      <w:r>
        <w:rPr>
          <w:rFonts w:hint="eastAsia" w:eastAsia="仿宋_GB2312"/>
          <w:snapToGrid w:val="0"/>
          <w:color w:val="000000" w:themeColor="text1"/>
          <w:kern w:val="0"/>
          <w:sz w:val="32"/>
          <w:szCs w:val="32"/>
          <w14:textFill>
            <w14:solidFill>
              <w14:schemeClr w14:val="tx1"/>
            </w14:solidFill>
          </w14:textFill>
        </w:rPr>
        <w:t>）</w:t>
      </w:r>
      <w:bookmarkEnd w:id="10"/>
      <w:r>
        <w:rPr>
          <w:rFonts w:hint="eastAsia" w:eastAsia="仿宋_GB2312"/>
          <w:snapToGrid w:val="0"/>
          <w:color w:val="000000" w:themeColor="text1"/>
          <w:kern w:val="0"/>
          <w:sz w:val="32"/>
          <w:szCs w:val="32"/>
          <w14:textFill>
            <w14:solidFill>
              <w14:schemeClr w14:val="tx1"/>
            </w14:solidFill>
          </w14:textFill>
        </w:rPr>
        <w:t>；</w:t>
      </w:r>
    </w:p>
    <w:p w14:paraId="7AFD5056">
      <w:pPr>
        <w:overflowPunct w:val="0"/>
        <w:autoSpaceDE w:val="0"/>
        <w:autoSpaceDN w:val="0"/>
        <w:adjustRightInd w:val="0"/>
        <w:spacing w:line="520" w:lineRule="exact"/>
        <w:ind w:firstLine="640" w:firstLineChars="200"/>
        <w:rPr>
          <w:rFonts w:eastAsia="仿宋_GB2312"/>
          <w:snapToGrid w:val="0"/>
          <w:color w:val="000000" w:themeColor="text1"/>
          <w:kern w:val="0"/>
          <w:sz w:val="32"/>
          <w:szCs w:val="32"/>
          <w14:textFill>
            <w14:solidFill>
              <w14:schemeClr w14:val="tx1"/>
            </w14:solidFill>
          </w14:textFill>
        </w:rPr>
      </w:pPr>
      <w:r>
        <w:rPr>
          <w:rFonts w:hint="eastAsia" w:eastAsia="仿宋_GB2312"/>
          <w:snapToGrid w:val="0"/>
          <w:color w:val="000000" w:themeColor="text1"/>
          <w:kern w:val="0"/>
          <w:sz w:val="32"/>
          <w:szCs w:val="32"/>
          <w14:textFill>
            <w14:solidFill>
              <w14:schemeClr w14:val="tx1"/>
            </w14:solidFill>
          </w14:textFill>
        </w:rPr>
        <w:t>1.2生物学危害（皮肤过敏、消毒不合格引起感染）；</w:t>
      </w:r>
    </w:p>
    <w:p w14:paraId="62FFE62E">
      <w:pPr>
        <w:overflowPunct w:val="0"/>
        <w:autoSpaceDE w:val="0"/>
        <w:autoSpaceDN w:val="0"/>
        <w:adjustRightInd w:val="0"/>
        <w:spacing w:line="520" w:lineRule="exact"/>
        <w:ind w:firstLine="640" w:firstLineChars="200"/>
        <w:rPr>
          <w:rFonts w:eastAsia="仿宋_GB2312"/>
          <w:snapToGrid w:val="0"/>
          <w:color w:val="000000" w:themeColor="text1"/>
          <w:kern w:val="0"/>
          <w:sz w:val="32"/>
          <w:szCs w:val="32"/>
          <w14:textFill>
            <w14:solidFill>
              <w14:schemeClr w14:val="tx1"/>
            </w14:solidFill>
          </w14:textFill>
        </w:rPr>
      </w:pPr>
      <w:r>
        <w:rPr>
          <w:rFonts w:hint="eastAsia" w:eastAsia="仿宋_GB2312"/>
          <w:snapToGrid w:val="0"/>
          <w:color w:val="000000" w:themeColor="text1"/>
          <w:kern w:val="0"/>
          <w:sz w:val="32"/>
          <w:szCs w:val="32"/>
          <w14:textFill>
            <w14:solidFill>
              <w14:schemeClr w14:val="tx1"/>
            </w14:solidFill>
          </w14:textFill>
        </w:rPr>
        <w:t>1.3环境危害（</w:t>
      </w:r>
      <w:r>
        <w:rPr>
          <w:rFonts w:eastAsia="仿宋_GB2312"/>
          <w:snapToGrid w:val="0"/>
          <w:color w:val="000000" w:themeColor="text1"/>
          <w:kern w:val="0"/>
          <w:sz w:val="32"/>
          <w:szCs w:val="32"/>
          <w14:textFill>
            <w14:solidFill>
              <w14:schemeClr w14:val="tx1"/>
            </w14:solidFill>
          </w14:textFill>
        </w:rPr>
        <w:t>工作或存储环境超范围</w:t>
      </w:r>
      <w:r>
        <w:rPr>
          <w:rFonts w:hint="eastAsia" w:eastAsia="仿宋_GB2312"/>
          <w:snapToGrid w:val="0"/>
          <w:color w:val="000000" w:themeColor="text1"/>
          <w:kern w:val="0"/>
          <w:sz w:val="32"/>
          <w:szCs w:val="32"/>
          <w14:textFill>
            <w14:solidFill>
              <w14:schemeClr w14:val="tx1"/>
            </w14:solidFill>
          </w14:textFill>
        </w:rPr>
        <w:t>、</w:t>
      </w:r>
      <w:r>
        <w:rPr>
          <w:rFonts w:eastAsia="仿宋_GB2312"/>
          <w:snapToGrid w:val="0"/>
          <w:color w:val="000000" w:themeColor="text1"/>
          <w:kern w:val="0"/>
          <w:sz w:val="32"/>
          <w:szCs w:val="32"/>
          <w14:textFill>
            <w14:solidFill>
              <w14:schemeClr w14:val="tx1"/>
            </w14:solidFill>
          </w14:textFill>
        </w:rPr>
        <w:t>电池漏液</w:t>
      </w:r>
      <w:r>
        <w:rPr>
          <w:rFonts w:hint="eastAsia" w:eastAsia="仿宋_GB2312"/>
          <w:snapToGrid w:val="0"/>
          <w:color w:val="000000" w:themeColor="text1"/>
          <w:kern w:val="0"/>
          <w:sz w:val="32"/>
          <w:szCs w:val="32"/>
          <w14:textFill>
            <w14:solidFill>
              <w14:schemeClr w14:val="tx1"/>
            </w14:solidFill>
          </w14:textFill>
        </w:rPr>
        <w:t>、</w:t>
      </w:r>
      <w:r>
        <w:rPr>
          <w:rFonts w:eastAsia="仿宋_GB2312"/>
          <w:snapToGrid w:val="0"/>
          <w:color w:val="000000" w:themeColor="text1"/>
          <w:kern w:val="0"/>
          <w:sz w:val="32"/>
          <w:szCs w:val="32"/>
          <w14:textFill>
            <w14:solidFill>
              <w14:schemeClr w14:val="tx1"/>
            </w14:solidFill>
          </w14:textFill>
        </w:rPr>
        <w:t>电磁</w:t>
      </w:r>
      <w:r>
        <w:rPr>
          <w:rFonts w:hint="eastAsia" w:eastAsia="仿宋_GB2312"/>
          <w:snapToGrid w:val="0"/>
          <w:color w:val="000000" w:themeColor="text1"/>
          <w:kern w:val="0"/>
          <w:sz w:val="32"/>
          <w:szCs w:val="32"/>
          <w14:textFill>
            <w14:solidFill>
              <w14:schemeClr w14:val="tx1"/>
            </w14:solidFill>
          </w14:textFill>
        </w:rPr>
        <w:t>干扰）；</w:t>
      </w:r>
    </w:p>
    <w:p w14:paraId="0E2E6521">
      <w:pPr>
        <w:overflowPunct w:val="0"/>
        <w:autoSpaceDE w:val="0"/>
        <w:autoSpaceDN w:val="0"/>
        <w:adjustRightInd w:val="0"/>
        <w:spacing w:line="520" w:lineRule="exact"/>
        <w:ind w:firstLine="640" w:firstLineChars="200"/>
        <w:rPr>
          <w:rFonts w:eastAsia="仿宋_GB2312"/>
          <w:snapToGrid w:val="0"/>
          <w:color w:val="000000" w:themeColor="text1"/>
          <w:kern w:val="0"/>
          <w:sz w:val="32"/>
          <w:szCs w:val="32"/>
          <w14:textFill>
            <w14:solidFill>
              <w14:schemeClr w14:val="tx1"/>
            </w14:solidFill>
          </w14:textFill>
        </w:rPr>
      </w:pPr>
      <w:r>
        <w:rPr>
          <w:rFonts w:hint="eastAsia" w:eastAsia="仿宋_GB2312"/>
          <w:snapToGrid w:val="0"/>
          <w:color w:val="000000" w:themeColor="text1"/>
          <w:kern w:val="0"/>
          <w:sz w:val="32"/>
          <w:szCs w:val="32"/>
          <w14:textFill>
            <w14:solidFill>
              <w14:schemeClr w14:val="tx1"/>
            </w14:solidFill>
          </w14:textFill>
        </w:rPr>
        <w:t>1.4</w:t>
      </w:r>
      <w:r>
        <w:rPr>
          <w:rFonts w:eastAsia="仿宋_GB2312"/>
          <w:snapToGrid w:val="0"/>
          <w:color w:val="000000" w:themeColor="text1"/>
          <w:kern w:val="0"/>
          <w:sz w:val="32"/>
          <w:szCs w:val="32"/>
          <w14:textFill>
            <w14:solidFill>
              <w14:schemeClr w14:val="tx1"/>
            </w14:solidFill>
          </w14:textFill>
        </w:rPr>
        <w:t>使用中危害</w:t>
      </w:r>
      <w:r>
        <w:rPr>
          <w:rFonts w:hint="eastAsia" w:eastAsia="仿宋_GB2312"/>
          <w:snapToGrid w:val="0"/>
          <w:color w:val="000000" w:themeColor="text1"/>
          <w:kern w:val="0"/>
          <w:sz w:val="32"/>
          <w:szCs w:val="32"/>
          <w14:textFill>
            <w14:solidFill>
              <w14:schemeClr w14:val="tx1"/>
            </w14:solidFill>
          </w14:textFill>
        </w:rPr>
        <w:t>（软件运行错误，如数据读取出错等、产品超出使用寿命、电池电量不足（如适用）、清洁消毒不当、一次性附件多次使用（如适用）、未使用制造商规定的附件、电极佩戴不合规范（如适用）、患者误操作）；</w:t>
      </w:r>
    </w:p>
    <w:p w14:paraId="24EA647A">
      <w:pPr>
        <w:overflowPunct w:val="0"/>
        <w:autoSpaceDE w:val="0"/>
        <w:autoSpaceDN w:val="0"/>
        <w:adjustRightInd w:val="0"/>
        <w:spacing w:line="520" w:lineRule="exact"/>
        <w:ind w:firstLine="640" w:firstLineChars="200"/>
        <w:rPr>
          <w:rFonts w:eastAsia="仿宋_GB2312"/>
          <w:snapToGrid w:val="0"/>
          <w:color w:val="000000" w:themeColor="text1"/>
          <w:kern w:val="0"/>
          <w:sz w:val="32"/>
          <w:szCs w:val="32"/>
          <w14:textFill>
            <w14:solidFill>
              <w14:schemeClr w14:val="tx1"/>
            </w14:solidFill>
          </w14:textFill>
        </w:rPr>
      </w:pPr>
      <w:r>
        <w:rPr>
          <w:rFonts w:hint="eastAsia" w:eastAsia="仿宋_GB2312"/>
          <w:snapToGrid w:val="0"/>
          <w:color w:val="000000" w:themeColor="text1"/>
          <w:kern w:val="0"/>
          <w:sz w:val="32"/>
          <w:szCs w:val="32"/>
          <w14:textFill>
            <w14:solidFill>
              <w14:schemeClr w14:val="tx1"/>
            </w14:solidFill>
          </w14:textFill>
        </w:rPr>
        <w:t>1.5包装或运输危害（违背包装或运输过程中相关的设备规格文档）；</w:t>
      </w:r>
    </w:p>
    <w:p w14:paraId="4F1D6CB8">
      <w:pPr>
        <w:overflowPunct w:val="0"/>
        <w:autoSpaceDE w:val="0"/>
        <w:autoSpaceDN w:val="0"/>
        <w:adjustRightInd w:val="0"/>
        <w:spacing w:line="520" w:lineRule="exact"/>
        <w:ind w:firstLine="640" w:firstLineChars="200"/>
        <w:rPr>
          <w:rFonts w:eastAsia="仿宋_GB2312"/>
          <w:snapToGrid w:val="0"/>
          <w:color w:val="000000" w:themeColor="text1"/>
          <w:kern w:val="0"/>
          <w:sz w:val="32"/>
          <w:szCs w:val="32"/>
          <w14:textFill>
            <w14:solidFill>
              <w14:schemeClr w14:val="tx1"/>
            </w14:solidFill>
          </w14:textFill>
        </w:rPr>
      </w:pPr>
      <w:r>
        <w:rPr>
          <w:rFonts w:hint="eastAsia" w:eastAsia="仿宋_GB2312"/>
          <w:snapToGrid w:val="0"/>
          <w:color w:val="000000" w:themeColor="text1"/>
          <w:kern w:val="0"/>
          <w:sz w:val="32"/>
          <w:szCs w:val="32"/>
          <w14:textFill>
            <w14:solidFill>
              <w14:schemeClr w14:val="tx1"/>
            </w14:solidFill>
          </w14:textFill>
        </w:rPr>
        <w:t>1.6</w:t>
      </w:r>
      <w:r>
        <w:rPr>
          <w:rFonts w:eastAsia="仿宋_GB2312"/>
          <w:snapToGrid w:val="0"/>
          <w:color w:val="000000" w:themeColor="text1"/>
          <w:kern w:val="0"/>
          <w:sz w:val="32"/>
          <w:szCs w:val="32"/>
          <w14:textFill>
            <w14:solidFill>
              <w14:schemeClr w14:val="tx1"/>
            </w14:solidFill>
          </w14:textFill>
        </w:rPr>
        <w:t>产品标记和说明书危害（说明书内容、标识、标志不充分</w:t>
      </w:r>
      <w:r>
        <w:rPr>
          <w:rFonts w:hint="eastAsia" w:eastAsia="仿宋_GB2312"/>
          <w:snapToGrid w:val="0"/>
          <w:color w:val="000000" w:themeColor="text1"/>
          <w:kern w:val="0"/>
          <w:sz w:val="32"/>
          <w:szCs w:val="32"/>
          <w14:textFill>
            <w14:solidFill>
              <w14:schemeClr w14:val="tx1"/>
            </w14:solidFill>
          </w14:textFill>
        </w:rPr>
        <w:t>不规范、</w:t>
      </w:r>
      <w:r>
        <w:rPr>
          <w:rFonts w:eastAsia="仿宋_GB2312"/>
          <w:snapToGrid w:val="0"/>
          <w:color w:val="000000" w:themeColor="text1"/>
          <w:kern w:val="0"/>
          <w:sz w:val="32"/>
          <w:szCs w:val="32"/>
          <w14:textFill>
            <w14:solidFill>
              <w14:schemeClr w14:val="tx1"/>
            </w14:solidFill>
          </w14:textFill>
        </w:rPr>
        <w:t>操作方法</w:t>
      </w:r>
      <w:r>
        <w:rPr>
          <w:rFonts w:hint="eastAsia" w:eastAsia="仿宋_GB2312"/>
          <w:snapToGrid w:val="0"/>
          <w:color w:val="000000" w:themeColor="text1"/>
          <w:kern w:val="0"/>
          <w:sz w:val="32"/>
          <w:szCs w:val="32"/>
          <w14:textFill>
            <w14:solidFill>
              <w14:schemeClr w14:val="tx1"/>
            </w14:solidFill>
          </w14:textFill>
        </w:rPr>
        <w:t>（含软件功能）</w:t>
      </w:r>
      <w:r>
        <w:rPr>
          <w:rFonts w:eastAsia="仿宋_GB2312"/>
          <w:snapToGrid w:val="0"/>
          <w:color w:val="000000" w:themeColor="text1"/>
          <w:kern w:val="0"/>
          <w:sz w:val="32"/>
          <w:szCs w:val="32"/>
          <w14:textFill>
            <w14:solidFill>
              <w14:schemeClr w14:val="tx1"/>
            </w14:solidFill>
          </w14:textFill>
        </w:rPr>
        <w:t>描述不清楚</w:t>
      </w:r>
      <w:r>
        <w:rPr>
          <w:rFonts w:hint="eastAsia" w:eastAsia="仿宋_GB2312"/>
          <w:snapToGrid w:val="0"/>
          <w:color w:val="000000" w:themeColor="text1"/>
          <w:kern w:val="0"/>
          <w:sz w:val="32"/>
          <w:szCs w:val="32"/>
          <w14:textFill>
            <w14:solidFill>
              <w14:schemeClr w14:val="tx1"/>
            </w14:solidFill>
          </w14:textFill>
        </w:rPr>
        <w:t>、</w:t>
      </w:r>
      <w:r>
        <w:rPr>
          <w:rFonts w:eastAsia="仿宋_GB2312"/>
          <w:snapToGrid w:val="0"/>
          <w:color w:val="000000" w:themeColor="text1"/>
          <w:kern w:val="0"/>
          <w:sz w:val="32"/>
          <w:szCs w:val="32"/>
          <w14:textFill>
            <w14:solidFill>
              <w14:schemeClr w14:val="tx1"/>
            </w14:solidFill>
          </w14:textFill>
        </w:rPr>
        <w:t>清洁消毒方法描述不明确</w:t>
      </w:r>
      <w:r>
        <w:rPr>
          <w:rFonts w:hint="eastAsia" w:eastAsia="仿宋_GB2312"/>
          <w:snapToGrid w:val="0"/>
          <w:color w:val="000000" w:themeColor="text1"/>
          <w:kern w:val="0"/>
          <w:sz w:val="32"/>
          <w:szCs w:val="32"/>
          <w14:textFill>
            <w14:solidFill>
              <w14:schemeClr w14:val="tx1"/>
            </w14:solidFill>
          </w14:textFill>
        </w:rPr>
        <w:t>、未规定一次性使用电极等消耗性材料的采购要求、</w:t>
      </w:r>
      <w:r>
        <w:rPr>
          <w:rFonts w:eastAsia="仿宋_GB2312"/>
          <w:snapToGrid w:val="0"/>
          <w:color w:val="000000" w:themeColor="text1"/>
          <w:kern w:val="0"/>
          <w:sz w:val="32"/>
          <w:szCs w:val="32"/>
          <w14:textFill>
            <w14:solidFill>
              <w14:schemeClr w14:val="tx1"/>
            </w14:solidFill>
          </w14:textFill>
        </w:rPr>
        <w:t>警告或注意事项不明确</w:t>
      </w:r>
      <w:r>
        <w:rPr>
          <w:rFonts w:hint="eastAsia" w:eastAsia="仿宋_GB2312"/>
          <w:snapToGrid w:val="0"/>
          <w:color w:val="000000" w:themeColor="text1"/>
          <w:kern w:val="0"/>
          <w:sz w:val="32"/>
          <w:szCs w:val="32"/>
          <w14:textFill>
            <w14:solidFill>
              <w14:schemeClr w14:val="tx1"/>
            </w14:solidFill>
          </w14:textFill>
        </w:rPr>
        <w:t>、</w:t>
      </w:r>
      <w:r>
        <w:rPr>
          <w:rFonts w:eastAsia="仿宋_GB2312"/>
          <w:snapToGrid w:val="0"/>
          <w:color w:val="000000" w:themeColor="text1"/>
          <w:kern w:val="0"/>
          <w:sz w:val="32"/>
          <w:szCs w:val="32"/>
          <w14:textFill>
            <w14:solidFill>
              <w14:schemeClr w14:val="tx1"/>
            </w14:solidFill>
          </w14:textFill>
        </w:rPr>
        <w:t>未规定对附件的要求）等相关风险</w:t>
      </w:r>
      <w:r>
        <w:rPr>
          <w:rFonts w:hint="eastAsia" w:eastAsia="仿宋_GB2312"/>
          <w:snapToGrid w:val="0"/>
          <w:color w:val="000000" w:themeColor="text1"/>
          <w:kern w:val="0"/>
          <w:sz w:val="32"/>
          <w:szCs w:val="32"/>
          <w14:textFill>
            <w14:solidFill>
              <w14:schemeClr w14:val="tx1"/>
            </w14:solidFill>
          </w14:textFill>
        </w:rPr>
        <w:t>。</w:t>
      </w:r>
    </w:p>
    <w:p w14:paraId="36E0A4DD">
      <w:pPr>
        <w:overflowPunct w:val="0"/>
        <w:autoSpaceDE w:val="0"/>
        <w:autoSpaceDN w:val="0"/>
        <w:adjustRightInd w:val="0"/>
        <w:spacing w:line="520" w:lineRule="exact"/>
        <w:ind w:firstLine="640" w:firstLineChars="200"/>
        <w:rPr>
          <w:rFonts w:eastAsia="仿宋_GB2312"/>
          <w:bCs/>
          <w:sz w:val="28"/>
          <w:szCs w:val="28"/>
        </w:rPr>
      </w:pPr>
      <w:r>
        <w:rPr>
          <w:rFonts w:eastAsia="仿宋_GB2312"/>
          <w:snapToGrid w:val="0"/>
          <w:color w:val="000000" w:themeColor="text1"/>
          <w:kern w:val="0"/>
          <w:sz w:val="32"/>
          <w:szCs w:val="32"/>
          <w14:textFill>
            <w14:solidFill>
              <w14:schemeClr w14:val="tx1"/>
            </w14:solidFill>
          </w14:textFill>
        </w:rPr>
        <w:t>上述风险类型应依据现有经验对常规产品、常规性能进行举例。风险分析过程中需考虑正常使用条件下和非正常使用条件下合理的可预见的情况。</w:t>
      </w:r>
    </w:p>
    <w:p w14:paraId="632179D7">
      <w:pPr>
        <w:spacing w:line="520" w:lineRule="exact"/>
        <w:ind w:firstLine="636" w:firstLineChars="200"/>
        <w:rPr>
          <w:rFonts w:eastAsia="仿宋_GB2312"/>
          <w:color w:val="000000"/>
          <w:spacing w:val="-1"/>
          <w:sz w:val="32"/>
          <w:szCs w:val="32"/>
        </w:rPr>
      </w:pPr>
      <w:r>
        <w:rPr>
          <w:rFonts w:hint="eastAsia" w:eastAsia="仿宋_GB2312"/>
          <w:color w:val="000000"/>
          <w:spacing w:val="-1"/>
          <w:sz w:val="32"/>
          <w:szCs w:val="32"/>
        </w:rPr>
        <w:t>2.医疗器械安全和性能基本原则清单</w:t>
      </w:r>
    </w:p>
    <w:p w14:paraId="164C18DB">
      <w:pPr>
        <w:spacing w:line="520" w:lineRule="exact"/>
        <w:ind w:firstLine="636" w:firstLineChars="200"/>
        <w:rPr>
          <w:rFonts w:eastAsia="仿宋_GB2312"/>
          <w:color w:val="000000"/>
          <w:spacing w:val="-1"/>
          <w:sz w:val="32"/>
          <w:szCs w:val="32"/>
        </w:rPr>
      </w:pPr>
      <w:r>
        <w:rPr>
          <w:rFonts w:hint="eastAsia" w:eastAsia="仿宋_GB2312"/>
          <w:color w:val="000000"/>
          <w:spacing w:val="-1"/>
          <w:sz w:val="32"/>
          <w:szCs w:val="32"/>
        </w:rPr>
        <w:t>注册申请人可参考《医疗器械安全和性能基本原则符合性技术指南》编写该清单。</w:t>
      </w:r>
      <w:r>
        <w:rPr>
          <w:rFonts w:eastAsia="仿宋_GB2312"/>
          <w:snapToGrid w:val="0"/>
          <w:color w:val="000000" w:themeColor="text1"/>
          <w:kern w:val="0"/>
          <w:sz w:val="32"/>
          <w:szCs w:val="32"/>
          <w:lang w:val="zh-CN"/>
          <w14:textFill>
            <w14:solidFill>
              <w14:schemeClr w14:val="tx1"/>
            </w14:solidFill>
          </w14:textFill>
        </w:rPr>
        <w:t>根据《医疗器械安全和性能基本原则清单》中的各项要求明确适用性。对于适用项要求，应逐项说明为符合要求所采用的方法及其证明符合性文件；对于不适用项要求，应当逐条说明不适用的理由。关于证明各项要求符合性的文件，如果包含在产品注册申报资料中，应当说明其在申报资料中的具体位置；对于未包含在产品注册申报资料的文件，应当注明该证据文件名称及其在质量管理体系文件中的编号备查。</w:t>
      </w:r>
    </w:p>
    <w:p w14:paraId="006244AE">
      <w:pPr>
        <w:spacing w:line="520" w:lineRule="exact"/>
        <w:ind w:right="-67" w:rightChars="-32" w:firstLine="640" w:firstLineChars="200"/>
        <w:outlineLvl w:val="2"/>
        <w:rPr>
          <w:rFonts w:eastAsia="仿宋_GB2312"/>
          <w:sz w:val="32"/>
          <w:szCs w:val="32"/>
        </w:rPr>
      </w:pPr>
      <w:r>
        <w:rPr>
          <w:rFonts w:hint="eastAsia" w:eastAsia="仿宋_GB2312"/>
          <w:sz w:val="32"/>
          <w:szCs w:val="32"/>
        </w:rPr>
        <w:t>3.产品技术要求</w:t>
      </w:r>
      <w:bookmarkEnd w:id="8"/>
      <w:r>
        <w:rPr>
          <w:rFonts w:hint="eastAsia" w:eastAsia="仿宋_GB2312"/>
          <w:sz w:val="32"/>
          <w:szCs w:val="32"/>
        </w:rPr>
        <w:t>及</w:t>
      </w:r>
      <w:r>
        <w:rPr>
          <w:rFonts w:eastAsia="仿宋_GB2312"/>
          <w:sz w:val="32"/>
          <w:szCs w:val="32"/>
        </w:rPr>
        <w:t>检</w:t>
      </w:r>
      <w:r>
        <w:rPr>
          <w:rFonts w:hint="eastAsia" w:eastAsia="仿宋_GB2312"/>
          <w:sz w:val="32"/>
          <w:szCs w:val="32"/>
        </w:rPr>
        <w:t>验</w:t>
      </w:r>
      <w:r>
        <w:rPr>
          <w:rFonts w:eastAsia="仿宋_GB2312"/>
          <w:sz w:val="32"/>
          <w:szCs w:val="32"/>
        </w:rPr>
        <w:t>报告</w:t>
      </w:r>
    </w:p>
    <w:p w14:paraId="54F186C0">
      <w:pPr>
        <w:overflowPunct w:val="0"/>
        <w:autoSpaceDE w:val="0"/>
        <w:autoSpaceDN w:val="0"/>
        <w:spacing w:line="520" w:lineRule="exact"/>
        <w:ind w:firstLine="640" w:firstLineChars="200"/>
        <w:outlineLvl w:val="3"/>
        <w:rPr>
          <w:rFonts w:eastAsia="仿宋_GB2312"/>
          <w:snapToGrid w:val="0"/>
          <w:kern w:val="0"/>
          <w:sz w:val="32"/>
          <w:szCs w:val="32"/>
        </w:rPr>
      </w:pPr>
      <w:r>
        <w:rPr>
          <w:rFonts w:hint="eastAsia" w:eastAsia="仿宋_GB2312"/>
          <w:snapToGrid w:val="0"/>
          <w:kern w:val="0"/>
          <w:sz w:val="32"/>
          <w:szCs w:val="32"/>
        </w:rPr>
        <w:t>3.1</w:t>
      </w:r>
      <w:r>
        <w:rPr>
          <w:rFonts w:eastAsia="仿宋_GB2312"/>
          <w:snapToGrid w:val="0"/>
          <w:kern w:val="0"/>
          <w:sz w:val="32"/>
          <w:szCs w:val="32"/>
        </w:rPr>
        <w:t>产品技术要求</w:t>
      </w:r>
    </w:p>
    <w:p w14:paraId="50CB4ECA">
      <w:pPr>
        <w:overflowPunct w:val="0"/>
        <w:autoSpaceDE w:val="0"/>
        <w:autoSpaceDN w:val="0"/>
        <w:spacing w:line="520" w:lineRule="exact"/>
        <w:ind w:firstLine="636" w:firstLineChars="200"/>
        <w:rPr>
          <w:rFonts w:eastAsia="仿宋_GB2312"/>
          <w:snapToGrid w:val="0"/>
          <w:kern w:val="0"/>
          <w:sz w:val="32"/>
          <w:szCs w:val="32"/>
        </w:rPr>
      </w:pPr>
      <w:r>
        <w:rPr>
          <w:rFonts w:eastAsia="仿宋_GB2312"/>
          <w:color w:val="000000" w:themeColor="text1"/>
          <w:spacing w:val="-1"/>
          <w:sz w:val="32"/>
          <w:szCs w:val="32"/>
          <w14:textFill>
            <w14:solidFill>
              <w14:schemeClr w14:val="tx1"/>
            </w14:solidFill>
          </w14:textFill>
        </w:rPr>
        <w:t>注册申请人应按照《医疗器械产品技术要求编写指导原则》编写产品技术要求。并根据自身产品的技术特点制定产品技术要求中的性能指标和测试方法。</w:t>
      </w:r>
    </w:p>
    <w:p w14:paraId="229A77D9">
      <w:pPr>
        <w:spacing w:line="520" w:lineRule="exact"/>
        <w:ind w:firstLine="636" w:firstLineChars="200"/>
        <w:rPr>
          <w:rFonts w:eastAsia="仿宋_GB2312"/>
          <w:color w:val="000000" w:themeColor="text1"/>
          <w:spacing w:val="-1"/>
          <w:sz w:val="32"/>
          <w:szCs w:val="32"/>
          <w14:textFill>
            <w14:solidFill>
              <w14:schemeClr w14:val="tx1"/>
            </w14:solidFill>
          </w14:textFill>
        </w:rPr>
      </w:pPr>
      <w:r>
        <w:rPr>
          <w:rFonts w:eastAsia="仿宋_GB2312"/>
          <w:color w:val="000000"/>
          <w:spacing w:val="-1"/>
          <w:sz w:val="32"/>
          <w:szCs w:val="32"/>
        </w:rPr>
        <w:t>若含有软件，按照《医疗器械软件注册审查指导原则（2022修订版）》的要求，明确软件名称、型号规格、发布版本、软件完整版本命名规则，明确字段的位数、范围、含义，涵盖软件更新全部类型</w:t>
      </w:r>
      <w:r>
        <w:rPr>
          <w:rFonts w:hint="eastAsia" w:eastAsia="仿宋_GB2312"/>
          <w:color w:val="000000"/>
          <w:spacing w:val="-1"/>
          <w:sz w:val="32"/>
          <w:szCs w:val="32"/>
        </w:rPr>
        <w:t>，</w:t>
      </w:r>
      <w:r>
        <w:rPr>
          <w:rFonts w:eastAsia="仿宋_GB2312"/>
          <w:color w:val="000000" w:themeColor="text1"/>
          <w:spacing w:val="-1"/>
          <w:sz w:val="32"/>
          <w:szCs w:val="32"/>
          <w14:textFill>
            <w14:solidFill>
              <w14:schemeClr w14:val="tx1"/>
            </w14:solidFill>
          </w14:textFill>
        </w:rPr>
        <w:t>其中软件版本命名规则需与软件研究资料保持一致。</w:t>
      </w:r>
      <w:r>
        <w:rPr>
          <w:rFonts w:eastAsia="仿宋_GB2312"/>
          <w:color w:val="000000"/>
          <w:spacing w:val="-1"/>
          <w:sz w:val="32"/>
          <w:szCs w:val="32"/>
        </w:rPr>
        <w:t>软件版本命名需能区分重大软件更新和轻微软件更新。</w:t>
      </w:r>
    </w:p>
    <w:p w14:paraId="1AF478DB">
      <w:pPr>
        <w:spacing w:line="520" w:lineRule="exact"/>
        <w:ind w:firstLine="640"/>
        <w:rPr>
          <w:rFonts w:eastAsia="仿宋_GB2312"/>
          <w:bCs/>
          <w:color w:val="000000" w:themeColor="text1"/>
          <w:sz w:val="32"/>
          <w:szCs w:val="32"/>
          <w14:textFill>
            <w14:solidFill>
              <w14:schemeClr w14:val="tx1"/>
            </w14:solidFill>
          </w14:textFill>
        </w:rPr>
      </w:pPr>
      <w:r>
        <w:rPr>
          <w:rFonts w:hint="eastAsia" w:eastAsia="仿宋_GB2312"/>
          <w:bCs/>
          <w:color w:val="000000" w:themeColor="text1"/>
          <w:sz w:val="32"/>
          <w:szCs w:val="32"/>
          <w14:textFill>
            <w14:solidFill>
              <w14:schemeClr w14:val="tx1"/>
            </w14:solidFill>
          </w14:textFill>
        </w:rPr>
        <w:t>眼震图</w:t>
      </w:r>
      <w:r>
        <w:rPr>
          <w:rFonts w:eastAsia="仿宋_GB2312"/>
          <w:bCs/>
          <w:color w:val="000000" w:themeColor="text1"/>
          <w:sz w:val="32"/>
          <w:szCs w:val="32"/>
          <w14:textFill>
            <w14:solidFill>
              <w14:schemeClr w14:val="tx1"/>
            </w14:solidFill>
          </w14:textFill>
        </w:rPr>
        <w:t>设备主要性能指标如下：</w:t>
      </w:r>
    </w:p>
    <w:p w14:paraId="2FCD25CD">
      <w:pPr>
        <w:spacing w:line="520" w:lineRule="exact"/>
        <w:ind w:firstLine="640"/>
        <w:rPr>
          <w:rFonts w:eastAsia="仿宋_GB2312"/>
          <w:color w:val="000000" w:themeColor="text1"/>
          <w:sz w:val="32"/>
          <w:szCs w:val="32"/>
          <w14:textFill>
            <w14:solidFill>
              <w14:schemeClr w14:val="tx1"/>
            </w14:solidFill>
          </w14:textFill>
        </w:rPr>
      </w:pPr>
      <w:r>
        <w:rPr>
          <w:rFonts w:hint="eastAsia" w:eastAsia="仿宋_GB2312"/>
          <w:sz w:val="32"/>
          <w:szCs w:val="32"/>
        </w:rPr>
        <w:t>3.1.1</w:t>
      </w:r>
      <w:r>
        <w:rPr>
          <w:rFonts w:hint="eastAsia" w:eastAsia="仿宋_GB2312"/>
          <w:color w:val="000000" w:themeColor="text1"/>
          <w:sz w:val="32"/>
          <w:szCs w:val="32"/>
          <w14:textFill>
            <w14:solidFill>
              <w14:schemeClr w14:val="tx1"/>
            </w14:solidFill>
          </w14:textFill>
        </w:rPr>
        <w:t>安全及</w:t>
      </w:r>
      <w:r>
        <w:rPr>
          <w:rFonts w:hint="eastAsia" w:eastAsia="仿宋_GB2312"/>
          <w:sz w:val="32"/>
          <w:szCs w:val="32"/>
        </w:rPr>
        <w:t>电磁兼容</w:t>
      </w:r>
      <w:r>
        <w:rPr>
          <w:rFonts w:hint="eastAsia" w:eastAsia="仿宋_GB2312"/>
          <w:color w:val="000000" w:themeColor="text1"/>
          <w:sz w:val="32"/>
          <w:szCs w:val="32"/>
          <w14:textFill>
            <w14:solidFill>
              <w14:schemeClr w14:val="tx1"/>
            </w14:solidFill>
          </w14:textFill>
        </w:rPr>
        <w:t>要求</w:t>
      </w:r>
    </w:p>
    <w:p w14:paraId="6C3004CF">
      <w:pPr>
        <w:spacing w:line="520" w:lineRule="exact"/>
        <w:ind w:firstLine="640"/>
        <w:rPr>
          <w:rFonts w:eastAsia="仿宋_GB2312"/>
          <w:bCs/>
          <w:sz w:val="32"/>
          <w:szCs w:val="32"/>
        </w:rPr>
      </w:pPr>
      <w:r>
        <w:rPr>
          <w:rFonts w:hint="eastAsia" w:eastAsia="仿宋_GB2312"/>
          <w:color w:val="000000" w:themeColor="text1"/>
          <w:sz w:val="32"/>
          <w:szCs w:val="32"/>
          <w14:textFill>
            <w14:solidFill>
              <w14:schemeClr w14:val="tx1"/>
            </w14:solidFill>
          </w14:textFill>
        </w:rPr>
        <w:t>安全性能要求，应符合</w:t>
      </w:r>
      <w:r>
        <w:rPr>
          <w:rFonts w:hint="eastAsia" w:eastAsia="仿宋_GB2312"/>
          <w:sz w:val="32"/>
          <w:szCs w:val="32"/>
        </w:rPr>
        <w:t>GB 9706.</w:t>
      </w:r>
      <w:r>
        <w:rPr>
          <w:rFonts w:hint="eastAsia" w:eastAsia="仿宋_GB2312"/>
          <w:color w:val="auto"/>
          <w:sz w:val="32"/>
          <w:szCs w:val="32"/>
        </w:rPr>
        <w:t>1</w:t>
      </w:r>
      <w:r>
        <w:rPr>
          <w:rFonts w:hint="eastAsia" w:eastAsia="仿宋_GB2312"/>
          <w:bCs/>
          <w:color w:val="auto"/>
          <w:sz w:val="32"/>
          <w:szCs w:val="32"/>
        </w:rPr>
        <w:t>、</w:t>
      </w:r>
      <w:r>
        <w:rPr>
          <w:rFonts w:eastAsia="仿宋_GB2312"/>
          <w:bCs/>
          <w:color w:val="auto"/>
          <w:sz w:val="32"/>
          <w:szCs w:val="32"/>
        </w:rPr>
        <w:t>YY 9706.240</w:t>
      </w:r>
      <w:r>
        <w:rPr>
          <w:rFonts w:hint="eastAsia" w:eastAsia="仿宋_GB2312"/>
          <w:bCs/>
          <w:color w:val="auto"/>
          <w:sz w:val="32"/>
          <w:szCs w:val="32"/>
        </w:rPr>
        <w:t>（如适用）、</w:t>
      </w:r>
      <w:r>
        <w:rPr>
          <w:rFonts w:eastAsia="仿宋_GB2312"/>
          <w:bCs/>
          <w:color w:val="auto"/>
          <w:sz w:val="32"/>
          <w:szCs w:val="32"/>
        </w:rPr>
        <w:t>GB/T 7247.1</w:t>
      </w:r>
      <w:r>
        <w:rPr>
          <w:rFonts w:hint="eastAsia" w:eastAsia="仿宋_GB2312"/>
          <w:bCs/>
          <w:color w:val="auto"/>
          <w:sz w:val="32"/>
          <w:szCs w:val="32"/>
        </w:rPr>
        <w:t>（如适用）</w:t>
      </w:r>
      <w:r>
        <w:rPr>
          <w:rFonts w:hint="eastAsia" w:eastAsia="仿宋_GB2312"/>
          <w:color w:val="auto"/>
          <w:sz w:val="32"/>
          <w:szCs w:val="32"/>
        </w:rPr>
        <w:t>标准的要求</w:t>
      </w:r>
      <w:r>
        <w:rPr>
          <w:rFonts w:hint="eastAsia" w:eastAsia="仿宋_GB2312"/>
          <w:bCs/>
          <w:color w:val="auto"/>
          <w:sz w:val="32"/>
          <w:szCs w:val="32"/>
        </w:rPr>
        <w:t>。</w:t>
      </w:r>
    </w:p>
    <w:p w14:paraId="09356327">
      <w:pPr>
        <w:spacing w:line="520" w:lineRule="exact"/>
        <w:ind w:firstLine="640"/>
        <w:rPr>
          <w:rFonts w:eastAsia="仿宋_GB2312"/>
          <w:bCs/>
          <w:color w:val="000000" w:themeColor="text1"/>
          <w:sz w:val="32"/>
          <w:szCs w:val="32"/>
          <w14:textFill>
            <w14:solidFill>
              <w14:schemeClr w14:val="tx1"/>
            </w14:solidFill>
          </w14:textFill>
        </w:rPr>
      </w:pPr>
      <w:r>
        <w:rPr>
          <w:rStyle w:val="41"/>
          <w:rFonts w:eastAsia="仿宋_GB2312"/>
          <w:bCs/>
          <w:color w:val="000000" w:themeColor="text1"/>
          <w:sz w:val="32"/>
          <w:szCs w:val="32"/>
          <w14:textFill>
            <w14:solidFill>
              <w14:schemeClr w14:val="tx1"/>
            </w14:solidFill>
          </w14:textFill>
        </w:rPr>
        <w:t>电磁兼容性要求，应符合YY 9706.102</w:t>
      </w:r>
      <w:r>
        <w:rPr>
          <w:rFonts w:hint="eastAsia" w:eastAsia="仿宋_GB2312"/>
          <w:color w:val="000000" w:themeColor="text1"/>
          <w:sz w:val="32"/>
          <w:szCs w:val="32"/>
          <w14:textFill>
            <w14:solidFill>
              <w14:schemeClr w14:val="tx1"/>
            </w14:solidFill>
          </w14:textFill>
        </w:rPr>
        <w:t>标准的要求</w:t>
      </w:r>
      <w:r>
        <w:rPr>
          <w:rStyle w:val="41"/>
          <w:rFonts w:eastAsia="仿宋_GB2312"/>
          <w:bCs/>
          <w:color w:val="000000" w:themeColor="text1"/>
          <w:sz w:val="32"/>
          <w:szCs w:val="32"/>
          <w14:textFill>
            <w14:solidFill>
              <w14:schemeClr w14:val="tx1"/>
            </w14:solidFill>
          </w14:textFill>
        </w:rPr>
        <w:t>。</w:t>
      </w:r>
    </w:p>
    <w:p w14:paraId="60297CA6">
      <w:pPr>
        <w:spacing w:line="520" w:lineRule="exact"/>
        <w:ind w:firstLine="640"/>
        <w:jc w:val="left"/>
        <w:rPr>
          <w:rFonts w:eastAsia="仿宋_GB2312"/>
          <w:color w:val="000000" w:themeColor="text1"/>
          <w:sz w:val="32"/>
          <w:szCs w:val="32"/>
          <w14:textFill>
            <w14:solidFill>
              <w14:schemeClr w14:val="tx1"/>
            </w14:solidFill>
          </w14:textFill>
        </w:rPr>
      </w:pPr>
      <w:r>
        <w:rPr>
          <w:rFonts w:hint="eastAsia" w:eastAsia="仿宋_GB2312"/>
          <w:sz w:val="32"/>
          <w:szCs w:val="32"/>
        </w:rPr>
        <w:t>3.1.2</w:t>
      </w:r>
      <w:r>
        <w:rPr>
          <w:rFonts w:hint="eastAsia" w:eastAsia="仿宋_GB2312"/>
          <w:color w:val="000000" w:themeColor="text1"/>
          <w:sz w:val="32"/>
          <w:szCs w:val="32"/>
          <w14:textFill>
            <w14:solidFill>
              <w14:schemeClr w14:val="tx1"/>
            </w14:solidFill>
          </w14:textFill>
        </w:rPr>
        <w:t>性能指标</w:t>
      </w:r>
    </w:p>
    <w:bookmarkEnd w:id="1"/>
    <w:bookmarkEnd w:id="2"/>
    <w:p w14:paraId="329FCFF6">
      <w:pPr>
        <w:spacing w:line="520" w:lineRule="exact"/>
        <w:ind w:firstLine="640" w:firstLineChars="200"/>
        <w:rPr>
          <w:rFonts w:eastAsia="仿宋_GB2312"/>
          <w:sz w:val="32"/>
          <w:szCs w:val="32"/>
        </w:rPr>
      </w:pPr>
      <w:r>
        <w:rPr>
          <w:rFonts w:hint="eastAsia" w:eastAsia="仿宋_GB2312"/>
          <w:sz w:val="32"/>
          <w:szCs w:val="32"/>
        </w:rPr>
        <w:t>建议产品技术要求中的主要性能技术指标包括但不限于下述性能指标：</w:t>
      </w:r>
    </w:p>
    <w:p w14:paraId="37F9DA2C">
      <w:pPr>
        <w:spacing w:line="520" w:lineRule="exact"/>
        <w:ind w:firstLine="640" w:firstLineChars="200"/>
        <w:rPr>
          <w:rFonts w:eastAsia="仿宋_GB2312"/>
          <w:bCs/>
          <w:sz w:val="32"/>
          <w:szCs w:val="32"/>
        </w:rPr>
      </w:pPr>
      <w:r>
        <w:rPr>
          <w:rFonts w:hint="eastAsia" w:eastAsia="仿宋_GB2312"/>
          <w:bCs/>
          <w:color w:val="000000" w:themeColor="text1"/>
          <w:sz w:val="32"/>
          <w:szCs w:val="32"/>
          <w14:textFill>
            <w14:solidFill>
              <w14:schemeClr w14:val="tx1"/>
            </w14:solidFill>
          </w14:textFill>
        </w:rPr>
        <w:t>眼震电图</w:t>
      </w:r>
      <w:r>
        <w:rPr>
          <w:rFonts w:eastAsia="仿宋_GB2312"/>
          <w:bCs/>
          <w:color w:val="000000" w:themeColor="text1"/>
          <w:sz w:val="32"/>
          <w:szCs w:val="32"/>
          <w14:textFill>
            <w14:solidFill>
              <w14:schemeClr w14:val="tx1"/>
            </w14:solidFill>
          </w14:textFill>
        </w:rPr>
        <w:t>设备</w:t>
      </w:r>
      <w:r>
        <w:rPr>
          <w:rStyle w:val="41"/>
          <w:rFonts w:eastAsia="仿宋_GB2312"/>
          <w:bCs/>
          <w:color w:val="000000" w:themeColor="text1"/>
          <w:sz w:val="32"/>
          <w:szCs w:val="32"/>
          <w14:textFill>
            <w14:solidFill>
              <w14:schemeClr w14:val="tx1"/>
            </w14:solidFill>
          </w14:textFill>
        </w:rPr>
        <w:t>的性能指标应至少包含</w:t>
      </w:r>
      <w:r>
        <w:rPr>
          <w:rFonts w:hint="eastAsia" w:eastAsia="仿宋_GB2312"/>
          <w:bCs/>
          <w:sz w:val="32"/>
          <w:szCs w:val="32"/>
        </w:rPr>
        <w:t>外观、共模抑制比、频率响应、输入阻抗、输入灵敏度、软件功能（自发和凝视性眼震、扫视、平稳追踪、位置与变位性眼震）、网络安全（数据接口、用户访问控制）、使用限制、运行环境、附件性能等要求。</w:t>
      </w:r>
    </w:p>
    <w:p w14:paraId="0733A09B">
      <w:pPr>
        <w:spacing w:line="520" w:lineRule="exact"/>
        <w:ind w:firstLine="640" w:firstLineChars="200"/>
        <w:rPr>
          <w:rFonts w:eastAsia="仿宋_GB2312"/>
          <w:bCs/>
          <w:sz w:val="32"/>
          <w:szCs w:val="32"/>
        </w:rPr>
      </w:pPr>
      <w:r>
        <w:rPr>
          <w:rFonts w:hint="eastAsia" w:eastAsia="仿宋_GB2312"/>
          <w:bCs/>
          <w:color w:val="000000" w:themeColor="text1"/>
          <w:sz w:val="32"/>
          <w:szCs w:val="32"/>
          <w14:textFill>
            <w14:solidFill>
              <w14:schemeClr w14:val="tx1"/>
            </w14:solidFill>
          </w14:textFill>
        </w:rPr>
        <w:t>眼震视图</w:t>
      </w:r>
      <w:r>
        <w:rPr>
          <w:rFonts w:eastAsia="仿宋_GB2312"/>
          <w:bCs/>
          <w:color w:val="000000" w:themeColor="text1"/>
          <w:sz w:val="32"/>
          <w:szCs w:val="32"/>
          <w14:textFill>
            <w14:solidFill>
              <w14:schemeClr w14:val="tx1"/>
            </w14:solidFill>
          </w14:textFill>
        </w:rPr>
        <w:t>设备</w:t>
      </w:r>
      <w:r>
        <w:rPr>
          <w:rStyle w:val="41"/>
          <w:rFonts w:eastAsia="仿宋_GB2312"/>
          <w:bCs/>
          <w:color w:val="000000" w:themeColor="text1"/>
          <w:sz w:val="32"/>
          <w:szCs w:val="32"/>
          <w14:textFill>
            <w14:solidFill>
              <w14:schemeClr w14:val="tx1"/>
            </w14:solidFill>
          </w14:textFill>
        </w:rPr>
        <w:t>的性能指标应至少包含</w:t>
      </w:r>
      <w:r>
        <w:rPr>
          <w:rFonts w:hint="eastAsia" w:eastAsia="仿宋_GB2312"/>
          <w:bCs/>
          <w:sz w:val="32"/>
          <w:szCs w:val="32"/>
        </w:rPr>
        <w:t>外观、采集帧幅、采集帧率、</w:t>
      </w:r>
      <w:r>
        <w:rPr>
          <w:rFonts w:hint="eastAsia" w:eastAsia="仿宋_GB2312"/>
          <w:bCs/>
          <w:color w:val="auto"/>
          <w:sz w:val="32"/>
          <w:szCs w:val="32"/>
        </w:rPr>
        <w:t>眼动测量范围及准确度、光源波长特征（峰值波长、波长范围、输出功率</w:t>
      </w:r>
      <w:r>
        <w:rPr>
          <w:rFonts w:hint="eastAsia" w:eastAsia="仿宋_GB2312"/>
          <w:bCs/>
          <w:color w:val="auto"/>
          <w:sz w:val="32"/>
          <w:szCs w:val="32"/>
          <w:lang w:val="en-US" w:eastAsia="zh-CN"/>
        </w:rPr>
        <w:t>/</w:t>
      </w:r>
      <w:r>
        <w:rPr>
          <w:rFonts w:hint="eastAsia" w:eastAsia="仿宋_GB2312"/>
          <w:bCs/>
          <w:color w:val="auto"/>
          <w:sz w:val="32"/>
          <w:szCs w:val="32"/>
        </w:rPr>
        <w:t>能量）</w:t>
      </w:r>
      <w:r>
        <w:rPr>
          <w:rFonts w:hint="eastAsia" w:eastAsia="仿宋_GB2312"/>
          <w:bCs/>
          <w:sz w:val="32"/>
          <w:szCs w:val="32"/>
        </w:rPr>
        <w:t>（如适用）、固视抑制功能、无线传输距离（如适用）、软件功能（自发和凝视性眼震、扫视、平稳追踪、位置与变位性眼震）、网络安全（数据接口、用户访问控制）、使用限制、运行环境、附件性能等要求。</w:t>
      </w:r>
    </w:p>
    <w:p w14:paraId="62A50CE2">
      <w:pPr>
        <w:spacing w:line="520" w:lineRule="exact"/>
        <w:ind w:firstLine="640" w:firstLineChars="200"/>
        <w:outlineLvl w:val="3"/>
        <w:rPr>
          <w:rFonts w:eastAsia="仿宋_GB2312"/>
          <w:sz w:val="32"/>
          <w:szCs w:val="32"/>
        </w:rPr>
      </w:pPr>
      <w:r>
        <w:rPr>
          <w:rFonts w:hint="eastAsia" w:eastAsia="仿宋_GB2312"/>
          <w:bCs/>
          <w:sz w:val="32"/>
          <w:szCs w:val="32"/>
        </w:rPr>
        <w:t>3</w:t>
      </w:r>
      <w:r>
        <w:rPr>
          <w:rFonts w:hint="eastAsia" w:eastAsia="仿宋_GB2312"/>
          <w:sz w:val="32"/>
          <w:szCs w:val="32"/>
        </w:rPr>
        <w:t>.2检验报告</w:t>
      </w:r>
    </w:p>
    <w:p w14:paraId="70EC2B3E">
      <w:pPr>
        <w:tabs>
          <w:tab w:val="left" w:pos="1440"/>
        </w:tabs>
        <w:spacing w:line="520" w:lineRule="exact"/>
        <w:ind w:firstLine="640" w:firstLineChars="200"/>
        <w:rPr>
          <w:rFonts w:eastAsia="仿宋_GB2312"/>
          <w:sz w:val="32"/>
          <w:szCs w:val="32"/>
        </w:rPr>
      </w:pPr>
      <w:r>
        <w:rPr>
          <w:rFonts w:hint="eastAsia" w:eastAsia="仿宋_GB2312"/>
          <w:sz w:val="32"/>
          <w:szCs w:val="32"/>
        </w:rPr>
        <w:t>注册申请人应提供产品检验报告，产品检验报告应符合国务院药品监督管理部门的要求，可以是医疗器械注册申请人的自检报告，也可以是委托具有医疗器械检验资质的医疗器械检验机构出具的检验报告。</w:t>
      </w:r>
    </w:p>
    <w:p w14:paraId="2F43CE01">
      <w:pPr>
        <w:tabs>
          <w:tab w:val="left" w:pos="1440"/>
        </w:tabs>
        <w:spacing w:line="520" w:lineRule="exact"/>
        <w:ind w:firstLine="640" w:firstLineChars="200"/>
        <w:rPr>
          <w:rFonts w:eastAsia="仿宋_GB2312"/>
          <w:sz w:val="32"/>
          <w:szCs w:val="32"/>
        </w:rPr>
      </w:pPr>
      <w:r>
        <w:rPr>
          <w:rFonts w:eastAsia="仿宋_GB2312"/>
          <w:sz w:val="32"/>
          <w:szCs w:val="32"/>
        </w:rPr>
        <w:t>检</w:t>
      </w:r>
      <w:r>
        <w:rPr>
          <w:rFonts w:hint="eastAsia" w:eastAsia="仿宋_GB2312"/>
          <w:sz w:val="32"/>
          <w:szCs w:val="32"/>
        </w:rPr>
        <w:t>验</w:t>
      </w:r>
      <w:r>
        <w:rPr>
          <w:rFonts w:eastAsia="仿宋_GB2312"/>
          <w:sz w:val="32"/>
          <w:szCs w:val="32"/>
        </w:rPr>
        <w:t>报告提供软件版本界面照片或列明软件版本信息</w:t>
      </w:r>
      <w:r>
        <w:rPr>
          <w:rFonts w:hint="eastAsia" w:eastAsia="仿宋_GB2312"/>
          <w:sz w:val="32"/>
          <w:szCs w:val="32"/>
        </w:rPr>
        <w:t>，有用户界面的软件体现软件发布版本、软件完整版本，无用户界面的软件体现软件完整版本。</w:t>
      </w:r>
    </w:p>
    <w:p w14:paraId="5742C62B">
      <w:pPr>
        <w:pStyle w:val="34"/>
        <w:spacing w:line="520" w:lineRule="exact"/>
        <w:ind w:firstLine="640"/>
        <w:rPr>
          <w:rFonts w:eastAsia="仿宋_GB2312"/>
          <w:kern w:val="0"/>
          <w:sz w:val="32"/>
          <w:szCs w:val="32"/>
        </w:rPr>
      </w:pPr>
      <w:r>
        <w:rPr>
          <w:rFonts w:eastAsia="仿宋_GB2312"/>
          <w:sz w:val="32"/>
          <w:szCs w:val="32"/>
        </w:rPr>
        <w:t>检验产品典型性：同一注册单元选择结构最复杂、功能最多、技术指标最高的型号进行性能和电气安全检测。如果检测一个型号不能覆盖其他型号的全部性能功能，则可对其他型号不能覆盖的部分进行差异检测。</w:t>
      </w:r>
      <w:r>
        <w:rPr>
          <w:rFonts w:hint="eastAsia" w:eastAsia="仿宋_GB2312"/>
          <w:sz w:val="32"/>
          <w:szCs w:val="32"/>
        </w:rPr>
        <w:t>应至少分析光路设计、光源的差异、功能/适用范围的差异等。</w:t>
      </w:r>
    </w:p>
    <w:p w14:paraId="37B9363D">
      <w:pPr>
        <w:pStyle w:val="34"/>
        <w:ind w:firstLine="640"/>
        <w:outlineLvl w:val="2"/>
        <w:rPr>
          <w:rFonts w:eastAsia="仿宋_GB2312"/>
          <w:kern w:val="0"/>
          <w:sz w:val="32"/>
          <w:szCs w:val="32"/>
        </w:rPr>
      </w:pPr>
      <w:r>
        <w:rPr>
          <w:rFonts w:hint="eastAsia" w:eastAsia="仿宋_GB2312"/>
          <w:kern w:val="0"/>
          <w:sz w:val="32"/>
          <w:szCs w:val="32"/>
        </w:rPr>
        <w:t>4</w:t>
      </w:r>
      <w:r>
        <w:rPr>
          <w:rFonts w:eastAsia="仿宋_GB2312"/>
          <w:kern w:val="0"/>
          <w:sz w:val="32"/>
          <w:szCs w:val="32"/>
        </w:rPr>
        <w:t>.</w:t>
      </w:r>
      <w:r>
        <w:rPr>
          <w:rFonts w:hint="eastAsia" w:eastAsia="仿宋_GB2312"/>
          <w:kern w:val="0"/>
          <w:sz w:val="32"/>
          <w:szCs w:val="32"/>
        </w:rPr>
        <w:t>研究资料</w:t>
      </w:r>
    </w:p>
    <w:p w14:paraId="57629B19">
      <w:pPr>
        <w:spacing w:line="520" w:lineRule="exact"/>
        <w:ind w:firstLine="636" w:firstLineChars="200"/>
        <w:rPr>
          <w:rFonts w:eastAsia="仿宋_GB2312"/>
          <w:color w:val="000000"/>
          <w:spacing w:val="-1"/>
          <w:sz w:val="32"/>
          <w:szCs w:val="32"/>
        </w:rPr>
      </w:pPr>
      <w:r>
        <w:rPr>
          <w:rFonts w:eastAsia="仿宋_GB2312"/>
          <w:color w:val="000000"/>
          <w:spacing w:val="-1"/>
          <w:sz w:val="32"/>
          <w:szCs w:val="32"/>
        </w:rPr>
        <w:t>申请人需根据申报产品适用范围和技术特征，提供非临床研究综述，逐项描述所开展的研究，概述研究方法和研究结论。根据非临床研究综述，提供相应的研究资料，各项研究可通过文献研究、实验室研究、模型研究等方式开展，一般需包含研究方案、研究报告。</w:t>
      </w:r>
    </w:p>
    <w:p w14:paraId="7CE4FF38">
      <w:pPr>
        <w:spacing w:line="520" w:lineRule="exact"/>
        <w:ind w:firstLine="640" w:firstLineChars="200"/>
        <w:outlineLvl w:val="3"/>
        <w:rPr>
          <w:rFonts w:eastAsia="仿宋_GB2312"/>
          <w:sz w:val="32"/>
          <w:szCs w:val="32"/>
        </w:rPr>
      </w:pPr>
      <w:r>
        <w:rPr>
          <w:rFonts w:hint="eastAsia" w:eastAsia="仿宋_GB2312"/>
          <w:sz w:val="32"/>
          <w:szCs w:val="32"/>
        </w:rPr>
        <w:t>4.1产品性能研究</w:t>
      </w:r>
    </w:p>
    <w:p w14:paraId="7820122F">
      <w:pPr>
        <w:spacing w:line="520" w:lineRule="exact"/>
        <w:ind w:firstLine="636" w:firstLineChars="200"/>
        <w:rPr>
          <w:rFonts w:eastAsia="仿宋_GB2312"/>
          <w:color w:val="000000" w:themeColor="text1"/>
          <w:spacing w:val="-1"/>
          <w:sz w:val="32"/>
          <w:szCs w:val="32"/>
          <w14:textFill>
            <w14:solidFill>
              <w14:schemeClr w14:val="tx1"/>
            </w14:solidFill>
          </w14:textFill>
        </w:rPr>
      </w:pPr>
      <w:r>
        <w:rPr>
          <w:rFonts w:eastAsia="仿宋_GB2312"/>
          <w:color w:val="000000" w:themeColor="text1"/>
          <w:spacing w:val="-1"/>
          <w:sz w:val="32"/>
          <w:szCs w:val="32"/>
          <w14:textFill>
            <w14:solidFill>
              <w14:schemeClr w14:val="tx1"/>
            </w14:solidFill>
          </w14:textFill>
        </w:rPr>
        <w:t>应依据产品工作原理说明</w:t>
      </w:r>
      <w:r>
        <w:rPr>
          <w:rFonts w:hint="eastAsia" w:eastAsia="仿宋_GB2312"/>
          <w:bCs/>
          <w:sz w:val="32"/>
          <w:szCs w:val="32"/>
        </w:rPr>
        <w:t>采集帧幅、采集帧率</w:t>
      </w:r>
      <w:r>
        <w:rPr>
          <w:rFonts w:eastAsia="仿宋_GB2312"/>
          <w:color w:val="000000" w:themeColor="text1"/>
          <w:spacing w:val="-1"/>
          <w:sz w:val="32"/>
          <w:szCs w:val="32"/>
          <w14:textFill>
            <w14:solidFill>
              <w14:schemeClr w14:val="tx1"/>
            </w14:solidFill>
          </w14:textFill>
        </w:rPr>
        <w:t>等性能指标设定的原因及依据，</w:t>
      </w:r>
      <w:r>
        <w:rPr>
          <w:rFonts w:hint="eastAsia" w:eastAsia="仿宋_GB2312"/>
          <w:color w:val="000000" w:themeColor="text1"/>
          <w:spacing w:val="-1"/>
          <w:sz w:val="32"/>
          <w:szCs w:val="32"/>
          <w14:textFill>
            <w14:solidFill>
              <w14:schemeClr w14:val="tx1"/>
            </w14:solidFill>
          </w14:textFill>
        </w:rPr>
        <w:t>明确是单眼还是双眼采集模式，</w:t>
      </w:r>
      <w:r>
        <w:rPr>
          <w:rFonts w:eastAsia="仿宋_GB2312"/>
          <w:color w:val="000000" w:themeColor="text1"/>
          <w:spacing w:val="-1"/>
          <w:sz w:val="32"/>
          <w:szCs w:val="32"/>
          <w14:textFill>
            <w14:solidFill>
              <w14:schemeClr w14:val="tx1"/>
            </w14:solidFill>
          </w14:textFill>
        </w:rPr>
        <w:t>并详述产品支持的眼震试验模块（如</w:t>
      </w:r>
      <w:r>
        <w:rPr>
          <w:rFonts w:hint="eastAsia" w:eastAsia="仿宋_GB2312"/>
          <w:bCs/>
          <w:sz w:val="32"/>
          <w:szCs w:val="32"/>
        </w:rPr>
        <w:t>自发和凝视性眼震、扫视、平稳追踪、位置与变位性眼震</w:t>
      </w:r>
      <w:r>
        <w:rPr>
          <w:rFonts w:eastAsia="仿宋_GB2312"/>
          <w:color w:val="000000" w:themeColor="text1"/>
          <w:spacing w:val="-1"/>
          <w:sz w:val="32"/>
          <w:szCs w:val="32"/>
          <w14:textFill>
            <w14:solidFill>
              <w14:schemeClr w14:val="tx1"/>
            </w14:solidFill>
          </w14:textFill>
        </w:rPr>
        <w:t>）。</w:t>
      </w:r>
    </w:p>
    <w:p w14:paraId="0166853F">
      <w:pPr>
        <w:spacing w:line="520" w:lineRule="exact"/>
        <w:ind w:firstLine="636" w:firstLineChars="200"/>
        <w:rPr>
          <w:rFonts w:eastAsia="仿宋_GB2312"/>
          <w:color w:val="000000" w:themeColor="text1"/>
          <w:spacing w:val="-1"/>
          <w:sz w:val="32"/>
          <w:szCs w:val="32"/>
          <w14:textFill>
            <w14:solidFill>
              <w14:schemeClr w14:val="tx1"/>
            </w14:solidFill>
          </w14:textFill>
        </w:rPr>
      </w:pPr>
      <w:r>
        <w:rPr>
          <w:rFonts w:eastAsia="仿宋_GB2312"/>
          <w:color w:val="000000" w:themeColor="text1"/>
          <w:spacing w:val="-1"/>
          <w:sz w:val="32"/>
          <w:szCs w:val="32"/>
          <w14:textFill>
            <w14:solidFill>
              <w14:schemeClr w14:val="tx1"/>
            </w14:solidFill>
          </w14:textFill>
        </w:rPr>
        <w:t>明确申报产品所依据的标准或采用的方法、采纳原因及依据。适用的国家/行业标准中，如有不适用的条款，应将相应条款及不适用的理由予以说明，如有修改引用情况，也需说明修改原因和依据。</w:t>
      </w:r>
    </w:p>
    <w:p w14:paraId="55127237">
      <w:pPr>
        <w:spacing w:line="520" w:lineRule="exact"/>
        <w:ind w:firstLine="636" w:firstLineChars="200"/>
        <w:rPr>
          <w:rFonts w:eastAsia="仿宋_GB2312"/>
          <w:color w:val="000000" w:themeColor="text1"/>
          <w:spacing w:val="-1"/>
          <w:sz w:val="32"/>
          <w:szCs w:val="32"/>
          <w14:textFill>
            <w14:solidFill>
              <w14:schemeClr w14:val="tx1"/>
            </w14:solidFill>
          </w14:textFill>
        </w:rPr>
      </w:pPr>
      <w:r>
        <w:rPr>
          <w:rFonts w:eastAsia="仿宋_GB2312"/>
          <w:color w:val="000000" w:themeColor="text1"/>
          <w:spacing w:val="-1"/>
          <w:sz w:val="32"/>
          <w:szCs w:val="32"/>
          <w14:textFill>
            <w14:solidFill>
              <w14:schemeClr w14:val="tx1"/>
            </w14:solidFill>
          </w14:textFill>
        </w:rPr>
        <w:t>应关注引用标准中是否给出了具体的指标要求，对于未给出具体要求而由制造商自行制定的指标要求，注册申请人应说明申报产品性能指标确定的依据。对于参考同类产品制定的，应提供同类产品的相关资料，包括不限于上市证明文件</w:t>
      </w:r>
      <w:r>
        <w:rPr>
          <w:rFonts w:hint="eastAsia" w:eastAsia="仿宋_GB2312"/>
          <w:color w:val="000000" w:themeColor="text1"/>
          <w:spacing w:val="-1"/>
          <w:sz w:val="32"/>
          <w:szCs w:val="32"/>
          <w14:textFill>
            <w14:solidFill>
              <w14:schemeClr w14:val="tx1"/>
            </w14:solidFill>
          </w14:textFill>
        </w:rPr>
        <w:t>、</w:t>
      </w:r>
      <w:r>
        <w:rPr>
          <w:rFonts w:eastAsia="仿宋_GB2312"/>
          <w:color w:val="000000" w:themeColor="text1"/>
          <w:spacing w:val="-1"/>
          <w:sz w:val="32"/>
          <w:szCs w:val="32"/>
          <w14:textFill>
            <w14:solidFill>
              <w14:schemeClr w14:val="tx1"/>
            </w14:solidFill>
          </w14:textFill>
        </w:rPr>
        <w:t>详细技术资料</w:t>
      </w:r>
      <w:r>
        <w:rPr>
          <w:rFonts w:hint="eastAsia" w:eastAsia="仿宋_GB2312"/>
          <w:color w:val="000000" w:themeColor="text1"/>
          <w:spacing w:val="-1"/>
          <w:sz w:val="32"/>
          <w:szCs w:val="32"/>
          <w14:textFill>
            <w14:solidFill>
              <w14:schemeClr w14:val="tx1"/>
            </w14:solidFill>
          </w14:textFill>
        </w:rPr>
        <w:t>等</w:t>
      </w:r>
      <w:r>
        <w:rPr>
          <w:rFonts w:eastAsia="仿宋_GB2312"/>
          <w:color w:val="000000" w:themeColor="text1"/>
          <w:spacing w:val="-1"/>
          <w:sz w:val="32"/>
          <w:szCs w:val="32"/>
          <w14:textFill>
            <w14:solidFill>
              <w14:schemeClr w14:val="tx1"/>
            </w14:solidFill>
          </w14:textFill>
        </w:rPr>
        <w:t>。</w:t>
      </w:r>
    </w:p>
    <w:p w14:paraId="3FB487E4">
      <w:pPr>
        <w:spacing w:line="520" w:lineRule="exact"/>
        <w:ind w:firstLine="636" w:firstLineChars="200"/>
        <w:rPr>
          <w:rFonts w:eastAsia="仿宋_GB2312"/>
          <w:color w:val="000000" w:themeColor="text1"/>
          <w:spacing w:val="-1"/>
          <w:sz w:val="32"/>
          <w:szCs w:val="32"/>
          <w14:textFill>
            <w14:solidFill>
              <w14:schemeClr w14:val="tx1"/>
            </w14:solidFill>
          </w14:textFill>
        </w:rPr>
      </w:pPr>
      <w:r>
        <w:rPr>
          <w:rFonts w:eastAsia="仿宋_GB2312"/>
          <w:color w:val="000000" w:themeColor="text1"/>
          <w:spacing w:val="-1"/>
          <w:sz w:val="32"/>
          <w:szCs w:val="32"/>
          <w14:textFill>
            <w14:solidFill>
              <w14:schemeClr w14:val="tx1"/>
            </w14:solidFill>
          </w14:textFill>
        </w:rPr>
        <w:t>4.2光辐射安全研究</w:t>
      </w:r>
    </w:p>
    <w:p w14:paraId="0BCE07F4">
      <w:pPr>
        <w:spacing w:line="520" w:lineRule="exact"/>
        <w:ind w:firstLine="640" w:firstLineChars="200"/>
        <w:rPr>
          <w:rFonts w:eastAsia="仿宋_GB2312"/>
          <w:kern w:val="0"/>
          <w:sz w:val="32"/>
          <w:szCs w:val="32"/>
        </w:rPr>
      </w:pPr>
      <w:r>
        <w:rPr>
          <w:rFonts w:eastAsia="仿宋_GB2312"/>
          <w:kern w:val="0"/>
          <w:sz w:val="32"/>
          <w:szCs w:val="32"/>
        </w:rPr>
        <w:t>注册申请人应在风险管理过程中识别相应的光辐射危害，并在设计和生产过程中采取相应的风险管理措施。</w:t>
      </w:r>
      <w:r>
        <w:rPr>
          <w:rFonts w:hint="eastAsia" w:eastAsia="仿宋_GB2312"/>
          <w:sz w:val="32"/>
          <w:szCs w:val="32"/>
        </w:rPr>
        <w:t>产品若含有内置光源（</w:t>
      </w:r>
      <w:r>
        <w:rPr>
          <w:rFonts w:eastAsia="仿宋_GB2312"/>
          <w:kern w:val="0"/>
          <w:sz w:val="32"/>
          <w:szCs w:val="32"/>
        </w:rPr>
        <w:t>如成像光源</w:t>
      </w:r>
      <w:r>
        <w:rPr>
          <w:rFonts w:hint="eastAsia" w:eastAsia="仿宋_GB2312"/>
          <w:kern w:val="0"/>
          <w:sz w:val="32"/>
          <w:szCs w:val="32"/>
        </w:rPr>
        <w:t>、固视光源</w:t>
      </w:r>
      <w:r>
        <w:rPr>
          <w:rFonts w:hint="eastAsia" w:eastAsia="仿宋_GB2312"/>
          <w:sz w:val="32"/>
          <w:szCs w:val="32"/>
        </w:rPr>
        <w:t>），</w:t>
      </w:r>
      <w:r>
        <w:rPr>
          <w:rFonts w:eastAsia="仿宋_GB2312"/>
          <w:kern w:val="0"/>
          <w:sz w:val="32"/>
          <w:szCs w:val="32"/>
        </w:rPr>
        <w:t>可参考《医疗器械光辐射安全注册审查指导原则（2024年第12号）》的要求提供光辐射安全的研究资料。</w:t>
      </w:r>
    </w:p>
    <w:p w14:paraId="7A13D21C">
      <w:pPr>
        <w:spacing w:line="520" w:lineRule="exact"/>
        <w:ind w:firstLine="640" w:firstLineChars="200"/>
        <w:outlineLvl w:val="3"/>
        <w:rPr>
          <w:rFonts w:eastAsia="仿宋_GB2312"/>
          <w:sz w:val="32"/>
          <w:szCs w:val="32"/>
        </w:rPr>
      </w:pPr>
      <w:r>
        <w:rPr>
          <w:rFonts w:hint="eastAsia" w:eastAsia="仿宋_GB2312"/>
          <w:sz w:val="32"/>
          <w:szCs w:val="32"/>
        </w:rPr>
        <w:t>4.</w:t>
      </w:r>
      <w:r>
        <w:rPr>
          <w:rFonts w:eastAsia="仿宋_GB2312"/>
          <w:sz w:val="32"/>
          <w:szCs w:val="32"/>
        </w:rPr>
        <w:t>3</w:t>
      </w:r>
      <w:r>
        <w:rPr>
          <w:rFonts w:hint="eastAsia" w:eastAsia="仿宋_GB2312"/>
          <w:sz w:val="32"/>
          <w:szCs w:val="32"/>
        </w:rPr>
        <w:t>软件及网络安全研究</w:t>
      </w:r>
    </w:p>
    <w:p w14:paraId="65707E65">
      <w:pPr>
        <w:overflowPunct w:val="0"/>
        <w:spacing w:line="520" w:lineRule="exact"/>
        <w:ind w:firstLine="640" w:firstLineChars="200"/>
        <w:rPr>
          <w:rFonts w:eastAsia="仿宋_GB2312"/>
          <w:sz w:val="32"/>
          <w:szCs w:val="32"/>
        </w:rPr>
      </w:pPr>
      <w:r>
        <w:rPr>
          <w:rFonts w:eastAsia="仿宋_GB2312"/>
          <w:sz w:val="32"/>
          <w:szCs w:val="32"/>
        </w:rPr>
        <w:t>产品结构组成中若包含作为医疗器械组成部分的软件，应</w:t>
      </w:r>
      <w:r>
        <w:rPr>
          <w:rFonts w:hint="eastAsia" w:eastAsia="仿宋_GB2312"/>
          <w:sz w:val="32"/>
          <w:szCs w:val="32"/>
        </w:rPr>
        <w:t>参</w:t>
      </w:r>
      <w:r>
        <w:rPr>
          <w:rFonts w:eastAsia="仿宋_GB2312"/>
          <w:sz w:val="32"/>
          <w:szCs w:val="32"/>
        </w:rPr>
        <w:t>照《</w:t>
      </w:r>
      <w:r>
        <w:rPr>
          <w:rFonts w:hint="eastAsia" w:eastAsia="仿宋_GB2312"/>
          <w:sz w:val="32"/>
          <w:szCs w:val="32"/>
        </w:rPr>
        <w:t>医疗器械软件注册审查指导原则</w:t>
      </w:r>
      <w:r>
        <w:rPr>
          <w:rFonts w:eastAsia="仿宋_GB2312"/>
          <w:color w:val="000000" w:themeColor="text1"/>
          <w:spacing w:val="-1"/>
          <w:sz w:val="32"/>
          <w:szCs w:val="32"/>
          <w14:textFill>
            <w14:solidFill>
              <w14:schemeClr w14:val="tx1"/>
            </w14:solidFill>
          </w14:textFill>
        </w:rPr>
        <w:t>（2022年修订版）</w:t>
      </w:r>
      <w:r>
        <w:rPr>
          <w:rFonts w:eastAsia="仿宋_GB2312"/>
          <w:sz w:val="32"/>
          <w:szCs w:val="32"/>
        </w:rPr>
        <w:t>》的要求提供</w:t>
      </w:r>
      <w:r>
        <w:rPr>
          <w:rFonts w:hint="eastAsia" w:eastAsia="仿宋_GB2312"/>
          <w:sz w:val="32"/>
          <w:szCs w:val="32"/>
        </w:rPr>
        <w:t>研究资料</w:t>
      </w:r>
      <w:r>
        <w:rPr>
          <w:rFonts w:eastAsia="仿宋_GB2312"/>
          <w:sz w:val="32"/>
          <w:szCs w:val="32"/>
        </w:rPr>
        <w:t>，内容包括</w:t>
      </w:r>
      <w:r>
        <w:rPr>
          <w:rFonts w:hint="eastAsia" w:eastAsia="仿宋_GB2312"/>
          <w:sz w:val="32"/>
          <w:szCs w:val="32"/>
        </w:rPr>
        <w:t>基本信息、实现过程、核心功能、结论等内容，详尽程度取决于软件安全性级别，该类产品一般为中等。其中，基本信息包括软件标识、安全性级别、结构功能、物理拓扑、运行环境、注册历史，实现过程包括开发概况、风险管理、需求规范、生存周期、验证与确认、可追溯性分析、缺陷管理、更新历史，明确核心功能、核心算法、预期用途的对应关系。软件功能的验证与确认至少应体现适用范围中宣称的测量功能，且应当与其它申报资料保持一致。</w:t>
      </w:r>
    </w:p>
    <w:p w14:paraId="27ADDD35">
      <w:pPr>
        <w:spacing w:line="520" w:lineRule="exact"/>
        <w:ind w:firstLine="640" w:firstLineChars="200"/>
        <w:rPr>
          <w:rFonts w:eastAsia="仿宋_GB2312"/>
          <w:sz w:val="32"/>
          <w:szCs w:val="32"/>
        </w:rPr>
      </w:pPr>
      <w:r>
        <w:rPr>
          <w:rFonts w:eastAsia="仿宋_GB2312"/>
          <w:sz w:val="32"/>
          <w:szCs w:val="32"/>
        </w:rPr>
        <w:t>产品若</w:t>
      </w:r>
      <w:r>
        <w:rPr>
          <w:rFonts w:hint="eastAsia" w:eastAsia="仿宋_GB2312"/>
          <w:sz w:val="32"/>
          <w:szCs w:val="32"/>
        </w:rPr>
        <w:t>具备电子数据交换、远程控制或用户访问功能的独立软件和含有软件组件的产品，应当参照</w:t>
      </w:r>
      <w:r>
        <w:rPr>
          <w:rFonts w:eastAsia="仿宋_GB2312"/>
          <w:sz w:val="32"/>
          <w:szCs w:val="32"/>
        </w:rPr>
        <w:t>《</w:t>
      </w:r>
      <w:r>
        <w:rPr>
          <w:rFonts w:hint="eastAsia" w:eastAsia="仿宋_GB2312"/>
          <w:sz w:val="32"/>
          <w:szCs w:val="32"/>
        </w:rPr>
        <w:t>医疗器械网络安全注册审查指导原则</w:t>
      </w:r>
      <w:r>
        <w:rPr>
          <w:rFonts w:eastAsia="仿宋_GB2312"/>
          <w:color w:val="000000" w:themeColor="text1"/>
          <w:spacing w:val="-1"/>
          <w:sz w:val="32"/>
          <w:szCs w:val="32"/>
          <w14:textFill>
            <w14:solidFill>
              <w14:schemeClr w14:val="tx1"/>
            </w14:solidFill>
          </w14:textFill>
        </w:rPr>
        <w:t>（2022年修订版）</w:t>
      </w:r>
      <w:r>
        <w:rPr>
          <w:rFonts w:eastAsia="仿宋_GB2312"/>
          <w:sz w:val="32"/>
          <w:szCs w:val="32"/>
        </w:rPr>
        <w:t>》</w:t>
      </w:r>
      <w:r>
        <w:rPr>
          <w:rFonts w:hint="eastAsia" w:eastAsia="仿宋_GB2312"/>
          <w:sz w:val="32"/>
          <w:szCs w:val="32"/>
        </w:rPr>
        <w:t>提供研究资料，基本信息包括软件信息、数据架构、网络安全能力、网络安全补丁、安全软件，实现过程包括风险管理、需求规范、验证与确认、可追溯性分析、更新维护计划，漏洞评估明确已知漏洞相关信息。</w:t>
      </w:r>
      <w:r>
        <w:rPr>
          <w:rFonts w:eastAsia="仿宋_GB2312"/>
          <w:sz w:val="32"/>
          <w:szCs w:val="32"/>
        </w:rPr>
        <w:t>应提交网络安全描述文档，并在产品技术要求中规定相应的性能指标。</w:t>
      </w:r>
    </w:p>
    <w:p w14:paraId="540BFF0A">
      <w:pPr>
        <w:spacing w:line="520" w:lineRule="exact"/>
        <w:ind w:firstLine="640" w:firstLineChars="200"/>
        <w:rPr>
          <w:rFonts w:eastAsia="仿宋_GB2312"/>
          <w:sz w:val="32"/>
          <w:szCs w:val="32"/>
        </w:rPr>
      </w:pPr>
      <w:r>
        <w:rPr>
          <w:rFonts w:hint="eastAsia" w:eastAsia="仿宋_GB2312"/>
          <w:sz w:val="32"/>
          <w:szCs w:val="32"/>
        </w:rPr>
        <w:t>通过电子接口与其他医疗器械或非医疗器械交换并使用信息，应提供互操作性研究资料，包括基本信息、需求规范、风险管理、验证与确认、维护计划等内容。</w:t>
      </w:r>
    </w:p>
    <w:p w14:paraId="6B43F2BB">
      <w:pPr>
        <w:spacing w:line="520" w:lineRule="exact"/>
        <w:ind w:firstLine="640" w:firstLineChars="200"/>
        <w:rPr>
          <w:rFonts w:ascii="仿宋_GB2312" w:eastAsia="仿宋_GB2312"/>
          <w:bCs/>
          <w:sz w:val="32"/>
          <w:szCs w:val="32"/>
        </w:rPr>
      </w:pPr>
      <w:r>
        <w:rPr>
          <w:rFonts w:hint="eastAsia" w:ascii="仿宋_GB2312" w:eastAsia="仿宋_GB2312"/>
          <w:bCs/>
          <w:sz w:val="32"/>
          <w:szCs w:val="32"/>
        </w:rPr>
        <w:t>如产品可安装在移动计算平台，如便携式计算机，还应执行《移动医疗器械注册技术审查指导原则》。</w:t>
      </w:r>
    </w:p>
    <w:p w14:paraId="28C3D071">
      <w:pPr>
        <w:spacing w:line="520" w:lineRule="exact"/>
        <w:ind w:firstLine="640" w:firstLineChars="200"/>
        <w:rPr>
          <w:rFonts w:ascii="仿宋_GB2312" w:eastAsia="仿宋_GB2312"/>
          <w:bCs/>
          <w:sz w:val="32"/>
          <w:szCs w:val="32"/>
        </w:rPr>
      </w:pPr>
      <w:r>
        <w:rPr>
          <w:rFonts w:hint="eastAsia" w:ascii="仿宋_GB2312" w:eastAsia="仿宋_GB2312"/>
          <w:bCs/>
          <w:sz w:val="32"/>
          <w:szCs w:val="32"/>
        </w:rPr>
        <w:t>如产品算法采用人工智能算法，还应根据《人工智能医疗器械注册审查指导原则》的要求提交相应资料。</w:t>
      </w:r>
    </w:p>
    <w:p w14:paraId="7B205717">
      <w:pPr>
        <w:spacing w:line="520" w:lineRule="exact"/>
        <w:ind w:firstLine="640" w:firstLineChars="200"/>
        <w:outlineLvl w:val="3"/>
        <w:rPr>
          <w:rFonts w:eastAsia="仿宋_GB2312"/>
          <w:sz w:val="32"/>
          <w:szCs w:val="32"/>
        </w:rPr>
      </w:pPr>
      <w:r>
        <w:rPr>
          <w:rFonts w:hint="eastAsia" w:eastAsia="仿宋_GB2312"/>
          <w:sz w:val="32"/>
          <w:szCs w:val="32"/>
        </w:rPr>
        <w:t>4.</w:t>
      </w:r>
      <w:r>
        <w:rPr>
          <w:rFonts w:eastAsia="仿宋_GB2312"/>
          <w:sz w:val="32"/>
          <w:szCs w:val="32"/>
        </w:rPr>
        <w:t>4</w:t>
      </w:r>
      <w:r>
        <w:rPr>
          <w:rFonts w:hint="eastAsia" w:eastAsia="仿宋_GB2312"/>
          <w:sz w:val="32"/>
          <w:szCs w:val="32"/>
        </w:rPr>
        <w:t>生物相容性评价研究</w:t>
      </w:r>
    </w:p>
    <w:p w14:paraId="22B9F79B">
      <w:pPr>
        <w:spacing w:line="520" w:lineRule="exact"/>
        <w:ind w:firstLine="636" w:firstLineChars="200"/>
        <w:rPr>
          <w:rFonts w:eastAsia="仿宋_GB2312"/>
          <w:color w:val="000000" w:themeColor="text1"/>
          <w:spacing w:val="-1"/>
          <w:sz w:val="32"/>
          <w:szCs w:val="32"/>
          <w14:textFill>
            <w14:solidFill>
              <w14:schemeClr w14:val="tx1"/>
            </w14:solidFill>
          </w14:textFill>
        </w:rPr>
      </w:pPr>
      <w:r>
        <w:rPr>
          <w:rFonts w:eastAsia="仿宋_GB2312"/>
          <w:color w:val="000000" w:themeColor="text1"/>
          <w:spacing w:val="-1"/>
          <w:sz w:val="32"/>
          <w:szCs w:val="32"/>
          <w14:textFill>
            <w14:solidFill>
              <w14:schemeClr w14:val="tx1"/>
            </w14:solidFill>
          </w14:textFill>
        </w:rPr>
        <w:t>生物相容性评价应根据</w:t>
      </w:r>
      <w:r>
        <w:rPr>
          <w:rFonts w:hint="eastAsia" w:eastAsia="仿宋_GB2312"/>
          <w:sz w:val="32"/>
          <w:szCs w:val="32"/>
        </w:rPr>
        <w:t>产品各结构组成</w:t>
      </w:r>
      <w:r>
        <w:rPr>
          <w:rFonts w:eastAsia="仿宋_GB2312"/>
          <w:color w:val="000000" w:themeColor="text1"/>
          <w:spacing w:val="-1"/>
          <w:sz w:val="32"/>
          <w:szCs w:val="32"/>
          <w14:textFill>
            <w14:solidFill>
              <w14:schemeClr w14:val="tx1"/>
            </w14:solidFill>
          </w14:textFill>
        </w:rPr>
        <w:t>预期与人体接触的部位、接触性质、接触时间以及所采用的材料的种类，选择合适的评价方式开展评价研究。</w:t>
      </w:r>
    </w:p>
    <w:p w14:paraId="535CBEAA">
      <w:pPr>
        <w:spacing w:line="520" w:lineRule="exact"/>
        <w:ind w:firstLine="640" w:firstLineChars="200"/>
        <w:rPr>
          <w:rFonts w:eastAsia="仿宋_GB2312"/>
          <w:sz w:val="32"/>
          <w:szCs w:val="32"/>
        </w:rPr>
      </w:pPr>
      <w:r>
        <w:rPr>
          <w:rFonts w:hint="eastAsia" w:eastAsia="仿宋_GB2312" w:cs="仿宋_GB2312"/>
          <w:snapToGrid w:val="0"/>
          <w:kern w:val="0"/>
          <w:sz w:val="32"/>
          <w:szCs w:val="32"/>
        </w:rPr>
        <w:t>眼震电图类设备</w:t>
      </w:r>
      <w:r>
        <w:rPr>
          <w:rFonts w:hint="eastAsia" w:eastAsia="仿宋_GB2312"/>
          <w:sz w:val="32"/>
          <w:szCs w:val="32"/>
        </w:rPr>
        <w:t>预期与患者接触的部件主要是眼垫、头带、电极等与患者皮肤短期接触。</w:t>
      </w:r>
      <w:r>
        <w:rPr>
          <w:rFonts w:eastAsia="仿宋_GB2312"/>
          <w:color w:val="000000" w:themeColor="text1"/>
          <w:spacing w:val="-1"/>
          <w:sz w:val="32"/>
          <w:szCs w:val="32"/>
          <w14:textFill>
            <w14:solidFill>
              <w14:schemeClr w14:val="tx1"/>
            </w14:solidFill>
          </w14:textFill>
        </w:rPr>
        <w:t>如需进行生物相容性试验，应按照GB/T 16886系列标准的要求开展</w:t>
      </w:r>
      <w:r>
        <w:rPr>
          <w:rFonts w:hint="eastAsia" w:eastAsia="仿宋_GB2312"/>
          <w:sz w:val="32"/>
          <w:szCs w:val="32"/>
        </w:rPr>
        <w:t>。</w:t>
      </w:r>
    </w:p>
    <w:p w14:paraId="280B52EE">
      <w:pPr>
        <w:spacing w:line="520" w:lineRule="exact"/>
        <w:ind w:firstLine="636" w:firstLineChars="200"/>
        <w:outlineLvl w:val="3"/>
        <w:rPr>
          <w:rFonts w:eastAsia="仿宋_GB2312"/>
          <w:color w:val="000000" w:themeColor="text1"/>
          <w:spacing w:val="-1"/>
          <w:sz w:val="32"/>
          <w:szCs w:val="32"/>
          <w14:textFill>
            <w14:solidFill>
              <w14:schemeClr w14:val="tx1"/>
            </w14:solidFill>
          </w14:textFill>
        </w:rPr>
      </w:pPr>
      <w:r>
        <w:rPr>
          <w:rFonts w:hint="eastAsia" w:eastAsia="仿宋_GB2312"/>
          <w:color w:val="000000" w:themeColor="text1"/>
          <w:spacing w:val="-1"/>
          <w:sz w:val="32"/>
          <w:szCs w:val="32"/>
          <w14:textFill>
            <w14:solidFill>
              <w14:schemeClr w14:val="tx1"/>
            </w14:solidFill>
          </w14:textFill>
        </w:rPr>
        <w:t>4.</w:t>
      </w:r>
      <w:r>
        <w:rPr>
          <w:rFonts w:eastAsia="仿宋_GB2312"/>
          <w:color w:val="000000" w:themeColor="text1"/>
          <w:spacing w:val="-1"/>
          <w:sz w:val="32"/>
          <w:szCs w:val="32"/>
          <w14:textFill>
            <w14:solidFill>
              <w14:schemeClr w14:val="tx1"/>
            </w14:solidFill>
          </w14:textFill>
        </w:rPr>
        <w:t>5消毒、灭菌研究</w:t>
      </w:r>
    </w:p>
    <w:p w14:paraId="55793FC3">
      <w:pPr>
        <w:spacing w:line="520" w:lineRule="exact"/>
        <w:ind w:firstLine="636" w:firstLineChars="200"/>
        <w:rPr>
          <w:rFonts w:eastAsia="仿宋_GB2312"/>
          <w:color w:val="000000" w:themeColor="text1"/>
          <w:spacing w:val="-1"/>
          <w:sz w:val="32"/>
          <w:szCs w:val="32"/>
          <w14:textFill>
            <w14:solidFill>
              <w14:schemeClr w14:val="tx1"/>
            </w14:solidFill>
          </w14:textFill>
        </w:rPr>
      </w:pPr>
      <w:r>
        <w:rPr>
          <w:rFonts w:eastAsia="仿宋_GB2312"/>
          <w:color w:val="000000" w:themeColor="text1"/>
          <w:spacing w:val="-1"/>
          <w:sz w:val="32"/>
          <w:szCs w:val="32"/>
          <w14:textFill>
            <w14:solidFill>
              <w14:schemeClr w14:val="tx1"/>
            </w14:solidFill>
          </w14:textFill>
        </w:rPr>
        <w:t>由注册申请人制定消毒和灭菌使用的方法和设备/试剂。根据产品组成各部分的使用方式确定消毒或灭菌级别。</w:t>
      </w:r>
    </w:p>
    <w:p w14:paraId="27900ABC">
      <w:pPr>
        <w:spacing w:line="560" w:lineRule="exact"/>
        <w:ind w:firstLine="640" w:firstLineChars="200"/>
        <w:rPr>
          <w:rFonts w:eastAsia="仿宋_GB2312"/>
          <w:bCs/>
          <w:sz w:val="32"/>
          <w:szCs w:val="32"/>
        </w:rPr>
      </w:pPr>
      <w:r>
        <w:rPr>
          <w:rFonts w:hint="eastAsia" w:eastAsia="仿宋_GB2312"/>
          <w:sz w:val="32"/>
          <w:szCs w:val="32"/>
        </w:rPr>
        <w:t>一般情况下，</w:t>
      </w:r>
      <w:r>
        <w:rPr>
          <w:rFonts w:hint="eastAsia" w:eastAsia="仿宋_GB2312"/>
          <w:bCs/>
          <w:sz w:val="32"/>
          <w:szCs w:val="32"/>
        </w:rPr>
        <w:t>眼震图设备</w:t>
      </w:r>
      <w:r>
        <w:rPr>
          <w:rFonts w:hint="eastAsia" w:eastAsia="仿宋_GB2312"/>
          <w:sz w:val="32"/>
          <w:szCs w:val="32"/>
        </w:rPr>
        <w:t>与人体表面皮肤接触，无需灭菌，由使用者常规擦拭或中低水平消毒，</w:t>
      </w:r>
      <w:r>
        <w:rPr>
          <w:rFonts w:hint="eastAsia" w:eastAsia="仿宋_GB2312"/>
          <w:bCs/>
          <w:sz w:val="32"/>
          <w:szCs w:val="32"/>
        </w:rPr>
        <w:t>申请人可以按《医疗机构消毒技术规范》等进行消毒工艺的研究</w:t>
      </w:r>
      <w:r>
        <w:rPr>
          <w:rFonts w:hint="eastAsia" w:eastAsia="仿宋_GB2312"/>
          <w:color w:val="000000" w:themeColor="text1"/>
          <w:spacing w:val="-1"/>
          <w:sz w:val="32"/>
          <w:szCs w:val="32"/>
          <w14:textFill>
            <w14:solidFill>
              <w14:schemeClr w14:val="tx1"/>
            </w14:solidFill>
          </w14:textFill>
        </w:rPr>
        <w:t>，</w:t>
      </w:r>
      <w:r>
        <w:rPr>
          <w:rFonts w:eastAsia="仿宋_GB2312"/>
          <w:color w:val="000000" w:themeColor="text1"/>
          <w:spacing w:val="-1"/>
          <w:sz w:val="32"/>
          <w:szCs w:val="32"/>
          <w14:textFill>
            <w14:solidFill>
              <w14:schemeClr w14:val="tx1"/>
            </w14:solidFill>
          </w14:textFill>
        </w:rPr>
        <w:t>明确推荐的消毒工艺（方法和参数）以及所推荐的消毒方法确定的依据。</w:t>
      </w:r>
    </w:p>
    <w:p w14:paraId="5BF8A18A">
      <w:pPr>
        <w:overflowPunct w:val="0"/>
        <w:spacing w:line="520" w:lineRule="exact"/>
        <w:ind w:firstLine="640" w:firstLineChars="200"/>
        <w:outlineLvl w:val="3"/>
        <w:rPr>
          <w:rFonts w:eastAsia="仿宋_GB2312"/>
          <w:sz w:val="32"/>
          <w:szCs w:val="32"/>
        </w:rPr>
      </w:pPr>
      <w:r>
        <w:rPr>
          <w:rFonts w:hint="eastAsia" w:eastAsia="仿宋_GB2312"/>
          <w:sz w:val="32"/>
          <w:szCs w:val="32"/>
        </w:rPr>
        <w:t>4.</w:t>
      </w:r>
      <w:r>
        <w:rPr>
          <w:rFonts w:eastAsia="仿宋_GB2312"/>
          <w:sz w:val="32"/>
          <w:szCs w:val="32"/>
        </w:rPr>
        <w:t>6</w:t>
      </w:r>
      <w:r>
        <w:rPr>
          <w:rFonts w:hint="eastAsia" w:eastAsia="仿宋_GB2312"/>
          <w:sz w:val="32"/>
          <w:szCs w:val="32"/>
        </w:rPr>
        <w:t>稳定性研究</w:t>
      </w:r>
    </w:p>
    <w:p w14:paraId="6C5A23C4">
      <w:pPr>
        <w:spacing w:line="520" w:lineRule="exact"/>
        <w:ind w:firstLine="636" w:firstLineChars="200"/>
        <w:rPr>
          <w:rFonts w:eastAsia="仿宋_GB2312"/>
          <w:color w:val="000000" w:themeColor="text1"/>
          <w:spacing w:val="-1"/>
          <w:sz w:val="32"/>
          <w:szCs w:val="32"/>
          <w14:textFill>
            <w14:solidFill>
              <w14:schemeClr w14:val="tx1"/>
            </w14:solidFill>
          </w14:textFill>
        </w:rPr>
      </w:pPr>
      <w:r>
        <w:rPr>
          <w:rFonts w:eastAsia="仿宋_GB2312"/>
          <w:color w:val="000000" w:themeColor="text1"/>
          <w:spacing w:val="-1"/>
          <w:sz w:val="32"/>
          <w:szCs w:val="32"/>
          <w14:textFill>
            <w14:solidFill>
              <w14:schemeClr w14:val="tx1"/>
            </w14:solidFill>
          </w14:textFill>
        </w:rPr>
        <w:t>有效期研究可参考《</w:t>
      </w:r>
      <w:bookmarkStart w:id="11" w:name="_Hlk160893311"/>
      <w:r>
        <w:rPr>
          <w:rFonts w:eastAsia="仿宋_GB2312"/>
          <w:color w:val="000000" w:themeColor="text1"/>
          <w:spacing w:val="-1"/>
          <w:sz w:val="32"/>
          <w:szCs w:val="32"/>
          <w14:textFill>
            <w14:solidFill>
              <w14:schemeClr w14:val="tx1"/>
            </w14:solidFill>
          </w14:textFill>
        </w:rPr>
        <w:t>有源医疗器械使用期限技术审查指导原则</w:t>
      </w:r>
      <w:bookmarkEnd w:id="11"/>
      <w:r>
        <w:rPr>
          <w:rFonts w:eastAsia="仿宋_GB2312"/>
          <w:color w:val="000000" w:themeColor="text1"/>
          <w:spacing w:val="-1"/>
          <w:sz w:val="32"/>
          <w:szCs w:val="32"/>
          <w14:textFill>
            <w14:solidFill>
              <w14:schemeClr w14:val="tx1"/>
            </w14:solidFill>
          </w14:textFill>
        </w:rPr>
        <w:t>》的要求。</w:t>
      </w:r>
      <w:r>
        <w:rPr>
          <w:rFonts w:hint="eastAsia" w:eastAsia="仿宋_GB2312"/>
          <w:sz w:val="32"/>
          <w:szCs w:val="32"/>
        </w:rPr>
        <w:t>考虑核心器件本身的老化，同时考虑使用频次的不同及一些不可预测的因素，提供产品使用期限的分析验证报告</w:t>
      </w:r>
      <w:r>
        <w:rPr>
          <w:rFonts w:eastAsia="仿宋_GB2312"/>
          <w:sz w:val="32"/>
          <w:szCs w:val="32"/>
        </w:rPr>
        <w:t>。</w:t>
      </w:r>
    </w:p>
    <w:p w14:paraId="591B00FA">
      <w:pPr>
        <w:spacing w:line="520" w:lineRule="exact"/>
        <w:ind w:firstLine="640" w:firstLineChars="200"/>
        <w:rPr>
          <w:rFonts w:eastAsia="仿宋_GB2312"/>
          <w:sz w:val="32"/>
          <w:szCs w:val="32"/>
        </w:rPr>
      </w:pPr>
      <w:r>
        <w:rPr>
          <w:rFonts w:eastAsia="仿宋_GB2312"/>
          <w:sz w:val="32"/>
          <w:szCs w:val="32"/>
        </w:rPr>
        <w:t>注册申请人对包装和产品进行模拟试验，模拟在贮存和运输过程中，遇到极端情况时，例如环境（温湿度、气压等）变化、跌落、振动、加速度等，产品不会发生性能、功能改变，包装</w:t>
      </w:r>
      <w:r>
        <w:rPr>
          <w:rFonts w:hint="eastAsia" w:eastAsia="仿宋_GB2312"/>
          <w:sz w:val="32"/>
          <w:szCs w:val="32"/>
        </w:rPr>
        <w:t>设备</w:t>
      </w:r>
      <w:r>
        <w:rPr>
          <w:rFonts w:eastAsia="仿宋_GB2312"/>
          <w:sz w:val="32"/>
          <w:szCs w:val="32"/>
        </w:rPr>
        <w:t>具有保护产品的能力。经过模拟试验后，观察包装外观是否有不可接受的异常现象，对产品进行</w:t>
      </w:r>
      <w:r>
        <w:rPr>
          <w:rFonts w:hint="eastAsia" w:eastAsia="仿宋_GB2312"/>
          <w:sz w:val="32"/>
          <w:szCs w:val="32"/>
        </w:rPr>
        <w:t>安全性和</w:t>
      </w:r>
      <w:r>
        <w:rPr>
          <w:rFonts w:eastAsia="仿宋_GB2312"/>
          <w:sz w:val="32"/>
          <w:szCs w:val="32"/>
        </w:rPr>
        <w:t>性能测试，证明运输和环境测试后产品能够保持其完整性和功能性。</w:t>
      </w:r>
    </w:p>
    <w:p w14:paraId="7C014A83">
      <w:pPr>
        <w:overflowPunct w:val="0"/>
        <w:spacing w:line="520" w:lineRule="exact"/>
        <w:ind w:firstLine="640" w:firstLineChars="200"/>
        <w:outlineLvl w:val="3"/>
        <w:rPr>
          <w:rFonts w:eastAsia="仿宋_GB2312"/>
          <w:sz w:val="32"/>
          <w:szCs w:val="32"/>
        </w:rPr>
      </w:pPr>
      <w:r>
        <w:rPr>
          <w:rFonts w:hint="eastAsia" w:eastAsia="仿宋_GB2312"/>
          <w:sz w:val="32"/>
          <w:szCs w:val="32"/>
        </w:rPr>
        <w:t>4.</w:t>
      </w:r>
      <w:r>
        <w:rPr>
          <w:rFonts w:eastAsia="仿宋_GB2312"/>
          <w:sz w:val="32"/>
          <w:szCs w:val="32"/>
        </w:rPr>
        <w:t>7</w:t>
      </w:r>
      <w:r>
        <w:rPr>
          <w:rFonts w:hint="eastAsia" w:eastAsia="仿宋_GB2312"/>
          <w:sz w:val="32"/>
          <w:szCs w:val="32"/>
        </w:rPr>
        <w:t>可用性</w:t>
      </w:r>
    </w:p>
    <w:p w14:paraId="58947FAB">
      <w:pPr>
        <w:spacing w:line="520" w:lineRule="exact"/>
        <w:ind w:firstLine="640" w:firstLineChars="200"/>
        <w:rPr>
          <w:rFonts w:ascii="仿宋_GB2312" w:eastAsia="仿宋_GB2312"/>
          <w:bCs/>
          <w:sz w:val="32"/>
          <w:szCs w:val="32"/>
        </w:rPr>
      </w:pPr>
      <w:r>
        <w:rPr>
          <w:rFonts w:hint="eastAsia" w:ascii="仿宋_GB2312" w:eastAsia="仿宋_GB2312"/>
          <w:bCs/>
          <w:sz w:val="32"/>
          <w:szCs w:val="32"/>
        </w:rPr>
        <w:t>应根据《医疗器械可用性工程注册审查指导原则》的要求提交使用错误评估报告。</w:t>
      </w:r>
    </w:p>
    <w:p w14:paraId="53F2BB88">
      <w:pPr>
        <w:spacing w:line="520" w:lineRule="exact"/>
        <w:ind w:right="-67" w:rightChars="-32" w:firstLine="640" w:firstLineChars="200"/>
        <w:outlineLvl w:val="1"/>
        <w:rPr>
          <w:rFonts w:eastAsia="楷体_GB2312"/>
          <w:sz w:val="32"/>
          <w:szCs w:val="32"/>
        </w:rPr>
      </w:pPr>
      <w:r>
        <w:rPr>
          <w:rFonts w:eastAsia="楷体_GB2312"/>
          <w:sz w:val="32"/>
          <w:szCs w:val="32"/>
        </w:rPr>
        <w:t>（</w:t>
      </w:r>
      <w:r>
        <w:rPr>
          <w:rFonts w:hint="eastAsia" w:eastAsia="楷体_GB2312"/>
          <w:sz w:val="32"/>
          <w:szCs w:val="32"/>
        </w:rPr>
        <w:t>四</w:t>
      </w:r>
      <w:r>
        <w:rPr>
          <w:rFonts w:eastAsia="楷体_GB2312"/>
          <w:sz w:val="32"/>
          <w:szCs w:val="32"/>
        </w:rPr>
        <w:t>）</w:t>
      </w:r>
      <w:r>
        <w:rPr>
          <w:rFonts w:hint="eastAsia" w:eastAsia="楷体_GB2312"/>
          <w:sz w:val="32"/>
          <w:szCs w:val="32"/>
        </w:rPr>
        <w:t>临床评价资料</w:t>
      </w:r>
    </w:p>
    <w:p w14:paraId="22112647">
      <w:pPr>
        <w:spacing w:line="520" w:lineRule="exact"/>
        <w:ind w:right="-67" w:rightChars="-32" w:firstLine="636" w:firstLineChars="200"/>
        <w:rPr>
          <w:rFonts w:eastAsia="仿宋_GB2312"/>
          <w:sz w:val="32"/>
          <w:szCs w:val="32"/>
        </w:rPr>
      </w:pPr>
      <w:r>
        <w:rPr>
          <w:rFonts w:hint="eastAsia" w:eastAsia="仿宋_GB2312"/>
          <w:color w:val="000000" w:themeColor="text1"/>
          <w:spacing w:val="-1"/>
          <w:sz w:val="32"/>
          <w:szCs w:val="32"/>
          <w14:textFill>
            <w14:solidFill>
              <w14:schemeClr w14:val="tx1"/>
            </w14:solidFill>
          </w14:textFill>
        </w:rPr>
        <w:t>眼震图</w:t>
      </w:r>
      <w:r>
        <w:rPr>
          <w:rFonts w:eastAsia="仿宋_GB2312"/>
          <w:color w:val="000000" w:themeColor="text1"/>
          <w:spacing w:val="-1"/>
          <w:sz w:val="32"/>
          <w:szCs w:val="32"/>
          <w14:textFill>
            <w14:solidFill>
              <w14:schemeClr w14:val="tx1"/>
            </w14:solidFill>
          </w14:textFill>
        </w:rPr>
        <w:t>设备不属于免于临床评价目录中的产品，需按照</w:t>
      </w:r>
      <w:r>
        <w:rPr>
          <w:rFonts w:eastAsia="仿宋_GB2312"/>
          <w:sz w:val="32"/>
          <w:szCs w:val="32"/>
        </w:rPr>
        <w:t>《医疗器械临床评价技术指导原则》及《医疗器械分类目录相关产品临床评价推荐路径》相关的文件要求，合理选择临床评价路径，按要求提交临床评价资料。</w:t>
      </w:r>
    </w:p>
    <w:p w14:paraId="06F62B6B">
      <w:pPr>
        <w:spacing w:line="520" w:lineRule="exact"/>
        <w:ind w:firstLine="640" w:firstLineChars="200"/>
        <w:outlineLvl w:val="2"/>
        <w:rPr>
          <w:rFonts w:eastAsia="仿宋_GB2312"/>
          <w:sz w:val="32"/>
          <w:szCs w:val="32"/>
        </w:rPr>
      </w:pPr>
      <w:r>
        <w:rPr>
          <w:rFonts w:eastAsia="仿宋_GB2312"/>
          <w:sz w:val="32"/>
          <w:szCs w:val="32"/>
        </w:rPr>
        <w:t>1.</w:t>
      </w:r>
      <w:r>
        <w:t xml:space="preserve"> </w:t>
      </w:r>
      <w:r>
        <w:rPr>
          <w:rFonts w:eastAsia="仿宋_GB2312"/>
          <w:sz w:val="32"/>
          <w:szCs w:val="32"/>
        </w:rPr>
        <w:t>同品种临床评价</w:t>
      </w:r>
    </w:p>
    <w:p w14:paraId="2CEC4F23">
      <w:pPr>
        <w:spacing w:line="520" w:lineRule="exact"/>
        <w:ind w:firstLine="640" w:firstLineChars="200"/>
        <w:rPr>
          <w:rFonts w:eastAsia="仿宋_GB2312"/>
          <w:sz w:val="32"/>
          <w:szCs w:val="32"/>
        </w:rPr>
      </w:pPr>
      <w:r>
        <w:rPr>
          <w:rFonts w:eastAsia="仿宋_GB2312"/>
          <w:sz w:val="32"/>
          <w:szCs w:val="32"/>
        </w:rPr>
        <w:t>该类产品为《医疗器械分类目录相关产品临床评价推荐路径》中标注“同品种”的产品，根据《医疗器械分类目录相关产品临床评价推荐路径》使用说明要求，可按照《医疗器械临床评价技术指导原则》《医疗器械临床评价等同性论证技术指导原则》《医疗器械注册申报临床评价报告技术指导原则》的相关要求，根据申报产品特征、临床风险、已有临床数据等情形，选取合适的同品种医疗器械，通过对同品种医疗器械临床数据进行分析评价，证明医疗器械的安全性、有效性。</w:t>
      </w:r>
      <w:r>
        <w:rPr>
          <w:rFonts w:hint="eastAsia" w:eastAsia="仿宋_GB2312"/>
          <w:sz w:val="32"/>
          <w:szCs w:val="32"/>
        </w:rPr>
        <w:t>眼震电图类设备关注技术指标是否一致，软件功能是否实质一致。</w:t>
      </w:r>
    </w:p>
    <w:p w14:paraId="00A4AC17">
      <w:pPr>
        <w:spacing w:line="520" w:lineRule="exact"/>
        <w:ind w:firstLine="640" w:firstLineChars="200"/>
        <w:rPr>
          <w:rFonts w:eastAsia="仿宋_GB2312"/>
          <w:sz w:val="32"/>
          <w:szCs w:val="32"/>
        </w:rPr>
      </w:pPr>
      <w:r>
        <w:rPr>
          <w:rFonts w:eastAsia="仿宋_GB2312"/>
          <w:sz w:val="32"/>
          <w:szCs w:val="32"/>
        </w:rPr>
        <w:t>详见《医疗器械临床评价技术指导原则》中将同品种医疗器械的临床数据用于支持申报产品的安全性、临床性能和/或有效性的要求。</w:t>
      </w:r>
    </w:p>
    <w:p w14:paraId="486A8E93">
      <w:pPr>
        <w:spacing w:line="520" w:lineRule="exact"/>
        <w:ind w:firstLine="640" w:firstLineChars="200"/>
        <w:outlineLvl w:val="2"/>
        <w:rPr>
          <w:rFonts w:eastAsia="仿宋_GB2312"/>
          <w:sz w:val="32"/>
          <w:szCs w:val="32"/>
        </w:rPr>
      </w:pPr>
      <w:r>
        <w:rPr>
          <w:rFonts w:eastAsia="仿宋_GB2312"/>
          <w:sz w:val="32"/>
          <w:szCs w:val="32"/>
        </w:rPr>
        <w:t>2.临床试验</w:t>
      </w:r>
    </w:p>
    <w:p w14:paraId="3AEC7B4A">
      <w:pPr>
        <w:spacing w:line="520" w:lineRule="exact"/>
        <w:ind w:firstLine="640" w:firstLineChars="200"/>
        <w:rPr>
          <w:rFonts w:eastAsia="仿宋_GB2312"/>
          <w:sz w:val="32"/>
          <w:szCs w:val="32"/>
        </w:rPr>
      </w:pPr>
      <w:r>
        <w:rPr>
          <w:rFonts w:eastAsia="仿宋_GB2312"/>
          <w:sz w:val="32"/>
          <w:szCs w:val="32"/>
        </w:rPr>
        <w:t>根据《医疗器械分类目录相关产品临床评价推荐路径》使用说明要求，如申报产品与同品种医疗器械相比，适用范围、技术特征和/或生物学特性等方面具有显著差异，属于《决策是否开展医疗器械临床试验技术指导原则》中提出的“新型医疗器械”，需提交申报产品的临床试验资料。</w:t>
      </w:r>
    </w:p>
    <w:p w14:paraId="1D429BAE">
      <w:pPr>
        <w:spacing w:line="520" w:lineRule="exact"/>
        <w:ind w:firstLine="640" w:firstLineChars="200"/>
        <w:rPr>
          <w:rFonts w:eastAsia="仿宋_GB2312"/>
          <w:sz w:val="32"/>
          <w:szCs w:val="32"/>
        </w:rPr>
      </w:pPr>
      <w:r>
        <w:rPr>
          <w:rFonts w:eastAsia="仿宋_GB2312"/>
          <w:sz w:val="32"/>
          <w:szCs w:val="32"/>
        </w:rPr>
        <w:t>注册申请人可参照《决策是否开展医疗器械临床试验技术指导原则》明确需要开展临床试验的主要考虑因素，若开展申报产品临床试验，则需严格按照《医疗器械临床试验质量管理规范》进行临床试验，并提交完整的临床试验资料。临床试验的设计可参考《医疗器械临床试验设计指导原则》。</w:t>
      </w:r>
    </w:p>
    <w:p w14:paraId="1F5B14DD">
      <w:pPr>
        <w:spacing w:line="520" w:lineRule="exact"/>
        <w:ind w:firstLine="640" w:firstLineChars="200"/>
        <w:rPr>
          <w:rFonts w:eastAsia="仿宋_GB2312"/>
          <w:bCs/>
          <w:sz w:val="32"/>
          <w:szCs w:val="32"/>
        </w:rPr>
      </w:pPr>
      <w:r>
        <w:rPr>
          <w:rFonts w:eastAsia="仿宋_GB2312"/>
          <w:sz w:val="32"/>
          <w:szCs w:val="32"/>
        </w:rPr>
        <w:t>注册申请人如有境外临床试验数据，可参照《接受医疗器械境外临床试验数据技术指导原则》的要求提交相关资料。</w:t>
      </w:r>
    </w:p>
    <w:p w14:paraId="043C3409">
      <w:pPr>
        <w:spacing w:line="480" w:lineRule="exact"/>
        <w:ind w:left="641" w:right="-67" w:rightChars="-32"/>
        <w:outlineLvl w:val="1"/>
        <w:rPr>
          <w:rFonts w:ascii="楷体_GB2312" w:eastAsia="楷体_GB2312"/>
          <w:sz w:val="32"/>
          <w:szCs w:val="32"/>
        </w:rPr>
      </w:pPr>
      <w:r>
        <w:rPr>
          <w:rFonts w:eastAsia="楷体_GB2312"/>
          <w:sz w:val="32"/>
          <w:szCs w:val="32"/>
        </w:rPr>
        <w:t>（</w:t>
      </w:r>
      <w:r>
        <w:rPr>
          <w:rFonts w:hint="eastAsia" w:eastAsia="楷体_GB2312"/>
          <w:sz w:val="32"/>
          <w:szCs w:val="32"/>
        </w:rPr>
        <w:t>五</w:t>
      </w:r>
      <w:r>
        <w:rPr>
          <w:rFonts w:eastAsia="楷体_GB2312"/>
          <w:sz w:val="32"/>
          <w:szCs w:val="32"/>
        </w:rPr>
        <w:t>）</w:t>
      </w:r>
      <w:r>
        <w:rPr>
          <w:rFonts w:hint="eastAsia" w:ascii="楷体_GB2312" w:eastAsia="楷体_GB2312"/>
          <w:sz w:val="32"/>
          <w:szCs w:val="32"/>
        </w:rPr>
        <w:t>产品说明书和标签样稿</w:t>
      </w:r>
    </w:p>
    <w:p w14:paraId="14A4F744">
      <w:pPr>
        <w:spacing w:line="560" w:lineRule="exact"/>
        <w:ind w:firstLine="960" w:firstLineChars="300"/>
        <w:rPr>
          <w:rFonts w:eastAsia="仿宋_GB2312"/>
          <w:snapToGrid w:val="0"/>
          <w:kern w:val="0"/>
          <w:sz w:val="32"/>
          <w:szCs w:val="32"/>
        </w:rPr>
      </w:pPr>
      <w:r>
        <w:rPr>
          <w:rFonts w:hint="eastAsia" w:eastAsia="仿宋_GB2312"/>
          <w:snapToGrid w:val="0"/>
          <w:kern w:val="0"/>
          <w:sz w:val="32"/>
          <w:szCs w:val="32"/>
        </w:rPr>
        <w:t>产品说明书和标签应符合《医疗器械说明书和标签管理规定》</w:t>
      </w:r>
      <w:r>
        <w:rPr>
          <w:rFonts w:eastAsia="仿宋_GB2312"/>
          <w:snapToGrid w:val="0"/>
          <w:kern w:val="0"/>
          <w:sz w:val="32"/>
          <w:szCs w:val="32"/>
        </w:rPr>
        <w:t>和相关标准</w:t>
      </w:r>
      <w:r>
        <w:rPr>
          <w:rFonts w:hint="eastAsia" w:eastAsia="仿宋_GB2312"/>
          <w:snapToGrid w:val="0"/>
          <w:kern w:val="0"/>
          <w:sz w:val="32"/>
          <w:szCs w:val="32"/>
        </w:rPr>
        <w:t>如：GB9706.1</w:t>
      </w:r>
      <w:r>
        <w:rPr>
          <w:rFonts w:hint="eastAsia" w:eastAsia="仿宋_GB2312"/>
          <w:snapToGrid w:val="0"/>
          <w:color w:val="auto"/>
          <w:kern w:val="0"/>
          <w:sz w:val="32"/>
          <w:szCs w:val="32"/>
        </w:rPr>
        <w:t>、</w:t>
      </w:r>
      <w:r>
        <w:rPr>
          <w:rFonts w:eastAsia="仿宋_GB2312"/>
          <w:bCs/>
          <w:color w:val="auto"/>
          <w:sz w:val="32"/>
          <w:szCs w:val="32"/>
        </w:rPr>
        <w:t>YY 9706.240</w:t>
      </w:r>
      <w:r>
        <w:rPr>
          <w:rFonts w:hint="eastAsia" w:eastAsia="仿宋_GB2312"/>
          <w:bCs/>
          <w:color w:val="auto"/>
          <w:sz w:val="32"/>
          <w:szCs w:val="32"/>
          <w:lang w:eastAsia="zh-CN"/>
        </w:rPr>
        <w:t>（如适用）、</w:t>
      </w:r>
      <w:r>
        <w:rPr>
          <w:rFonts w:hint="eastAsia" w:eastAsia="仿宋_GB2312"/>
          <w:snapToGrid w:val="0"/>
          <w:kern w:val="0"/>
          <w:sz w:val="32"/>
          <w:szCs w:val="32"/>
        </w:rPr>
        <w:t>GB7247.1</w:t>
      </w:r>
      <w:r>
        <w:rPr>
          <w:rFonts w:hint="eastAsia" w:eastAsia="仿宋_GB2312"/>
          <w:color w:val="000000" w:themeColor="text1"/>
          <w:spacing w:val="-1"/>
          <w:sz w:val="32"/>
          <w:szCs w:val="32"/>
          <w14:textFill>
            <w14:solidFill>
              <w14:schemeClr w14:val="tx1"/>
            </w14:solidFill>
          </w14:textFill>
        </w:rPr>
        <w:t>（</w:t>
      </w:r>
      <w:r>
        <w:rPr>
          <w:rFonts w:eastAsia="仿宋_GB2312"/>
          <w:color w:val="000000" w:themeColor="text1"/>
          <w:spacing w:val="-1"/>
          <w:sz w:val="32"/>
          <w:szCs w:val="32"/>
          <w14:textFill>
            <w14:solidFill>
              <w14:schemeClr w14:val="tx1"/>
            </w14:solidFill>
          </w14:textFill>
        </w:rPr>
        <w:t>如适用</w:t>
      </w:r>
      <w:r>
        <w:rPr>
          <w:rFonts w:hint="eastAsia" w:eastAsia="仿宋_GB2312"/>
          <w:color w:val="000000" w:themeColor="text1"/>
          <w:spacing w:val="-1"/>
          <w:sz w:val="32"/>
          <w:szCs w:val="32"/>
          <w14:textFill>
            <w14:solidFill>
              <w14:schemeClr w14:val="tx1"/>
            </w14:solidFill>
          </w14:textFill>
        </w:rPr>
        <w:t>）</w:t>
      </w:r>
      <w:r>
        <w:rPr>
          <w:rFonts w:hint="eastAsia" w:eastAsia="仿宋_GB2312"/>
          <w:snapToGrid w:val="0"/>
          <w:kern w:val="0"/>
          <w:sz w:val="32"/>
          <w:szCs w:val="32"/>
        </w:rPr>
        <w:t>、YY9706.102中有关产品使用说明书及标签的相关要求。</w:t>
      </w:r>
    </w:p>
    <w:p w14:paraId="17AEB5CF">
      <w:pPr>
        <w:spacing w:line="560" w:lineRule="exact"/>
        <w:ind w:firstLine="960" w:firstLineChars="300"/>
        <w:rPr>
          <w:rFonts w:eastAsia="仿宋_GB2312"/>
          <w:snapToGrid w:val="0"/>
          <w:kern w:val="0"/>
          <w:sz w:val="32"/>
          <w:szCs w:val="32"/>
        </w:rPr>
      </w:pPr>
      <w:r>
        <w:rPr>
          <w:rFonts w:hint="eastAsia" w:eastAsia="仿宋_GB2312"/>
          <w:snapToGrid w:val="0"/>
          <w:kern w:val="0"/>
          <w:sz w:val="32"/>
          <w:szCs w:val="32"/>
        </w:rPr>
        <w:t>1.产品说明书</w:t>
      </w:r>
    </w:p>
    <w:p w14:paraId="24819254">
      <w:pPr>
        <w:spacing w:line="520" w:lineRule="exact"/>
        <w:ind w:right="-67" w:rightChars="-32" w:firstLine="636" w:firstLineChars="200"/>
        <w:rPr>
          <w:rFonts w:eastAsia="仿宋_GB2312"/>
          <w:color w:val="000000"/>
          <w:spacing w:val="-1"/>
          <w:sz w:val="32"/>
          <w:szCs w:val="32"/>
        </w:rPr>
      </w:pPr>
      <w:r>
        <w:rPr>
          <w:rFonts w:hint="eastAsia" w:eastAsia="仿宋_GB2312"/>
          <w:color w:val="000000"/>
          <w:spacing w:val="-1"/>
          <w:sz w:val="32"/>
          <w:szCs w:val="32"/>
        </w:rPr>
        <w:t>产品说明书内容应当真实、完整、科学，并与产品特性相一致，文字内容必须使用中文，可以附加其他语种。</w:t>
      </w:r>
    </w:p>
    <w:p w14:paraId="19D768F9">
      <w:pPr>
        <w:spacing w:line="520" w:lineRule="exact"/>
        <w:ind w:right="-67" w:rightChars="-32" w:firstLine="636" w:firstLineChars="200"/>
        <w:rPr>
          <w:rFonts w:eastAsia="仿宋_GB2312"/>
          <w:color w:val="000000"/>
          <w:spacing w:val="-1"/>
          <w:sz w:val="32"/>
          <w:szCs w:val="32"/>
        </w:rPr>
      </w:pPr>
      <w:r>
        <w:rPr>
          <w:rFonts w:hint="eastAsia" w:eastAsia="仿宋_GB2312"/>
          <w:color w:val="000000"/>
          <w:spacing w:val="-1"/>
          <w:sz w:val="32"/>
          <w:szCs w:val="32"/>
        </w:rPr>
        <w:t>产品说明书的内容均应有明确的来源，与综述资料、研究资料等注册申报资料的内容保持一致。说明书中涉及技术内容且前述注册申报资料中未包含的，建议提交相应验证资料。</w:t>
      </w:r>
    </w:p>
    <w:p w14:paraId="77E2E4BB">
      <w:pPr>
        <w:spacing w:line="520" w:lineRule="exact"/>
        <w:ind w:firstLine="624" w:firstLineChars="200"/>
        <w:rPr>
          <w:rFonts w:eastAsia="仿宋_GB2312"/>
          <w:bCs/>
          <w:spacing w:val="-4"/>
          <w:sz w:val="32"/>
          <w:szCs w:val="32"/>
        </w:rPr>
      </w:pPr>
      <w:r>
        <w:rPr>
          <w:rFonts w:hint="eastAsia" w:eastAsia="仿宋_GB2312"/>
          <w:bCs/>
          <w:spacing w:val="-4"/>
          <w:sz w:val="32"/>
          <w:szCs w:val="32"/>
        </w:rPr>
        <w:t>产品说明书应参考</w:t>
      </w:r>
      <w:r>
        <w:rPr>
          <w:rFonts w:eastAsia="仿宋_GB2312"/>
          <w:sz w:val="32"/>
          <w:szCs w:val="32"/>
        </w:rPr>
        <w:t>《</w:t>
      </w:r>
      <w:r>
        <w:rPr>
          <w:rFonts w:hint="eastAsia" w:eastAsia="仿宋_GB2312"/>
          <w:sz w:val="32"/>
          <w:szCs w:val="32"/>
        </w:rPr>
        <w:t>医疗器械软件注册审查指导原则（</w:t>
      </w:r>
      <w:r>
        <w:rPr>
          <w:rFonts w:eastAsia="仿宋_GB2312"/>
          <w:sz w:val="32"/>
          <w:szCs w:val="32"/>
        </w:rPr>
        <w:t>2022</w:t>
      </w:r>
      <w:r>
        <w:rPr>
          <w:rFonts w:hint="eastAsia" w:eastAsia="仿宋_GB2312"/>
          <w:sz w:val="32"/>
          <w:szCs w:val="32"/>
        </w:rPr>
        <w:t>年修订版）</w:t>
      </w:r>
      <w:r>
        <w:rPr>
          <w:rFonts w:eastAsia="仿宋_GB2312"/>
          <w:sz w:val="32"/>
          <w:szCs w:val="32"/>
        </w:rPr>
        <w:t>》</w:t>
      </w:r>
      <w:r>
        <w:rPr>
          <w:rFonts w:hint="eastAsia" w:eastAsia="仿宋_GB2312"/>
          <w:bCs/>
          <w:spacing w:val="-4"/>
          <w:sz w:val="32"/>
          <w:szCs w:val="32"/>
        </w:rPr>
        <w:t>体现软件的功能、使用限制、输入输出数据类型、必备软硬件、最大并发数、接口、访问控制、运行环境</w:t>
      </w:r>
      <w:r>
        <w:rPr>
          <w:rFonts w:hint="eastAsia" w:eastAsia="仿宋_GB2312"/>
          <w:sz w:val="32"/>
          <w:szCs w:val="32"/>
        </w:rPr>
        <w:t>（如适用）</w:t>
      </w:r>
      <w:r>
        <w:rPr>
          <w:rFonts w:hint="eastAsia" w:eastAsia="仿宋_GB2312"/>
          <w:bCs/>
          <w:spacing w:val="-4"/>
          <w:sz w:val="32"/>
          <w:szCs w:val="32"/>
        </w:rPr>
        <w:t>、性能效率（如适用）等信息，明确软件发布版本；</w:t>
      </w:r>
    </w:p>
    <w:p w14:paraId="566DD6B0">
      <w:pPr>
        <w:spacing w:line="520" w:lineRule="exact"/>
        <w:ind w:firstLine="624" w:firstLineChars="200"/>
        <w:rPr>
          <w:rFonts w:eastAsia="仿宋_GB2312"/>
          <w:bCs/>
          <w:spacing w:val="-4"/>
          <w:sz w:val="32"/>
          <w:szCs w:val="32"/>
        </w:rPr>
      </w:pPr>
      <w:r>
        <w:rPr>
          <w:rFonts w:hint="eastAsia" w:eastAsia="仿宋_GB2312"/>
          <w:bCs/>
          <w:spacing w:val="-4"/>
          <w:sz w:val="32"/>
          <w:szCs w:val="32"/>
        </w:rPr>
        <w:t>产品说明书应参考</w:t>
      </w:r>
      <w:r>
        <w:rPr>
          <w:rFonts w:eastAsia="仿宋_GB2312"/>
          <w:sz w:val="32"/>
          <w:szCs w:val="32"/>
        </w:rPr>
        <w:t>《</w:t>
      </w:r>
      <w:r>
        <w:rPr>
          <w:rFonts w:hint="eastAsia" w:eastAsia="仿宋_GB2312"/>
          <w:sz w:val="32"/>
          <w:szCs w:val="32"/>
        </w:rPr>
        <w:t>医疗器械网络安全注册审查指导原则（</w:t>
      </w:r>
      <w:r>
        <w:rPr>
          <w:rFonts w:eastAsia="仿宋_GB2312"/>
          <w:sz w:val="32"/>
          <w:szCs w:val="32"/>
        </w:rPr>
        <w:t>2022</w:t>
      </w:r>
      <w:r>
        <w:rPr>
          <w:rFonts w:hint="eastAsia" w:eastAsia="仿宋_GB2312"/>
          <w:sz w:val="32"/>
          <w:szCs w:val="32"/>
        </w:rPr>
        <w:t>年修订版）</w:t>
      </w:r>
      <w:r>
        <w:rPr>
          <w:rFonts w:eastAsia="仿宋_GB2312"/>
          <w:sz w:val="32"/>
          <w:szCs w:val="32"/>
        </w:rPr>
        <w:t>》</w:t>
      </w:r>
      <w:r>
        <w:rPr>
          <w:rFonts w:hint="eastAsia" w:eastAsia="仿宋_GB2312"/>
          <w:bCs/>
          <w:spacing w:val="-4"/>
          <w:sz w:val="32"/>
          <w:szCs w:val="32"/>
        </w:rPr>
        <w:t>提供网络安全</w:t>
      </w:r>
      <w:r>
        <w:rPr>
          <w:rFonts w:eastAsia="仿宋_GB2312"/>
          <w:bCs/>
          <w:spacing w:val="-4"/>
          <w:sz w:val="32"/>
          <w:szCs w:val="32"/>
        </w:rPr>
        <w:t>说明</w:t>
      </w:r>
      <w:r>
        <w:rPr>
          <w:rFonts w:hint="eastAsia" w:eastAsia="仿宋_GB2312"/>
          <w:bCs/>
          <w:spacing w:val="-4"/>
          <w:sz w:val="32"/>
          <w:szCs w:val="32"/>
        </w:rPr>
        <w:t>和使用指导，明确用户访问控制机制、电子接口（含网络接口、电子数据交换接口）及其数据类型和技术特征、网络安全特征配置、数据备份与灾难恢复、运行环境（含</w:t>
      </w:r>
      <w:r>
        <w:rPr>
          <w:rFonts w:eastAsia="仿宋_GB2312"/>
          <w:bCs/>
          <w:spacing w:val="-4"/>
          <w:sz w:val="32"/>
          <w:szCs w:val="32"/>
        </w:rPr>
        <w:t>硬件配置、</w:t>
      </w:r>
      <w:r>
        <w:rPr>
          <w:rFonts w:hint="eastAsia" w:eastAsia="仿宋_GB2312"/>
          <w:bCs/>
          <w:spacing w:val="-4"/>
          <w:sz w:val="32"/>
          <w:szCs w:val="32"/>
        </w:rPr>
        <w:t>外部</w:t>
      </w:r>
      <w:r>
        <w:rPr>
          <w:rFonts w:eastAsia="仿宋_GB2312"/>
          <w:bCs/>
          <w:spacing w:val="-4"/>
          <w:sz w:val="32"/>
          <w:szCs w:val="32"/>
        </w:rPr>
        <w:t>软件环境</w:t>
      </w:r>
      <w:r>
        <w:rPr>
          <w:rFonts w:hint="eastAsia" w:eastAsia="仿宋_GB2312"/>
          <w:bCs/>
          <w:spacing w:val="-4"/>
          <w:sz w:val="32"/>
          <w:szCs w:val="32"/>
        </w:rPr>
        <w:t>、</w:t>
      </w:r>
      <w:r>
        <w:rPr>
          <w:rFonts w:eastAsia="仿宋_GB2312"/>
          <w:bCs/>
          <w:spacing w:val="-4"/>
          <w:sz w:val="32"/>
          <w:szCs w:val="32"/>
        </w:rPr>
        <w:t>网络</w:t>
      </w:r>
      <w:r>
        <w:rPr>
          <w:rFonts w:hint="eastAsia" w:eastAsia="仿宋_GB2312"/>
          <w:bCs/>
          <w:spacing w:val="-4"/>
          <w:sz w:val="32"/>
          <w:szCs w:val="32"/>
        </w:rPr>
        <w:t>环境，若适用）、安全软件兼容性列表（如适用）、外部软件环境与安全软件更新（如适用）、现成软件清单（SBOM，如适用）等要求。</w:t>
      </w:r>
    </w:p>
    <w:p w14:paraId="4ED20869">
      <w:pPr>
        <w:spacing w:line="560" w:lineRule="exact"/>
        <w:ind w:firstLine="960" w:firstLineChars="300"/>
        <w:rPr>
          <w:rFonts w:eastAsia="仿宋_GB2312"/>
          <w:snapToGrid w:val="0"/>
          <w:kern w:val="0"/>
          <w:sz w:val="32"/>
          <w:szCs w:val="32"/>
        </w:rPr>
      </w:pPr>
      <w:r>
        <w:rPr>
          <w:rFonts w:hint="eastAsia" w:eastAsia="仿宋_GB2312"/>
          <w:snapToGrid w:val="0"/>
          <w:kern w:val="0"/>
          <w:sz w:val="32"/>
          <w:szCs w:val="32"/>
        </w:rPr>
        <w:t>警告及注意事项至少包括：</w:t>
      </w:r>
    </w:p>
    <w:p w14:paraId="6A998241">
      <w:pPr>
        <w:spacing w:line="560" w:lineRule="exact"/>
        <w:ind w:firstLine="960" w:firstLineChars="300"/>
        <w:rPr>
          <w:rFonts w:eastAsia="仿宋_GB2312"/>
          <w:snapToGrid w:val="0"/>
          <w:kern w:val="0"/>
          <w:sz w:val="32"/>
          <w:szCs w:val="32"/>
        </w:rPr>
      </w:pPr>
      <w:r>
        <w:rPr>
          <w:rFonts w:hint="eastAsia" w:eastAsia="仿宋_GB2312"/>
          <w:snapToGrid w:val="0"/>
          <w:kern w:val="0"/>
          <w:sz w:val="32"/>
          <w:szCs w:val="32"/>
        </w:rPr>
        <w:t>1.1使用资质的要求，如只能由经过培训的专业的医务人员操作；</w:t>
      </w:r>
    </w:p>
    <w:p w14:paraId="1E26D6D9">
      <w:pPr>
        <w:spacing w:line="560" w:lineRule="exact"/>
        <w:ind w:firstLine="960" w:firstLineChars="300"/>
        <w:rPr>
          <w:rFonts w:eastAsia="仿宋_GB2312"/>
          <w:sz w:val="32"/>
          <w:szCs w:val="32"/>
        </w:rPr>
      </w:pPr>
      <w:r>
        <w:rPr>
          <w:rFonts w:hint="eastAsia" w:eastAsia="仿宋_GB2312"/>
          <w:sz w:val="32"/>
          <w:szCs w:val="32"/>
        </w:rPr>
        <w:t>1.2患者应卸除全部化妆品，包括睫毛膏、美瞳等，排除可能对测试产生干扰的因素（如适用）；</w:t>
      </w:r>
    </w:p>
    <w:p w14:paraId="530D1780">
      <w:pPr>
        <w:spacing w:line="560" w:lineRule="exact"/>
        <w:ind w:firstLine="960" w:firstLineChars="300"/>
        <w:rPr>
          <w:rFonts w:eastAsia="仿宋_GB2312"/>
          <w:snapToGrid w:val="0"/>
          <w:kern w:val="0"/>
          <w:sz w:val="32"/>
          <w:szCs w:val="32"/>
        </w:rPr>
      </w:pPr>
      <w:r>
        <w:rPr>
          <w:rFonts w:hint="eastAsia" w:eastAsia="仿宋_GB2312"/>
          <w:snapToGrid w:val="0"/>
          <w:kern w:val="0"/>
          <w:sz w:val="32"/>
          <w:szCs w:val="32"/>
        </w:rPr>
        <w:t>1.3电磁兼容方面相关的警告及措施；</w:t>
      </w:r>
    </w:p>
    <w:p w14:paraId="384B6D15">
      <w:pPr>
        <w:spacing w:line="560" w:lineRule="exact"/>
        <w:ind w:firstLine="960" w:firstLineChars="300"/>
        <w:rPr>
          <w:rFonts w:eastAsia="仿宋_GB2312"/>
          <w:snapToGrid w:val="0"/>
          <w:kern w:val="0"/>
          <w:sz w:val="32"/>
          <w:szCs w:val="32"/>
        </w:rPr>
      </w:pPr>
      <w:r>
        <w:rPr>
          <w:rFonts w:hint="eastAsia" w:eastAsia="仿宋_GB2312"/>
          <w:snapToGrid w:val="0"/>
          <w:kern w:val="0"/>
          <w:sz w:val="32"/>
          <w:szCs w:val="32"/>
        </w:rPr>
        <w:t>1.4不应放置在影响本产品运行和性能的位置的警告；</w:t>
      </w:r>
    </w:p>
    <w:p w14:paraId="40A48177">
      <w:pPr>
        <w:spacing w:line="560" w:lineRule="exact"/>
        <w:ind w:firstLine="960" w:firstLineChars="300"/>
        <w:rPr>
          <w:rFonts w:eastAsia="仿宋_GB2312"/>
          <w:bCs/>
          <w:sz w:val="32"/>
          <w:szCs w:val="32"/>
        </w:rPr>
      </w:pPr>
      <w:r>
        <w:rPr>
          <w:rFonts w:hint="eastAsia" w:eastAsia="仿宋_GB2312"/>
          <w:snapToGrid w:val="0"/>
          <w:kern w:val="0"/>
          <w:sz w:val="32"/>
          <w:szCs w:val="32"/>
        </w:rPr>
        <w:t>1.5若</w:t>
      </w:r>
      <w:r>
        <w:rPr>
          <w:rFonts w:hint="eastAsia" w:eastAsia="仿宋_GB2312"/>
          <w:bCs/>
          <w:sz w:val="32"/>
          <w:szCs w:val="32"/>
        </w:rPr>
        <w:t>产品使用可拆卸的一次性部件（</w:t>
      </w:r>
      <w:bookmarkStart w:id="12" w:name="OLE_LINK5"/>
      <w:r>
        <w:rPr>
          <w:rFonts w:hint="eastAsia" w:eastAsia="仿宋_GB2312"/>
          <w:bCs/>
          <w:sz w:val="32"/>
          <w:szCs w:val="32"/>
        </w:rPr>
        <w:t>如：一次性眼垫、一次性面垫、一次性电极等</w:t>
      </w:r>
      <w:bookmarkEnd w:id="12"/>
      <w:r>
        <w:rPr>
          <w:rFonts w:hint="eastAsia" w:eastAsia="仿宋_GB2312"/>
          <w:bCs/>
          <w:sz w:val="32"/>
          <w:szCs w:val="32"/>
        </w:rPr>
        <w:t>），应明确产品与人体接触部分的清洁或更换方法</w:t>
      </w:r>
      <w:r>
        <w:rPr>
          <w:rFonts w:hint="eastAsia" w:eastAsia="仿宋_GB2312"/>
          <w:sz w:val="32"/>
          <w:szCs w:val="32"/>
        </w:rPr>
        <w:t>（如适用）</w:t>
      </w:r>
      <w:r>
        <w:rPr>
          <w:rFonts w:hint="eastAsia" w:eastAsia="仿宋_GB2312"/>
          <w:bCs/>
          <w:sz w:val="32"/>
          <w:szCs w:val="32"/>
        </w:rPr>
        <w:t>；</w:t>
      </w:r>
    </w:p>
    <w:p w14:paraId="02078CF9">
      <w:pPr>
        <w:spacing w:line="560" w:lineRule="exact"/>
        <w:ind w:firstLine="960" w:firstLineChars="300"/>
        <w:rPr>
          <w:rFonts w:eastAsia="仿宋_GB2312"/>
          <w:snapToGrid w:val="0"/>
          <w:kern w:val="0"/>
          <w:sz w:val="32"/>
          <w:szCs w:val="32"/>
        </w:rPr>
      </w:pPr>
      <w:r>
        <w:rPr>
          <w:rFonts w:hint="eastAsia" w:eastAsia="仿宋_GB2312"/>
          <w:snapToGrid w:val="0"/>
          <w:kern w:val="0"/>
          <w:sz w:val="32"/>
          <w:szCs w:val="32"/>
        </w:rPr>
        <w:t>1.6对检修人员、销售商及相关人员，应提供说明如何检修产品的调整装置及其工作过程。</w:t>
      </w:r>
    </w:p>
    <w:p w14:paraId="76B7DEA8">
      <w:pPr>
        <w:spacing w:line="560" w:lineRule="exact"/>
        <w:ind w:firstLine="960" w:firstLineChars="300"/>
        <w:rPr>
          <w:rFonts w:eastAsia="仿宋_GB2312"/>
          <w:snapToGrid w:val="0"/>
          <w:kern w:val="0"/>
          <w:sz w:val="32"/>
          <w:szCs w:val="32"/>
        </w:rPr>
      </w:pPr>
      <w:r>
        <w:rPr>
          <w:rFonts w:hint="eastAsia" w:eastAsia="仿宋_GB2312"/>
          <w:snapToGrid w:val="0"/>
          <w:kern w:val="0"/>
          <w:sz w:val="32"/>
          <w:szCs w:val="32"/>
        </w:rPr>
        <w:t>2.标签</w:t>
      </w:r>
    </w:p>
    <w:p w14:paraId="06E5C7B3">
      <w:pPr>
        <w:spacing w:line="520" w:lineRule="exact"/>
        <w:ind w:firstLine="636" w:firstLineChars="200"/>
        <w:outlineLvl w:val="1"/>
        <w:rPr>
          <w:rFonts w:eastAsia="仿宋_GB2312"/>
          <w:sz w:val="32"/>
          <w:szCs w:val="32"/>
        </w:rPr>
      </w:pPr>
      <w:r>
        <w:rPr>
          <w:rFonts w:hint="eastAsia" w:eastAsia="仿宋_GB2312"/>
          <w:color w:val="000000"/>
          <w:spacing w:val="-1"/>
          <w:sz w:val="32"/>
          <w:szCs w:val="32"/>
        </w:rPr>
        <w:t>标签应符合《医疗器械说明书和标签管理规定》（国家食品药品监督管理总局令第6号）。</w:t>
      </w:r>
    </w:p>
    <w:p w14:paraId="382AE164">
      <w:pPr>
        <w:spacing w:line="520" w:lineRule="exact"/>
        <w:ind w:firstLine="640" w:firstLineChars="200"/>
        <w:outlineLvl w:val="1"/>
        <w:rPr>
          <w:rFonts w:eastAsia="仿宋_GB2312"/>
          <w:sz w:val="32"/>
          <w:szCs w:val="32"/>
        </w:rPr>
      </w:pPr>
      <w:r>
        <w:rPr>
          <w:rFonts w:eastAsia="仿宋_GB2312"/>
          <w:sz w:val="32"/>
          <w:szCs w:val="32"/>
        </w:rPr>
        <w:t>医疗器械标签因位置或者大小受限而无法全部标明上述内容的，至少应当标注产品名称、型号、规格、生产日期和使用期限或者失效日期，并在标签中明确“其他内容详见说明书”。</w:t>
      </w:r>
      <w:r>
        <w:rPr>
          <w:rFonts w:hint="eastAsia" w:eastAsia="仿宋_GB2312"/>
          <w:color w:val="000000"/>
          <w:spacing w:val="-1"/>
          <w:sz w:val="32"/>
          <w:szCs w:val="32"/>
        </w:rPr>
        <w:t>如使用的符号没有现有的标准，应该在产品的相关文件中对这些符号进行说明。</w:t>
      </w:r>
    </w:p>
    <w:p w14:paraId="6015781E">
      <w:pPr>
        <w:spacing w:line="520" w:lineRule="exact"/>
        <w:ind w:right="-67" w:rightChars="-32" w:firstLine="640" w:firstLineChars="200"/>
        <w:outlineLvl w:val="1"/>
        <w:rPr>
          <w:rFonts w:eastAsia="楷体_GB2312"/>
          <w:sz w:val="32"/>
          <w:szCs w:val="32"/>
        </w:rPr>
      </w:pPr>
      <w:r>
        <w:rPr>
          <w:rFonts w:eastAsia="楷体_GB2312"/>
          <w:sz w:val="32"/>
          <w:szCs w:val="32"/>
        </w:rPr>
        <w:t>（</w:t>
      </w:r>
      <w:r>
        <w:rPr>
          <w:rFonts w:hint="eastAsia" w:eastAsia="楷体_GB2312"/>
          <w:sz w:val="32"/>
          <w:szCs w:val="32"/>
        </w:rPr>
        <w:t>六</w:t>
      </w:r>
      <w:r>
        <w:rPr>
          <w:rFonts w:eastAsia="楷体_GB2312"/>
          <w:sz w:val="32"/>
          <w:szCs w:val="32"/>
        </w:rPr>
        <w:t>）</w:t>
      </w:r>
      <w:r>
        <w:rPr>
          <w:rFonts w:hint="eastAsia" w:eastAsia="楷体_GB2312"/>
          <w:sz w:val="32"/>
          <w:szCs w:val="32"/>
        </w:rPr>
        <w:t>质量管理体系文件</w:t>
      </w:r>
    </w:p>
    <w:p w14:paraId="32ADF8FB">
      <w:pPr>
        <w:spacing w:line="520" w:lineRule="exact"/>
        <w:ind w:firstLine="640" w:firstLineChars="200"/>
        <w:rPr>
          <w:rFonts w:eastAsia="仿宋_GB2312"/>
          <w:sz w:val="32"/>
          <w:szCs w:val="32"/>
        </w:rPr>
      </w:pPr>
      <w:r>
        <w:rPr>
          <w:rFonts w:eastAsia="仿宋_GB2312"/>
          <w:sz w:val="32"/>
          <w:szCs w:val="32"/>
        </w:rPr>
        <w:t>按照《关于公布医疗器械注册申报资料要求和批准证明文件格式的公告》提交相关文件</w:t>
      </w:r>
      <w:r>
        <w:rPr>
          <w:rFonts w:hint="eastAsia" w:eastAsia="仿宋_GB2312"/>
          <w:sz w:val="32"/>
          <w:szCs w:val="32"/>
        </w:rPr>
        <w:t>，可</w:t>
      </w:r>
      <w:r>
        <w:rPr>
          <w:rFonts w:eastAsia="仿宋_GB2312"/>
          <w:sz w:val="32"/>
          <w:szCs w:val="32"/>
        </w:rPr>
        <w:t>列出产品</w:t>
      </w:r>
      <w:r>
        <w:rPr>
          <w:rFonts w:hint="eastAsia" w:eastAsia="仿宋_GB2312"/>
          <w:sz w:val="32"/>
          <w:szCs w:val="32"/>
        </w:rPr>
        <w:t>重要</w:t>
      </w:r>
      <w:r>
        <w:rPr>
          <w:rFonts w:eastAsia="仿宋_GB2312"/>
          <w:sz w:val="32"/>
          <w:szCs w:val="32"/>
        </w:rPr>
        <w:t>组件</w:t>
      </w:r>
      <w:r>
        <w:rPr>
          <w:rFonts w:hint="eastAsia" w:eastAsia="仿宋_GB2312"/>
          <w:sz w:val="32"/>
          <w:szCs w:val="32"/>
        </w:rPr>
        <w:t>/关键</w:t>
      </w:r>
      <w:r>
        <w:rPr>
          <w:rFonts w:eastAsia="仿宋_GB2312"/>
          <w:sz w:val="32"/>
          <w:szCs w:val="32"/>
        </w:rPr>
        <w:t>成分或原材料的生产、关键工艺过程、灭菌</w:t>
      </w:r>
      <w:r>
        <w:rPr>
          <w:rFonts w:hint="eastAsia" w:eastAsia="仿宋_GB2312"/>
          <w:sz w:val="32"/>
          <w:szCs w:val="32"/>
        </w:rPr>
        <w:t>等</w:t>
      </w:r>
      <w:r>
        <w:rPr>
          <w:rFonts w:eastAsia="仿宋_GB2312"/>
          <w:sz w:val="32"/>
          <w:szCs w:val="32"/>
        </w:rPr>
        <w:t>资料的要求。</w:t>
      </w:r>
    </w:p>
    <w:p w14:paraId="5735861B">
      <w:pPr>
        <w:overflowPunct w:val="0"/>
        <w:autoSpaceDE w:val="0"/>
        <w:autoSpaceDN w:val="0"/>
        <w:spacing w:line="520" w:lineRule="exact"/>
        <w:ind w:firstLine="567"/>
        <w:outlineLvl w:val="0"/>
        <w:rPr>
          <w:rFonts w:eastAsia="黑体" w:cs="仿宋_GB2312"/>
          <w:snapToGrid w:val="0"/>
          <w:kern w:val="0"/>
          <w:sz w:val="32"/>
          <w:szCs w:val="32"/>
        </w:rPr>
      </w:pPr>
      <w:r>
        <w:rPr>
          <w:rFonts w:hint="eastAsia" w:eastAsia="黑体" w:cs="仿宋_GB2312"/>
          <w:snapToGrid w:val="0"/>
          <w:kern w:val="0"/>
          <w:sz w:val="32"/>
          <w:szCs w:val="32"/>
        </w:rPr>
        <w:t>三</w:t>
      </w:r>
      <w:r>
        <w:rPr>
          <w:rFonts w:eastAsia="黑体" w:cs="仿宋_GB2312"/>
          <w:snapToGrid w:val="0"/>
          <w:kern w:val="0"/>
          <w:sz w:val="32"/>
          <w:szCs w:val="32"/>
        </w:rPr>
        <w:t>、参考文献</w:t>
      </w:r>
    </w:p>
    <w:p w14:paraId="3B669A3E">
      <w:pPr>
        <w:spacing w:line="520" w:lineRule="exact"/>
        <w:ind w:firstLine="640" w:firstLineChars="200"/>
        <w:rPr>
          <w:rFonts w:eastAsia="仿宋_GB2312"/>
          <w:snapToGrid w:val="0"/>
          <w:kern w:val="0"/>
          <w:sz w:val="32"/>
          <w:szCs w:val="32"/>
        </w:rPr>
      </w:pPr>
      <w:r>
        <w:rPr>
          <w:rFonts w:hint="eastAsia" w:eastAsia="仿宋_GB2312"/>
          <w:snapToGrid w:val="0"/>
          <w:kern w:val="0"/>
          <w:sz w:val="32"/>
          <w:szCs w:val="32"/>
        </w:rPr>
        <w:t>[1]</w:t>
      </w:r>
      <w:r>
        <w:rPr>
          <w:rFonts w:eastAsia="仿宋_GB2312"/>
          <w:sz w:val="32"/>
          <w:szCs w:val="32"/>
          <w:lang w:val="en"/>
        </w:rPr>
        <w:t xml:space="preserve"> 中华人民共和国国务院.</w:t>
      </w:r>
      <w:r>
        <w:rPr>
          <w:rFonts w:eastAsia="仿宋_GB2312"/>
          <w:sz w:val="32"/>
          <w:szCs w:val="32"/>
        </w:rPr>
        <w:t>医疗器械监督管理条例:</w:t>
      </w:r>
      <w:r>
        <w:rPr>
          <w:rFonts w:eastAsia="仿宋_GB2312"/>
          <w:sz w:val="32"/>
          <w:szCs w:val="32"/>
          <w:lang w:val="en"/>
        </w:rPr>
        <w:t>中华人民共和国国务院令第739号</w:t>
      </w:r>
      <w:r>
        <w:rPr>
          <w:rFonts w:eastAsia="仿宋_GB2312"/>
          <w:sz w:val="32"/>
          <w:szCs w:val="32"/>
        </w:rPr>
        <w:t>[Z].</w:t>
      </w:r>
    </w:p>
    <w:p w14:paraId="6A380D98">
      <w:pPr>
        <w:spacing w:line="520" w:lineRule="exact"/>
        <w:ind w:firstLine="640" w:firstLineChars="200"/>
        <w:rPr>
          <w:rFonts w:eastAsia="仿宋_GB2312"/>
          <w:sz w:val="32"/>
          <w:szCs w:val="32"/>
        </w:rPr>
      </w:pPr>
      <w:r>
        <w:rPr>
          <w:rFonts w:eastAsia="仿宋_GB2312"/>
          <w:sz w:val="32"/>
          <w:szCs w:val="32"/>
        </w:rPr>
        <w:t>[2]国家市场监督管理总局</w:t>
      </w:r>
      <w:r>
        <w:rPr>
          <w:rFonts w:hint="eastAsia" w:eastAsia="仿宋_GB2312"/>
          <w:sz w:val="32"/>
          <w:szCs w:val="32"/>
        </w:rPr>
        <w:t>.</w:t>
      </w:r>
      <w:r>
        <w:rPr>
          <w:rFonts w:eastAsia="仿宋_GB2312"/>
          <w:sz w:val="32"/>
          <w:szCs w:val="32"/>
        </w:rPr>
        <w:t>医疗器械注册与备案管理办法:国家市场监督管理总局令第47号</w:t>
      </w:r>
      <w:r>
        <w:rPr>
          <w:rFonts w:eastAsia="仿宋_GB2312"/>
          <w:sz w:val="32"/>
          <w:szCs w:val="32"/>
          <w:lang w:val="en"/>
        </w:rPr>
        <w:t>[Z]</w:t>
      </w:r>
      <w:r>
        <w:rPr>
          <w:rFonts w:eastAsia="仿宋_GB2312"/>
          <w:sz w:val="32"/>
          <w:szCs w:val="32"/>
        </w:rPr>
        <w:t>.</w:t>
      </w:r>
    </w:p>
    <w:p w14:paraId="036E6E98">
      <w:pPr>
        <w:overflowPunct w:val="0"/>
        <w:spacing w:line="520" w:lineRule="exact"/>
        <w:ind w:firstLine="640" w:firstLineChars="200"/>
        <w:rPr>
          <w:rFonts w:eastAsia="仿宋_GB2312"/>
          <w:sz w:val="32"/>
          <w:szCs w:val="32"/>
        </w:rPr>
      </w:pPr>
      <w:bookmarkStart w:id="13" w:name="OLE_LINK12"/>
      <w:r>
        <w:rPr>
          <w:rFonts w:hint="eastAsia" w:eastAsia="仿宋_GB2312"/>
          <w:snapToGrid w:val="0"/>
          <w:kern w:val="0"/>
          <w:sz w:val="32"/>
          <w:szCs w:val="32"/>
        </w:rPr>
        <w:t>[3]</w:t>
      </w:r>
      <w:bookmarkEnd w:id="13"/>
      <w:r>
        <w:rPr>
          <w:rFonts w:hint="eastAsia" w:eastAsia="仿宋_GB2312"/>
          <w:snapToGrid w:val="0"/>
          <w:kern w:val="0"/>
          <w:sz w:val="32"/>
          <w:szCs w:val="32"/>
        </w:rPr>
        <w:t>国家食品药品监督管理总局.医疗器械说明书和标签管理规定:国家食品药品监督管理总局令第6号[Z].</w:t>
      </w:r>
    </w:p>
    <w:p w14:paraId="3E955FB0">
      <w:pPr>
        <w:spacing w:line="520" w:lineRule="exact"/>
        <w:ind w:right="-67" w:rightChars="-32" w:firstLine="640" w:firstLineChars="200"/>
        <w:rPr>
          <w:rFonts w:eastAsia="仿宋_GB2312"/>
          <w:sz w:val="32"/>
          <w:szCs w:val="32"/>
        </w:rPr>
      </w:pPr>
      <w:r>
        <w:rPr>
          <w:rFonts w:hint="eastAsia" w:eastAsia="楷体_GB2312"/>
          <w:sz w:val="32"/>
          <w:szCs w:val="32"/>
        </w:rPr>
        <w:t>[4]</w:t>
      </w:r>
      <w:r>
        <w:rPr>
          <w:rFonts w:hint="eastAsia" w:eastAsia="仿宋_GB2312"/>
          <w:sz w:val="32"/>
          <w:szCs w:val="32"/>
        </w:rPr>
        <w:t>国家药品监督管理局.</w:t>
      </w:r>
      <w:r>
        <w:rPr>
          <w:rFonts w:eastAsia="仿宋_GB2312"/>
          <w:sz w:val="32"/>
          <w:szCs w:val="32"/>
        </w:rPr>
        <w:t>医疗器械注册申报资料要求和批准证明文件格式</w:t>
      </w:r>
      <w:r>
        <w:rPr>
          <w:rFonts w:hint="eastAsia" w:eastAsia="仿宋_GB2312"/>
          <w:sz w:val="32"/>
          <w:szCs w:val="32"/>
        </w:rPr>
        <w:t>:国家药监局公告2021年第121号</w:t>
      </w:r>
      <w:r>
        <w:rPr>
          <w:rFonts w:eastAsia="仿宋_GB2312"/>
          <w:sz w:val="32"/>
          <w:szCs w:val="32"/>
          <w:lang w:val="en"/>
        </w:rPr>
        <w:t>[Z]</w:t>
      </w:r>
      <w:r>
        <w:rPr>
          <w:rFonts w:eastAsia="仿宋_GB2312"/>
          <w:sz w:val="32"/>
          <w:szCs w:val="32"/>
        </w:rPr>
        <w:t>.</w:t>
      </w:r>
    </w:p>
    <w:p w14:paraId="0384ABB2">
      <w:pPr>
        <w:spacing w:line="520" w:lineRule="exact"/>
        <w:ind w:right="-67" w:rightChars="-32" w:firstLine="640" w:firstLineChars="200"/>
        <w:rPr>
          <w:rFonts w:eastAsia="仿宋_GB2312"/>
          <w:sz w:val="32"/>
          <w:szCs w:val="32"/>
        </w:rPr>
      </w:pPr>
      <w:r>
        <w:rPr>
          <w:rFonts w:eastAsia="仿宋_GB2312"/>
          <w:kern w:val="0"/>
          <w:sz w:val="32"/>
          <w:szCs w:val="32"/>
        </w:rPr>
        <w:t>[</w:t>
      </w:r>
      <w:r>
        <w:rPr>
          <w:rFonts w:hint="eastAsia" w:eastAsia="仿宋_GB2312"/>
          <w:kern w:val="0"/>
          <w:sz w:val="32"/>
          <w:szCs w:val="32"/>
        </w:rPr>
        <w:t>5</w:t>
      </w:r>
      <w:r>
        <w:rPr>
          <w:rFonts w:eastAsia="仿宋_GB2312"/>
          <w:kern w:val="0"/>
          <w:sz w:val="32"/>
          <w:szCs w:val="32"/>
        </w:rPr>
        <w:t>]</w:t>
      </w:r>
      <w:r>
        <w:rPr>
          <w:rFonts w:hint="eastAsia" w:eastAsia="仿宋_GB2312"/>
          <w:sz w:val="32"/>
          <w:szCs w:val="32"/>
        </w:rPr>
        <w:t>国家药品监督管理局.</w:t>
      </w:r>
      <w:r>
        <w:rPr>
          <w:rFonts w:eastAsia="仿宋_GB2312"/>
          <w:sz w:val="32"/>
          <w:szCs w:val="32"/>
        </w:rPr>
        <w:t>医疗器械产品技术要求编写指导原则</w:t>
      </w:r>
      <w:r>
        <w:rPr>
          <w:rFonts w:hint="eastAsia" w:eastAsia="仿宋_GB2312"/>
          <w:sz w:val="32"/>
          <w:szCs w:val="32"/>
        </w:rPr>
        <w:t>:国家药监局</w:t>
      </w:r>
      <w:r>
        <w:rPr>
          <w:rFonts w:hint="eastAsia" w:eastAsia="仿宋_GB2312"/>
          <w:sz w:val="32"/>
          <w:szCs w:val="32"/>
          <w:lang w:val="en"/>
        </w:rPr>
        <w:t>通告</w:t>
      </w:r>
      <w:r>
        <w:rPr>
          <w:rFonts w:eastAsia="仿宋_GB2312"/>
          <w:sz w:val="32"/>
          <w:szCs w:val="32"/>
          <w:lang w:val="en"/>
        </w:rPr>
        <w:t>20</w:t>
      </w:r>
      <w:r>
        <w:rPr>
          <w:rFonts w:hint="eastAsia" w:eastAsia="仿宋_GB2312"/>
          <w:sz w:val="32"/>
          <w:szCs w:val="32"/>
          <w:lang w:val="en"/>
        </w:rPr>
        <w:t>22</w:t>
      </w:r>
      <w:r>
        <w:rPr>
          <w:rFonts w:eastAsia="仿宋_GB2312"/>
          <w:sz w:val="32"/>
          <w:szCs w:val="32"/>
          <w:lang w:val="en"/>
        </w:rPr>
        <w:t>年第8号[Z]</w:t>
      </w:r>
      <w:r>
        <w:rPr>
          <w:rFonts w:eastAsia="仿宋_GB2312"/>
          <w:sz w:val="32"/>
          <w:szCs w:val="32"/>
        </w:rPr>
        <w:t>.</w:t>
      </w:r>
    </w:p>
    <w:p w14:paraId="13BB8D74">
      <w:pPr>
        <w:spacing w:line="520" w:lineRule="exact"/>
        <w:ind w:firstLine="640" w:firstLineChars="200"/>
        <w:rPr>
          <w:rFonts w:eastAsia="仿宋_GB2312"/>
          <w:sz w:val="32"/>
          <w:szCs w:val="32"/>
        </w:rPr>
      </w:pPr>
      <w:r>
        <w:rPr>
          <w:rFonts w:hint="eastAsia" w:eastAsia="仿宋_GB2312"/>
          <w:sz w:val="32"/>
          <w:szCs w:val="32"/>
        </w:rPr>
        <w:t>[6]</w:t>
      </w:r>
      <w:r>
        <w:rPr>
          <w:rFonts w:hint="eastAsia" w:eastAsia="仿宋_GB2312"/>
          <w:kern w:val="0"/>
          <w:sz w:val="32"/>
          <w:szCs w:val="32"/>
        </w:rPr>
        <w:t>国家药品监督管理局医疗器械审评中心.</w:t>
      </w:r>
      <w:r>
        <w:rPr>
          <w:rFonts w:eastAsia="仿宋_GB2312"/>
          <w:kern w:val="0"/>
          <w:sz w:val="32"/>
          <w:szCs w:val="32"/>
        </w:rPr>
        <w:t>医疗器械软件注册审查指导原则</w:t>
      </w:r>
      <w:r>
        <w:rPr>
          <w:rFonts w:hint="eastAsia" w:eastAsia="仿宋_GB2312"/>
          <w:kern w:val="0"/>
          <w:sz w:val="32"/>
          <w:szCs w:val="32"/>
        </w:rPr>
        <w:t>（2022年修订版）:国家药监局器审中心通告2022年第9号</w:t>
      </w:r>
      <w:r>
        <w:rPr>
          <w:rFonts w:eastAsia="仿宋_GB2312"/>
          <w:sz w:val="32"/>
          <w:szCs w:val="32"/>
          <w:lang w:val="en"/>
        </w:rPr>
        <w:t>[Z]</w:t>
      </w:r>
      <w:r>
        <w:rPr>
          <w:rFonts w:eastAsia="仿宋_GB2312"/>
          <w:sz w:val="32"/>
          <w:szCs w:val="32"/>
        </w:rPr>
        <w:t>.</w:t>
      </w:r>
    </w:p>
    <w:p w14:paraId="1D2E610D">
      <w:pPr>
        <w:spacing w:line="520" w:lineRule="exact"/>
        <w:ind w:right="-67" w:rightChars="-32" w:firstLine="640" w:firstLineChars="200"/>
        <w:rPr>
          <w:rFonts w:eastAsia="仿宋_GB2312"/>
          <w:sz w:val="32"/>
          <w:szCs w:val="32"/>
        </w:rPr>
      </w:pPr>
      <w:r>
        <w:rPr>
          <w:rFonts w:hint="eastAsia" w:eastAsia="仿宋_GB2312"/>
          <w:sz w:val="32"/>
          <w:szCs w:val="32"/>
        </w:rPr>
        <w:t>[7]</w:t>
      </w:r>
      <w:r>
        <w:rPr>
          <w:rFonts w:eastAsia="仿宋_GB2312"/>
          <w:sz w:val="32"/>
          <w:szCs w:val="32"/>
          <w:lang w:val="en"/>
        </w:rPr>
        <w:t>国家食品药品监督管理局</w:t>
      </w:r>
      <w:r>
        <w:rPr>
          <w:rFonts w:eastAsia="仿宋_GB2312"/>
          <w:sz w:val="32"/>
          <w:szCs w:val="32"/>
        </w:rPr>
        <w:t>.医疗器械分类目录</w:t>
      </w:r>
      <w:r>
        <w:rPr>
          <w:rFonts w:hint="eastAsia" w:eastAsia="仿宋_GB2312"/>
          <w:sz w:val="32"/>
          <w:szCs w:val="32"/>
        </w:rPr>
        <w:t>:</w:t>
      </w:r>
      <w:r>
        <w:rPr>
          <w:rFonts w:eastAsia="仿宋_GB2312"/>
          <w:sz w:val="32"/>
          <w:szCs w:val="32"/>
          <w:lang w:val="en"/>
        </w:rPr>
        <w:t>国家食品药品监督管理总局</w:t>
      </w:r>
      <w:r>
        <w:rPr>
          <w:rFonts w:hint="eastAsia" w:eastAsia="仿宋_GB2312"/>
          <w:sz w:val="32"/>
          <w:szCs w:val="32"/>
          <w:lang w:val="en"/>
        </w:rPr>
        <w:t>公告</w:t>
      </w:r>
      <w:r>
        <w:rPr>
          <w:rFonts w:eastAsia="仿宋_GB2312"/>
          <w:sz w:val="32"/>
          <w:szCs w:val="32"/>
          <w:lang w:val="en"/>
        </w:rPr>
        <w:t>2017年第104号</w:t>
      </w:r>
      <w:r>
        <w:rPr>
          <w:rFonts w:eastAsia="仿宋_GB2312"/>
          <w:sz w:val="32"/>
          <w:szCs w:val="32"/>
        </w:rPr>
        <w:t>[Z].</w:t>
      </w:r>
    </w:p>
    <w:p w14:paraId="174DF542">
      <w:pPr>
        <w:spacing w:line="520" w:lineRule="exact"/>
        <w:ind w:right="-67" w:rightChars="-32" w:firstLine="640" w:firstLineChars="200"/>
        <w:rPr>
          <w:rFonts w:eastAsia="仿宋_GB2312"/>
          <w:sz w:val="32"/>
          <w:szCs w:val="32"/>
        </w:rPr>
      </w:pPr>
      <w:r>
        <w:rPr>
          <w:rFonts w:hint="eastAsia" w:eastAsia="仿宋_GB2312"/>
          <w:sz w:val="32"/>
          <w:szCs w:val="32"/>
        </w:rPr>
        <w:t>[8]</w:t>
      </w:r>
      <w:r>
        <w:rPr>
          <w:rFonts w:eastAsia="仿宋_GB2312"/>
          <w:sz w:val="32"/>
          <w:szCs w:val="28"/>
        </w:rPr>
        <w:t>国家食品药品监督管理局</w:t>
      </w:r>
      <w:r>
        <w:rPr>
          <w:rFonts w:hint="eastAsia" w:eastAsia="仿宋_GB2312"/>
          <w:sz w:val="32"/>
          <w:szCs w:val="32"/>
        </w:rPr>
        <w:t>.</w:t>
      </w:r>
      <w:r>
        <w:rPr>
          <w:rFonts w:eastAsia="仿宋_GB2312"/>
          <w:sz w:val="32"/>
          <w:szCs w:val="32"/>
        </w:rPr>
        <w:t>医疗器械通用名称命名规则</w:t>
      </w:r>
      <w:r>
        <w:rPr>
          <w:rFonts w:hint="eastAsia" w:eastAsia="仿宋_GB2312"/>
          <w:sz w:val="32"/>
          <w:szCs w:val="32"/>
        </w:rPr>
        <w:t>：</w:t>
      </w:r>
      <w:r>
        <w:rPr>
          <w:rFonts w:eastAsia="仿宋_GB2312"/>
          <w:sz w:val="32"/>
          <w:szCs w:val="28"/>
        </w:rPr>
        <w:t>国家食品药品监督管理总局令第19号</w:t>
      </w:r>
      <w:r>
        <w:rPr>
          <w:rFonts w:eastAsia="仿宋_GB2312"/>
          <w:sz w:val="32"/>
          <w:szCs w:val="32"/>
        </w:rPr>
        <w:t>[Z].</w:t>
      </w:r>
    </w:p>
    <w:p w14:paraId="24C6AE09">
      <w:pPr>
        <w:spacing w:line="520" w:lineRule="exact"/>
        <w:ind w:right="-67" w:rightChars="-32" w:firstLine="640" w:firstLineChars="200"/>
        <w:rPr>
          <w:rFonts w:eastAsia="仿宋_GB2312"/>
          <w:sz w:val="32"/>
          <w:szCs w:val="32"/>
        </w:rPr>
      </w:pPr>
      <w:r>
        <w:rPr>
          <w:rFonts w:hint="eastAsia" w:eastAsia="仿宋_GB2312"/>
          <w:sz w:val="32"/>
          <w:szCs w:val="32"/>
        </w:rPr>
        <w:t>[9]</w:t>
      </w:r>
      <w:r>
        <w:rPr>
          <w:rFonts w:hint="eastAsia" w:eastAsia="仿宋_GB2312"/>
          <w:kern w:val="0"/>
          <w:sz w:val="32"/>
          <w:szCs w:val="32"/>
        </w:rPr>
        <w:t>国家药品监督管理局医疗器械审评中心</w:t>
      </w:r>
      <w:r>
        <w:rPr>
          <w:rFonts w:eastAsia="仿宋_GB2312"/>
          <w:sz w:val="32"/>
          <w:szCs w:val="32"/>
        </w:rPr>
        <w:t>.</w:t>
      </w:r>
      <w:r>
        <w:rPr>
          <w:rFonts w:hint="eastAsia" w:eastAsia="仿宋_GB2312"/>
          <w:snapToGrid w:val="0"/>
          <w:kern w:val="0"/>
          <w:sz w:val="32"/>
          <w:szCs w:val="32"/>
        </w:rPr>
        <w:t>人工智能医疗器械注册</w:t>
      </w:r>
      <w:r>
        <w:rPr>
          <w:rFonts w:eastAsia="仿宋_GB2312"/>
          <w:snapToGrid w:val="0"/>
          <w:kern w:val="0"/>
          <w:sz w:val="32"/>
          <w:szCs w:val="32"/>
        </w:rPr>
        <w:t>审查</w:t>
      </w:r>
      <w:r>
        <w:rPr>
          <w:rFonts w:hint="eastAsia" w:eastAsia="仿宋_GB2312"/>
          <w:snapToGrid w:val="0"/>
          <w:kern w:val="0"/>
          <w:sz w:val="32"/>
          <w:szCs w:val="32"/>
        </w:rPr>
        <w:t>指导原则</w:t>
      </w:r>
      <w:r>
        <w:rPr>
          <w:rFonts w:hint="eastAsia" w:eastAsia="仿宋_GB2312"/>
          <w:sz w:val="32"/>
          <w:szCs w:val="32"/>
        </w:rPr>
        <w:t>:</w:t>
      </w:r>
      <w:r>
        <w:rPr>
          <w:rFonts w:hint="eastAsia" w:eastAsia="仿宋_GB2312"/>
          <w:kern w:val="0"/>
          <w:sz w:val="32"/>
          <w:szCs w:val="32"/>
        </w:rPr>
        <w:t>国家药监局器审中心通告2022年第8号</w:t>
      </w:r>
      <w:r>
        <w:rPr>
          <w:rFonts w:eastAsia="仿宋_GB2312"/>
          <w:sz w:val="32"/>
          <w:szCs w:val="32"/>
        </w:rPr>
        <w:t>[Z].</w:t>
      </w:r>
    </w:p>
    <w:p w14:paraId="750F4690">
      <w:pPr>
        <w:spacing w:line="520" w:lineRule="exact"/>
        <w:ind w:right="-67" w:rightChars="-32" w:firstLine="640" w:firstLineChars="200"/>
        <w:rPr>
          <w:rFonts w:eastAsia="仿宋_GB2312"/>
          <w:sz w:val="32"/>
          <w:szCs w:val="32"/>
        </w:rPr>
      </w:pPr>
      <w:r>
        <w:rPr>
          <w:rFonts w:hint="eastAsia" w:eastAsia="仿宋_GB2312"/>
          <w:sz w:val="32"/>
          <w:szCs w:val="32"/>
        </w:rPr>
        <w:t>[10]</w:t>
      </w:r>
      <w:r>
        <w:rPr>
          <w:rFonts w:hint="eastAsia" w:eastAsia="仿宋_GB2312"/>
          <w:kern w:val="0"/>
          <w:sz w:val="32"/>
          <w:szCs w:val="32"/>
        </w:rPr>
        <w:t>国家药品监督管理局医疗器械审评中心</w:t>
      </w:r>
      <w:r>
        <w:rPr>
          <w:rFonts w:eastAsia="仿宋_GB2312"/>
          <w:sz w:val="32"/>
          <w:szCs w:val="32"/>
        </w:rPr>
        <w:t>.医疗器械网络安全注册审查指导原则（2022年修订版）</w:t>
      </w:r>
      <w:r>
        <w:rPr>
          <w:rFonts w:hint="eastAsia" w:eastAsia="仿宋_GB2312"/>
          <w:sz w:val="32"/>
          <w:szCs w:val="32"/>
        </w:rPr>
        <w:t>:</w:t>
      </w:r>
      <w:r>
        <w:rPr>
          <w:rFonts w:hint="eastAsia" w:eastAsia="仿宋_GB2312"/>
          <w:kern w:val="0"/>
          <w:sz w:val="32"/>
          <w:szCs w:val="32"/>
        </w:rPr>
        <w:t>国家药监局器审中心通告2022年第7号</w:t>
      </w:r>
      <w:r>
        <w:rPr>
          <w:rFonts w:eastAsia="仿宋_GB2312"/>
          <w:sz w:val="32"/>
          <w:szCs w:val="32"/>
        </w:rPr>
        <w:t>[Z].</w:t>
      </w:r>
    </w:p>
    <w:p w14:paraId="66130476">
      <w:pPr>
        <w:spacing w:line="520" w:lineRule="exact"/>
        <w:ind w:right="-67" w:rightChars="-32" w:firstLine="640" w:firstLineChars="200"/>
        <w:rPr>
          <w:rFonts w:eastAsia="仿宋_GB2312"/>
          <w:sz w:val="32"/>
          <w:szCs w:val="32"/>
        </w:rPr>
      </w:pPr>
      <w:bookmarkStart w:id="14" w:name="OLE_LINK13"/>
      <w:r>
        <w:rPr>
          <w:rFonts w:hint="eastAsia" w:eastAsia="仿宋_GB2312"/>
          <w:sz w:val="32"/>
          <w:szCs w:val="32"/>
        </w:rPr>
        <w:t>[11]</w:t>
      </w:r>
      <w:bookmarkEnd w:id="14"/>
      <w:r>
        <w:rPr>
          <w:rFonts w:eastAsia="仿宋_GB2312"/>
          <w:sz w:val="32"/>
          <w:szCs w:val="32"/>
        </w:rPr>
        <w:t>国家药品监督管理局.医疗器械临床评价技术指导原则:国家药监局关于发布医疗器械临床评价技术指导原则等5项技术指导原则的通告2021年第73号[Z].</w:t>
      </w:r>
    </w:p>
    <w:p w14:paraId="029F1057">
      <w:pPr>
        <w:spacing w:line="520" w:lineRule="exact"/>
        <w:ind w:right="-67" w:rightChars="-32" w:firstLine="640" w:firstLineChars="200"/>
        <w:rPr>
          <w:rFonts w:eastAsia="仿宋_GB2312"/>
          <w:sz w:val="32"/>
          <w:szCs w:val="32"/>
        </w:rPr>
      </w:pPr>
      <w:r>
        <w:rPr>
          <w:rFonts w:hint="eastAsia" w:eastAsia="仿宋_GB2312"/>
          <w:sz w:val="32"/>
          <w:szCs w:val="32"/>
        </w:rPr>
        <w:t>[12] GB/T 42062</w:t>
      </w:r>
      <w:bookmarkStart w:id="15" w:name="OLE_LINK21"/>
      <w:r>
        <w:rPr>
          <w:rFonts w:hint="eastAsia" w:eastAsia="仿宋_GB2312"/>
          <w:sz w:val="32"/>
          <w:szCs w:val="32"/>
        </w:rPr>
        <w:t>,</w:t>
      </w:r>
      <w:bookmarkEnd w:id="15"/>
      <w:r>
        <w:rPr>
          <w:rFonts w:hint="eastAsia" w:eastAsia="仿宋_GB2312"/>
          <w:sz w:val="32"/>
          <w:szCs w:val="32"/>
        </w:rPr>
        <w:t>医疗器械 风险管理对医疗器械的应用[</w:t>
      </w:r>
      <w:r>
        <w:rPr>
          <w:rFonts w:eastAsia="仿宋_GB2312"/>
          <w:sz w:val="32"/>
          <w:szCs w:val="32"/>
        </w:rPr>
        <w:t>S].</w:t>
      </w:r>
    </w:p>
    <w:p w14:paraId="2B429B8B">
      <w:pPr>
        <w:spacing w:line="520" w:lineRule="exact"/>
        <w:ind w:right="-67" w:rightChars="-32" w:firstLine="640" w:firstLineChars="200"/>
        <w:rPr>
          <w:rFonts w:eastAsia="仿宋_GB2312"/>
          <w:sz w:val="32"/>
          <w:szCs w:val="32"/>
        </w:rPr>
      </w:pPr>
      <w:r>
        <w:rPr>
          <w:rFonts w:hint="eastAsia" w:eastAsia="仿宋_GB2312"/>
          <w:sz w:val="32"/>
          <w:szCs w:val="32"/>
        </w:rPr>
        <w:t>[13]</w:t>
      </w:r>
      <w:r>
        <w:rPr>
          <w:rFonts w:eastAsia="仿宋_GB2312"/>
          <w:sz w:val="32"/>
          <w:szCs w:val="32"/>
        </w:rPr>
        <w:t xml:space="preserve"> GB 9706.1</w:t>
      </w:r>
      <w:r>
        <w:rPr>
          <w:rFonts w:hint="eastAsia" w:eastAsia="仿宋_GB2312"/>
          <w:sz w:val="32"/>
          <w:szCs w:val="32"/>
        </w:rPr>
        <w:t>,医用电气设备第1部分：基本安全和基本性能的通用要求</w:t>
      </w:r>
      <w:r>
        <w:rPr>
          <w:rFonts w:eastAsia="仿宋_GB2312"/>
          <w:sz w:val="32"/>
          <w:szCs w:val="32"/>
        </w:rPr>
        <w:t>[Z].</w:t>
      </w:r>
    </w:p>
    <w:p w14:paraId="3555F758">
      <w:pPr>
        <w:spacing w:line="520" w:lineRule="exact"/>
        <w:ind w:right="-67" w:rightChars="-32" w:firstLine="640" w:firstLineChars="200"/>
        <w:rPr>
          <w:rFonts w:eastAsia="仿宋_GB2312"/>
          <w:sz w:val="32"/>
          <w:szCs w:val="32"/>
        </w:rPr>
      </w:pPr>
      <w:r>
        <w:rPr>
          <w:rFonts w:hint="eastAsia" w:eastAsia="仿宋_GB2312"/>
          <w:sz w:val="32"/>
          <w:szCs w:val="32"/>
        </w:rPr>
        <w:t>[14] YY 9706.240,医用电气设备 第2-40部分：肌电及诱发反应设备的基本安全和基本性能专用要求</w:t>
      </w:r>
      <w:r>
        <w:rPr>
          <w:rFonts w:eastAsia="仿宋_GB2312"/>
          <w:sz w:val="32"/>
          <w:szCs w:val="32"/>
        </w:rPr>
        <w:t>[Z].</w:t>
      </w:r>
    </w:p>
    <w:p w14:paraId="3DFEBF43">
      <w:pPr>
        <w:spacing w:line="520" w:lineRule="exact"/>
        <w:ind w:right="-67" w:rightChars="-32" w:firstLine="640" w:firstLineChars="200"/>
        <w:rPr>
          <w:rFonts w:eastAsia="仿宋_GB2312"/>
          <w:bCs/>
          <w:sz w:val="32"/>
          <w:szCs w:val="32"/>
        </w:rPr>
      </w:pPr>
      <w:r>
        <w:rPr>
          <w:rFonts w:hint="eastAsia" w:eastAsia="仿宋_GB2312"/>
          <w:sz w:val="32"/>
          <w:szCs w:val="32"/>
        </w:rPr>
        <w:t>[15] YY 9706.102,医用电气设备第1-2部分：基本安全和基本性能的通用要求并列标准：电磁兼容要求和试验</w:t>
      </w:r>
      <w:r>
        <w:rPr>
          <w:rFonts w:eastAsia="仿宋_GB2312"/>
          <w:sz w:val="32"/>
          <w:szCs w:val="32"/>
        </w:rPr>
        <w:t>[Z].</w:t>
      </w:r>
    </w:p>
    <w:p w14:paraId="70FC5470">
      <w:pPr>
        <w:spacing w:line="520" w:lineRule="exact"/>
        <w:ind w:right="-67" w:rightChars="-32" w:firstLine="640" w:firstLineChars="200"/>
        <w:rPr>
          <w:rFonts w:eastAsia="仿宋_GB2312"/>
          <w:sz w:val="32"/>
          <w:szCs w:val="32"/>
        </w:rPr>
      </w:pPr>
      <w:r>
        <w:rPr>
          <w:rFonts w:hint="eastAsia" w:eastAsia="仿宋_GB2312"/>
          <w:sz w:val="32"/>
          <w:szCs w:val="32"/>
        </w:rPr>
        <w:t xml:space="preserve">[16] </w:t>
      </w:r>
      <w:r>
        <w:rPr>
          <w:rFonts w:eastAsia="仿宋_GB2312"/>
          <w:bCs/>
          <w:sz w:val="32"/>
          <w:szCs w:val="32"/>
        </w:rPr>
        <w:t>GB/T 7247.1</w:t>
      </w:r>
      <w:r>
        <w:rPr>
          <w:rFonts w:hint="eastAsia" w:eastAsia="仿宋_GB2312"/>
          <w:bCs/>
          <w:sz w:val="32"/>
          <w:szCs w:val="32"/>
        </w:rPr>
        <w:t>,</w:t>
      </w:r>
      <w:r>
        <w:rPr>
          <w:rFonts w:hint="eastAsia"/>
        </w:rPr>
        <w:t xml:space="preserve"> </w:t>
      </w:r>
      <w:r>
        <w:rPr>
          <w:rFonts w:eastAsia="仿宋_GB2312"/>
          <w:bCs/>
          <w:sz w:val="32"/>
          <w:szCs w:val="32"/>
        </w:rPr>
        <w:t>激光产品的安全 第1部分：设备分类和要求</w:t>
      </w:r>
      <w:r>
        <w:rPr>
          <w:rFonts w:eastAsia="仿宋_GB2312"/>
          <w:sz w:val="32"/>
          <w:szCs w:val="32"/>
        </w:rPr>
        <w:t>[Z].</w:t>
      </w:r>
    </w:p>
    <w:p w14:paraId="25CD5647">
      <w:pPr>
        <w:rPr>
          <w:rFonts w:hint="eastAsia" w:eastAsia="仿宋_GB2312"/>
          <w:color w:val="FF0000"/>
          <w:sz w:val="32"/>
          <w:szCs w:val="32"/>
        </w:rPr>
      </w:pPr>
      <w:r>
        <w:rPr>
          <w:rFonts w:hint="eastAsia" w:eastAsia="仿宋_GB2312"/>
          <w:color w:val="FF0000"/>
          <w:sz w:val="32"/>
          <w:szCs w:val="32"/>
        </w:rPr>
        <w:br w:type="page"/>
      </w:r>
    </w:p>
    <w:p w14:paraId="0C769CB7">
      <w:pPr>
        <w:overflowPunct w:val="0"/>
        <w:autoSpaceDE w:val="0"/>
        <w:autoSpaceDN w:val="0"/>
        <w:spacing w:line="520" w:lineRule="exact"/>
        <w:ind w:left="426" w:hanging="425" w:hangingChars="133"/>
        <w:jc w:val="left"/>
        <w:outlineLvl w:val="0"/>
        <w:rPr>
          <w:rFonts w:hint="default" w:eastAsia="黑体" w:cs="黑体"/>
          <w:snapToGrid w:val="0"/>
          <w:kern w:val="0"/>
          <w:sz w:val="32"/>
          <w:szCs w:val="32"/>
          <w:lang w:val="en-US" w:eastAsia="zh-CN"/>
        </w:rPr>
      </w:pPr>
      <w:r>
        <w:rPr>
          <w:rFonts w:hint="eastAsia" w:eastAsia="黑体" w:cs="黑体"/>
          <w:snapToGrid w:val="0"/>
          <w:kern w:val="0"/>
          <w:sz w:val="32"/>
          <w:szCs w:val="32"/>
          <w:lang w:val="en-US" w:eastAsia="zh-CN"/>
        </w:rPr>
        <w:t>附件1</w:t>
      </w:r>
    </w:p>
    <w:p w14:paraId="3D66E342">
      <w:pPr>
        <w:jc w:val="center"/>
        <w:rPr>
          <w:rFonts w:hint="eastAsia" w:eastAsia="方正小标宋简体"/>
          <w:bCs/>
          <w:snapToGrid w:val="0"/>
          <w:sz w:val="44"/>
          <w:szCs w:val="44"/>
          <w:lang w:val="zh-CN"/>
        </w:rPr>
      </w:pPr>
      <w:bookmarkStart w:id="16" w:name="OLE_LINK8"/>
      <w:r>
        <w:rPr>
          <w:rFonts w:hint="eastAsia" w:eastAsia="方正小标宋简体"/>
          <w:bCs/>
          <w:snapToGrid w:val="0"/>
          <w:sz w:val="44"/>
          <w:szCs w:val="44"/>
          <w:lang w:val="zh-CN"/>
        </w:rPr>
        <w:t>使用禁忌证</w:t>
      </w:r>
    </w:p>
    <w:bookmarkEnd w:id="16"/>
    <w:p w14:paraId="6FE2572E">
      <w:pPr>
        <w:spacing w:line="520" w:lineRule="exact"/>
        <w:ind w:right="-67" w:rightChars="-32" w:firstLine="420"/>
        <w:rPr>
          <w:rFonts w:hint="eastAsia" w:eastAsia="仿宋_GB2312"/>
          <w:sz w:val="32"/>
          <w:szCs w:val="32"/>
          <w:lang w:eastAsia="zh-CN"/>
        </w:rPr>
      </w:pPr>
      <w:r>
        <w:rPr>
          <w:rFonts w:hint="eastAsia" w:eastAsia="仿宋_GB2312"/>
          <w:sz w:val="32"/>
          <w:szCs w:val="32"/>
          <w:lang w:val="en-US" w:eastAsia="zh-CN"/>
        </w:rPr>
        <w:t>使用禁忌证</w:t>
      </w:r>
      <w:r>
        <w:rPr>
          <w:rFonts w:hint="eastAsia" w:eastAsia="仿宋_GB2312"/>
          <w:sz w:val="32"/>
          <w:szCs w:val="32"/>
          <w:lang w:eastAsia="zh-CN"/>
        </w:rPr>
        <w:t>包括但不限于：</w:t>
      </w:r>
    </w:p>
    <w:p w14:paraId="4B8BCC2E">
      <w:pPr>
        <w:pStyle w:val="55"/>
        <w:numPr>
          <w:ilvl w:val="0"/>
          <w:numId w:val="1"/>
        </w:numPr>
        <w:spacing w:line="520" w:lineRule="exact"/>
        <w:ind w:firstLine="640"/>
        <w:rPr>
          <w:rFonts w:hint="eastAsia" w:eastAsia="黑体"/>
          <w:sz w:val="32"/>
          <w:lang w:eastAsia="zh-CN"/>
        </w:rPr>
      </w:pPr>
      <w:r>
        <w:rPr>
          <w:rFonts w:hint="eastAsia" w:eastAsia="黑体"/>
          <w:sz w:val="32"/>
          <w:lang w:eastAsia="zh-CN"/>
        </w:rPr>
        <w:t>绝对禁忌</w:t>
      </w:r>
    </w:p>
    <w:p w14:paraId="3682E16F">
      <w:pPr>
        <w:spacing w:line="520" w:lineRule="exact"/>
        <w:ind w:right="-67" w:rightChars="-32" w:firstLine="420"/>
        <w:rPr>
          <w:rFonts w:hint="eastAsia" w:eastAsia="仿宋_GB2312"/>
          <w:sz w:val="32"/>
          <w:szCs w:val="32"/>
          <w:lang w:eastAsia="zh-CN"/>
        </w:rPr>
      </w:pPr>
      <w:r>
        <w:rPr>
          <w:rFonts w:hint="eastAsia" w:eastAsia="仿宋_GB2312"/>
          <w:sz w:val="32"/>
          <w:szCs w:val="32"/>
          <w:lang w:eastAsia="zh-CN"/>
        </w:rPr>
        <w:t>1.眼球急性外伤、角膜溃疡、急性重度结膜炎、眼部术后创面未愈合者等严重眼部疾病影响瞳孔观察；</w:t>
      </w:r>
    </w:p>
    <w:p w14:paraId="5AD4E320">
      <w:pPr>
        <w:spacing w:line="520" w:lineRule="exact"/>
        <w:ind w:right="-67" w:rightChars="-32" w:firstLine="420"/>
        <w:rPr>
          <w:rFonts w:hint="eastAsia" w:eastAsia="仿宋_GB2312"/>
          <w:sz w:val="32"/>
          <w:szCs w:val="32"/>
          <w:lang w:eastAsia="zh-CN"/>
        </w:rPr>
      </w:pPr>
      <w:r>
        <w:rPr>
          <w:rFonts w:hint="eastAsia" w:eastAsia="仿宋_GB2312"/>
          <w:sz w:val="32"/>
          <w:szCs w:val="32"/>
          <w:lang w:eastAsia="zh-CN"/>
        </w:rPr>
        <w:t>2.面部眼周皮肤破损、急性感染、重度接触性皮炎（含眼震电图电极接触区域）；</w:t>
      </w:r>
    </w:p>
    <w:p w14:paraId="31BC6737">
      <w:pPr>
        <w:spacing w:line="520" w:lineRule="exact"/>
        <w:ind w:right="-67" w:rightChars="-32" w:firstLine="420"/>
        <w:rPr>
          <w:rFonts w:hint="eastAsia" w:eastAsia="仿宋_GB2312"/>
          <w:sz w:val="32"/>
          <w:szCs w:val="32"/>
          <w:lang w:eastAsia="zh-CN"/>
        </w:rPr>
      </w:pPr>
      <w:r>
        <w:rPr>
          <w:rFonts w:hint="eastAsia" w:eastAsia="仿宋_GB2312"/>
          <w:sz w:val="32"/>
          <w:szCs w:val="32"/>
          <w:lang w:eastAsia="zh-CN"/>
        </w:rPr>
        <w:t>3.合并危重心脑血管/中枢病变急性期：未控制重度高血压、急性心肌梗死、脑血管意外急性期、颅内压增高、脑肿瘤进展期、癫痫发作未控制者、严重中枢神经系统疾病伴意识障碍；</w:t>
      </w:r>
    </w:p>
    <w:p w14:paraId="6D4D2288">
      <w:pPr>
        <w:spacing w:line="520" w:lineRule="exact"/>
        <w:ind w:right="-67" w:rightChars="-32" w:firstLine="420"/>
        <w:rPr>
          <w:rFonts w:hint="eastAsia" w:eastAsia="仿宋_GB2312"/>
          <w:sz w:val="32"/>
          <w:szCs w:val="32"/>
          <w:lang w:eastAsia="zh-CN"/>
        </w:rPr>
      </w:pPr>
      <w:r>
        <w:rPr>
          <w:rFonts w:hint="eastAsia" w:eastAsia="仿宋_GB2312"/>
          <w:sz w:val="32"/>
          <w:szCs w:val="32"/>
          <w:lang w:eastAsia="zh-CN"/>
        </w:rPr>
        <w:t>4.有明确严重精神障碍、躁动等无法约束配合检查者，检查过程存在眼部磕碰、窒息风险者；</w:t>
      </w:r>
    </w:p>
    <w:p w14:paraId="001F21A3">
      <w:pPr>
        <w:spacing w:line="520" w:lineRule="exact"/>
        <w:ind w:right="-67" w:rightChars="-32" w:firstLine="420"/>
        <w:rPr>
          <w:rFonts w:hint="eastAsia" w:eastAsia="仿宋_GB2312"/>
          <w:sz w:val="32"/>
          <w:szCs w:val="32"/>
          <w:lang w:eastAsia="zh-CN"/>
        </w:rPr>
      </w:pPr>
      <w:r>
        <w:rPr>
          <w:rFonts w:hint="eastAsia" w:eastAsia="仿宋_GB2312"/>
          <w:sz w:val="32"/>
          <w:szCs w:val="32"/>
          <w:lang w:val="en-US" w:eastAsia="zh-CN"/>
        </w:rPr>
        <w:t>5</w:t>
      </w:r>
      <w:r>
        <w:rPr>
          <w:rFonts w:hint="eastAsia" w:eastAsia="仿宋_GB2312"/>
          <w:sz w:val="32"/>
          <w:szCs w:val="32"/>
          <w:lang w:eastAsia="zh-CN"/>
        </w:rPr>
        <w:t>.双眼盲，高度近视等无法看清刺激视靶者；</w:t>
      </w:r>
    </w:p>
    <w:p w14:paraId="4DAF2FD4">
      <w:pPr>
        <w:spacing w:line="520" w:lineRule="exact"/>
        <w:ind w:right="-67" w:rightChars="-32" w:firstLine="420"/>
        <w:rPr>
          <w:rFonts w:hint="eastAsia" w:eastAsia="仿宋_GB2312"/>
          <w:sz w:val="32"/>
          <w:szCs w:val="32"/>
          <w:lang w:eastAsia="zh-CN"/>
        </w:rPr>
      </w:pPr>
      <w:r>
        <w:rPr>
          <w:rFonts w:hint="eastAsia" w:eastAsia="仿宋_GB2312"/>
          <w:sz w:val="32"/>
          <w:szCs w:val="32"/>
          <w:lang w:val="en-US" w:eastAsia="zh-CN"/>
        </w:rPr>
        <w:t>6</w:t>
      </w:r>
      <w:r>
        <w:rPr>
          <w:rFonts w:hint="eastAsia" w:eastAsia="仿宋_GB2312"/>
          <w:sz w:val="32"/>
          <w:szCs w:val="32"/>
          <w:lang w:eastAsia="zh-CN"/>
        </w:rPr>
        <w:t>.经临床医师综合评估，判定接受本设备检查会显著加重原发疾病、引发急性风险的患者。</w:t>
      </w:r>
    </w:p>
    <w:p w14:paraId="6BAD1FF9">
      <w:pPr>
        <w:pStyle w:val="55"/>
        <w:numPr>
          <w:ilvl w:val="0"/>
          <w:numId w:val="1"/>
        </w:numPr>
        <w:spacing w:line="520" w:lineRule="exact"/>
        <w:ind w:firstLine="640"/>
        <w:rPr>
          <w:rFonts w:hint="eastAsia" w:eastAsia="黑体"/>
          <w:sz w:val="32"/>
          <w:lang w:eastAsia="zh-CN"/>
        </w:rPr>
      </w:pPr>
      <w:r>
        <w:rPr>
          <w:rFonts w:hint="eastAsia" w:eastAsia="黑体"/>
          <w:sz w:val="32"/>
          <w:lang w:eastAsia="zh-CN"/>
        </w:rPr>
        <w:t>相对禁忌</w:t>
      </w:r>
    </w:p>
    <w:p w14:paraId="3AB19240">
      <w:pPr>
        <w:spacing w:line="520" w:lineRule="exact"/>
        <w:ind w:right="-67" w:rightChars="-32" w:firstLine="420"/>
        <w:rPr>
          <w:rFonts w:hint="eastAsia" w:eastAsia="仿宋_GB2312"/>
          <w:sz w:val="32"/>
          <w:szCs w:val="32"/>
          <w:lang w:eastAsia="zh-CN"/>
        </w:rPr>
      </w:pPr>
      <w:r>
        <w:rPr>
          <w:rFonts w:hint="eastAsia" w:eastAsia="仿宋_GB2312"/>
          <w:sz w:val="32"/>
          <w:szCs w:val="32"/>
          <w:lang w:eastAsia="zh-CN"/>
        </w:rPr>
        <w:t>1.眩晕急性发作期患者；</w:t>
      </w:r>
    </w:p>
    <w:p w14:paraId="23D648D6">
      <w:pPr>
        <w:spacing w:line="520" w:lineRule="exact"/>
        <w:ind w:right="-67" w:rightChars="-32" w:firstLine="420"/>
        <w:rPr>
          <w:rFonts w:hint="eastAsia" w:eastAsia="仿宋_GB2312"/>
          <w:sz w:val="32"/>
          <w:szCs w:val="32"/>
          <w:lang w:eastAsia="zh-CN"/>
        </w:rPr>
      </w:pPr>
      <w:r>
        <w:rPr>
          <w:rFonts w:hint="eastAsia" w:eastAsia="仿宋_GB2312"/>
          <w:sz w:val="32"/>
          <w:szCs w:val="32"/>
          <w:lang w:eastAsia="zh-CN"/>
        </w:rPr>
        <w:t>2.轻中度中枢神经系统疾病、长期卧床、高位截瘫，无法配合体位变换者；</w:t>
      </w:r>
    </w:p>
    <w:p w14:paraId="6513CEB6">
      <w:pPr>
        <w:spacing w:line="520" w:lineRule="exact"/>
        <w:ind w:right="-67" w:rightChars="-32" w:firstLine="420"/>
        <w:rPr>
          <w:rFonts w:hint="eastAsia" w:eastAsia="仿宋_GB2312"/>
          <w:sz w:val="32"/>
          <w:szCs w:val="32"/>
          <w:lang w:eastAsia="zh-CN"/>
        </w:rPr>
      </w:pPr>
      <w:r>
        <w:rPr>
          <w:rFonts w:hint="eastAsia" w:eastAsia="仿宋_GB2312"/>
          <w:sz w:val="32"/>
          <w:szCs w:val="32"/>
          <w:lang w:eastAsia="zh-CN"/>
        </w:rPr>
        <w:t>3.重度颈椎综合征、颈部活动严重受限、颈部病变恢复期，不能完成变位、转颈诱发操作的患者；</w:t>
      </w:r>
    </w:p>
    <w:p w14:paraId="76C47C18">
      <w:pPr>
        <w:spacing w:line="520" w:lineRule="exact"/>
        <w:ind w:right="-67" w:rightChars="-32" w:firstLine="420"/>
        <w:rPr>
          <w:rFonts w:hint="eastAsia" w:eastAsia="仿宋_GB2312"/>
          <w:sz w:val="32"/>
          <w:szCs w:val="32"/>
          <w:lang w:eastAsia="zh-CN"/>
        </w:rPr>
      </w:pPr>
      <w:r>
        <w:rPr>
          <w:rFonts w:hint="eastAsia" w:eastAsia="仿宋_GB2312"/>
          <w:sz w:val="32"/>
          <w:szCs w:val="32"/>
          <w:lang w:eastAsia="zh-CN"/>
        </w:rPr>
        <w:t>4.外耳道炎、急性中耳炎、外耳道畸形、鼓膜穿孔、中耳 / 内耳植入器械患者；</w:t>
      </w:r>
    </w:p>
    <w:p w14:paraId="29C54EEF">
      <w:pPr>
        <w:spacing w:line="520" w:lineRule="exact"/>
        <w:ind w:right="-67" w:rightChars="-32" w:firstLine="420"/>
        <w:rPr>
          <w:rFonts w:hint="eastAsia" w:eastAsia="仿宋_GB2312"/>
          <w:sz w:val="32"/>
          <w:szCs w:val="32"/>
          <w:lang w:eastAsia="zh-CN"/>
        </w:rPr>
      </w:pPr>
      <w:r>
        <w:rPr>
          <w:rFonts w:hint="eastAsia" w:eastAsia="仿宋_GB2312"/>
          <w:sz w:val="32"/>
          <w:szCs w:val="32"/>
          <w:lang w:eastAsia="zh-CN"/>
        </w:rPr>
        <w:t>5.先天性眼震患者。</w:t>
      </w:r>
    </w:p>
    <w:p w14:paraId="2417F940">
      <w:pPr>
        <w:pStyle w:val="55"/>
        <w:numPr>
          <w:ilvl w:val="0"/>
          <w:numId w:val="1"/>
        </w:numPr>
        <w:spacing w:line="520" w:lineRule="exact"/>
        <w:ind w:firstLine="640"/>
        <w:rPr>
          <w:rFonts w:hint="eastAsia" w:eastAsia="黑体"/>
          <w:sz w:val="32"/>
          <w:lang w:eastAsia="zh-CN"/>
        </w:rPr>
      </w:pPr>
      <w:r>
        <w:rPr>
          <w:rFonts w:hint="eastAsia" w:eastAsia="黑体"/>
          <w:sz w:val="32"/>
          <w:lang w:eastAsia="zh-CN"/>
        </w:rPr>
        <w:t>慎用人群</w:t>
      </w:r>
    </w:p>
    <w:p w14:paraId="0D3787DA">
      <w:pPr>
        <w:spacing w:line="520" w:lineRule="exact"/>
        <w:ind w:right="-67" w:rightChars="-32" w:firstLine="420"/>
        <w:rPr>
          <w:rFonts w:hint="eastAsia" w:eastAsia="仿宋_GB2312"/>
          <w:sz w:val="32"/>
          <w:szCs w:val="32"/>
          <w:lang w:eastAsia="zh-CN"/>
        </w:rPr>
      </w:pPr>
      <w:r>
        <w:rPr>
          <w:rFonts w:hint="eastAsia" w:eastAsia="仿宋_GB2312"/>
          <w:sz w:val="32"/>
          <w:szCs w:val="32"/>
          <w:lang w:eastAsia="zh-CN"/>
        </w:rPr>
        <w:t>1.妊娠、哺乳期妇女；</w:t>
      </w:r>
    </w:p>
    <w:p w14:paraId="799F3D86">
      <w:pPr>
        <w:spacing w:line="520" w:lineRule="exact"/>
        <w:ind w:right="-67" w:rightChars="-32" w:firstLine="420"/>
        <w:rPr>
          <w:rFonts w:hint="eastAsia" w:eastAsia="仿宋_GB2312"/>
          <w:sz w:val="32"/>
          <w:szCs w:val="32"/>
          <w:lang w:eastAsia="zh-CN"/>
        </w:rPr>
      </w:pPr>
      <w:r>
        <w:rPr>
          <w:rFonts w:hint="eastAsia" w:eastAsia="仿宋_GB2312"/>
          <w:sz w:val="32"/>
          <w:szCs w:val="32"/>
          <w:lang w:eastAsia="zh-CN"/>
        </w:rPr>
        <w:t>2.认知障碍、儿童等依从性较差，需专人全程监护的患者；</w:t>
      </w:r>
    </w:p>
    <w:p w14:paraId="643CEBE6">
      <w:pPr>
        <w:spacing w:line="520" w:lineRule="exact"/>
        <w:ind w:right="-67" w:rightChars="-32" w:firstLine="420"/>
        <w:rPr>
          <w:rFonts w:eastAsia="仿宋_GB2312"/>
          <w:sz w:val="32"/>
          <w:szCs w:val="32"/>
        </w:rPr>
      </w:pPr>
      <w:r>
        <w:rPr>
          <w:rFonts w:hint="eastAsia" w:eastAsia="仿宋_GB2312"/>
          <w:sz w:val="32"/>
          <w:szCs w:val="32"/>
          <w:lang w:eastAsia="zh-CN"/>
        </w:rPr>
        <w:t>3.幽闭恐惧症或无法耐受眼罩者。</w:t>
      </w:r>
    </w:p>
    <w:sectPr>
      <w:headerReference r:id="rId4" w:type="default"/>
      <w:footerReference r:id="rId5" w:type="default"/>
      <w:pgSz w:w="11906" w:h="16838"/>
      <w:pgMar w:top="2098" w:right="1588" w:bottom="2098" w:left="1588" w:header="851" w:footer="992" w:gutter="0"/>
      <w:pgBorders w:offsetFrom="page">
        <w:top w:val="single" w:color="FFFFFF" w:sz="8" w:space="24"/>
        <w:left w:val="single" w:color="FFFFFF" w:sz="8" w:space="24"/>
        <w:bottom w:val="single" w:color="FFFFFF" w:sz="8" w:space="24"/>
        <w:right w:val="single" w:color="FFFFFF" w:sz="8" w:space="24"/>
      </w:pgBorders>
      <w:lnNumType w:countBy="1" w:restart="continuou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22981521"/>
    </w:sdtPr>
    <w:sdtContent>
      <w:p w14:paraId="56273FDA">
        <w:pPr>
          <w:pStyle w:val="12"/>
          <w:jc w:val="right"/>
        </w:pPr>
        <w:r>
          <w:rPr>
            <w:lang w:val="zh-CN"/>
          </w:rPr>
          <w:fldChar w:fldCharType="begin"/>
        </w:r>
        <w:r>
          <w:rPr>
            <w:lang w:val="zh-CN"/>
          </w:rPr>
          <w:instrText xml:space="preserve">PAGE   \* MERGEFORMAT</w:instrText>
        </w:r>
        <w:r>
          <w:rPr>
            <w:lang w:val="zh-CN"/>
          </w:rPr>
          <w:fldChar w:fldCharType="separate"/>
        </w:r>
        <w:r>
          <w:rPr>
            <w:lang w:val="zh-CN"/>
          </w:rPr>
          <w:t>18</w:t>
        </w:r>
        <w:r>
          <w:rPr>
            <w:lang w:val="zh-CN"/>
          </w:rPr>
          <w:fldChar w:fldCharType="end"/>
        </w:r>
      </w:p>
    </w:sdtContent>
  </w:sdt>
  <w:p w14:paraId="3AC960EB">
    <w:pPr>
      <w:pStyle w:val="1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
    <w:p>
      <w:r>
        <w:separator/>
      </w:r>
    </w:p>
  </w:footnote>
  <w:footnote w:type="continuationSeparator" w:id="3">
    <w:p>
      <w:r>
        <w:continuationSeparator/>
      </w:r>
    </w:p>
  </w:footnote>
  <w:footnote w:id="0">
    <w:p w14:paraId="6E3F5172">
      <w:pPr>
        <w:pStyle w:val="14"/>
      </w:pPr>
      <w:r>
        <w:rPr>
          <w:rStyle w:val="25"/>
        </w:rPr>
        <w:footnoteRef/>
      </w:r>
      <w:r>
        <w:t xml:space="preserve"> </w:t>
      </w:r>
      <w:r>
        <w:rPr>
          <w:rFonts w:hint="eastAsia"/>
        </w:rPr>
        <w:t>李晓璐,卜行宽,Kamran Barin,等.实用眼震电图和眼震视图检查[M].3版.北京:人民卫生出版社,2026</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E59348">
    <w:pPr>
      <w:pStyle w:val="13"/>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1BF15DE"/>
    <w:multiLevelType w:val="singleLevel"/>
    <w:tmpl w:val="61BF15DE"/>
    <w:lvl w:ilvl="0" w:tentative="0">
      <w:start w:val="1"/>
      <w:numFmt w:val="chineseCounting"/>
      <w:suff w:val="nothing"/>
      <w:lvlText w:val="%1、"/>
      <w:lvlJc w:val="left"/>
      <w:pPr>
        <w:ind w:left="0" w:firstLine="42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2"/>
    <w:footnote w:id="3"/>
  </w:foot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jFmZWIzNDg2MmIzZjExOTIzMmViNTBmYTMwYTk0ZWYifQ=="/>
  </w:docVars>
  <w:rsids>
    <w:rsidRoot w:val="00E63088"/>
    <w:rsid w:val="00003C2A"/>
    <w:rsid w:val="000053EA"/>
    <w:rsid w:val="00006F24"/>
    <w:rsid w:val="00013617"/>
    <w:rsid w:val="0001565D"/>
    <w:rsid w:val="00016EE4"/>
    <w:rsid w:val="00020A74"/>
    <w:rsid w:val="000271BD"/>
    <w:rsid w:val="00031646"/>
    <w:rsid w:val="00044789"/>
    <w:rsid w:val="00044921"/>
    <w:rsid w:val="00047054"/>
    <w:rsid w:val="00047774"/>
    <w:rsid w:val="000546BD"/>
    <w:rsid w:val="00055C06"/>
    <w:rsid w:val="00064119"/>
    <w:rsid w:val="00066678"/>
    <w:rsid w:val="00073D6F"/>
    <w:rsid w:val="00074EB5"/>
    <w:rsid w:val="000869B4"/>
    <w:rsid w:val="00095D15"/>
    <w:rsid w:val="00096CE9"/>
    <w:rsid w:val="000A3C40"/>
    <w:rsid w:val="000A5355"/>
    <w:rsid w:val="000A5CF3"/>
    <w:rsid w:val="000B09F1"/>
    <w:rsid w:val="000B1E70"/>
    <w:rsid w:val="000B37CA"/>
    <w:rsid w:val="000B6F8B"/>
    <w:rsid w:val="000C0981"/>
    <w:rsid w:val="000C1FB8"/>
    <w:rsid w:val="000C27A7"/>
    <w:rsid w:val="000C32F7"/>
    <w:rsid w:val="000C4E20"/>
    <w:rsid w:val="000C5E2C"/>
    <w:rsid w:val="000C78EF"/>
    <w:rsid w:val="000D28E5"/>
    <w:rsid w:val="000D355E"/>
    <w:rsid w:val="000D7899"/>
    <w:rsid w:val="000E00CC"/>
    <w:rsid w:val="000E0E3B"/>
    <w:rsid w:val="000E136B"/>
    <w:rsid w:val="000E70A7"/>
    <w:rsid w:val="000F0B7A"/>
    <w:rsid w:val="000F6128"/>
    <w:rsid w:val="001043C5"/>
    <w:rsid w:val="00105DB3"/>
    <w:rsid w:val="00110DAD"/>
    <w:rsid w:val="001201E0"/>
    <w:rsid w:val="0012217F"/>
    <w:rsid w:val="0012543D"/>
    <w:rsid w:val="0012548A"/>
    <w:rsid w:val="001327E9"/>
    <w:rsid w:val="0014090A"/>
    <w:rsid w:val="00147B30"/>
    <w:rsid w:val="0015141F"/>
    <w:rsid w:val="00153E67"/>
    <w:rsid w:val="00161431"/>
    <w:rsid w:val="001621F3"/>
    <w:rsid w:val="001638B6"/>
    <w:rsid w:val="00164456"/>
    <w:rsid w:val="00164761"/>
    <w:rsid w:val="00164E5B"/>
    <w:rsid w:val="00165855"/>
    <w:rsid w:val="00172709"/>
    <w:rsid w:val="00174F3F"/>
    <w:rsid w:val="00181B1E"/>
    <w:rsid w:val="00181F36"/>
    <w:rsid w:val="00182DC3"/>
    <w:rsid w:val="0018307F"/>
    <w:rsid w:val="00190F10"/>
    <w:rsid w:val="00192A03"/>
    <w:rsid w:val="00192A46"/>
    <w:rsid w:val="0019393C"/>
    <w:rsid w:val="00194C1D"/>
    <w:rsid w:val="0019763C"/>
    <w:rsid w:val="001A5216"/>
    <w:rsid w:val="001A79E4"/>
    <w:rsid w:val="001B193B"/>
    <w:rsid w:val="001B24B7"/>
    <w:rsid w:val="001B3F21"/>
    <w:rsid w:val="001C5425"/>
    <w:rsid w:val="001D2899"/>
    <w:rsid w:val="001D63E0"/>
    <w:rsid w:val="001E1A3E"/>
    <w:rsid w:val="001E6415"/>
    <w:rsid w:val="001F0BC8"/>
    <w:rsid w:val="001F4C98"/>
    <w:rsid w:val="002041AF"/>
    <w:rsid w:val="002054CC"/>
    <w:rsid w:val="00207940"/>
    <w:rsid w:val="0021064B"/>
    <w:rsid w:val="00212DA1"/>
    <w:rsid w:val="002130A5"/>
    <w:rsid w:val="00213917"/>
    <w:rsid w:val="002141EA"/>
    <w:rsid w:val="0022090A"/>
    <w:rsid w:val="00220A5E"/>
    <w:rsid w:val="00226AE0"/>
    <w:rsid w:val="002272F4"/>
    <w:rsid w:val="00231ADA"/>
    <w:rsid w:val="00235F63"/>
    <w:rsid w:val="00237CB2"/>
    <w:rsid w:val="00241F5D"/>
    <w:rsid w:val="00246FDE"/>
    <w:rsid w:val="00252751"/>
    <w:rsid w:val="00256967"/>
    <w:rsid w:val="00257B37"/>
    <w:rsid w:val="00257C2A"/>
    <w:rsid w:val="00266781"/>
    <w:rsid w:val="002720FE"/>
    <w:rsid w:val="00273138"/>
    <w:rsid w:val="00275597"/>
    <w:rsid w:val="00277983"/>
    <w:rsid w:val="00281B30"/>
    <w:rsid w:val="00281F74"/>
    <w:rsid w:val="00284BA4"/>
    <w:rsid w:val="00285A8F"/>
    <w:rsid w:val="00286240"/>
    <w:rsid w:val="00291C48"/>
    <w:rsid w:val="0029239A"/>
    <w:rsid w:val="0029450E"/>
    <w:rsid w:val="00294ACF"/>
    <w:rsid w:val="002A17DA"/>
    <w:rsid w:val="002A189F"/>
    <w:rsid w:val="002A2EB2"/>
    <w:rsid w:val="002A3D70"/>
    <w:rsid w:val="002A7BD0"/>
    <w:rsid w:val="002B7539"/>
    <w:rsid w:val="002C1364"/>
    <w:rsid w:val="002C4428"/>
    <w:rsid w:val="002D1DA0"/>
    <w:rsid w:val="002D3138"/>
    <w:rsid w:val="002D5EBA"/>
    <w:rsid w:val="002D7141"/>
    <w:rsid w:val="002E110A"/>
    <w:rsid w:val="002E3C32"/>
    <w:rsid w:val="002E54B5"/>
    <w:rsid w:val="002F2CF8"/>
    <w:rsid w:val="002F5340"/>
    <w:rsid w:val="003023DA"/>
    <w:rsid w:val="003038D5"/>
    <w:rsid w:val="003043AE"/>
    <w:rsid w:val="00312053"/>
    <w:rsid w:val="00314AB2"/>
    <w:rsid w:val="00315C89"/>
    <w:rsid w:val="00316903"/>
    <w:rsid w:val="003216D6"/>
    <w:rsid w:val="00322219"/>
    <w:rsid w:val="003234B3"/>
    <w:rsid w:val="003269D5"/>
    <w:rsid w:val="00330156"/>
    <w:rsid w:val="00331CF3"/>
    <w:rsid w:val="003343CB"/>
    <w:rsid w:val="00334EDF"/>
    <w:rsid w:val="00340DE2"/>
    <w:rsid w:val="00343D55"/>
    <w:rsid w:val="00345836"/>
    <w:rsid w:val="00345841"/>
    <w:rsid w:val="003508A8"/>
    <w:rsid w:val="003537C4"/>
    <w:rsid w:val="00354E1B"/>
    <w:rsid w:val="00357EED"/>
    <w:rsid w:val="003615BA"/>
    <w:rsid w:val="00361B5C"/>
    <w:rsid w:val="00372FD4"/>
    <w:rsid w:val="00373704"/>
    <w:rsid w:val="00373859"/>
    <w:rsid w:val="003763B8"/>
    <w:rsid w:val="003765DC"/>
    <w:rsid w:val="00376CCD"/>
    <w:rsid w:val="00381761"/>
    <w:rsid w:val="003931E8"/>
    <w:rsid w:val="00395AC8"/>
    <w:rsid w:val="0039726B"/>
    <w:rsid w:val="003A567D"/>
    <w:rsid w:val="003A6629"/>
    <w:rsid w:val="003A7B1B"/>
    <w:rsid w:val="003B1699"/>
    <w:rsid w:val="003B1AED"/>
    <w:rsid w:val="003B1D89"/>
    <w:rsid w:val="003B2688"/>
    <w:rsid w:val="003B49BD"/>
    <w:rsid w:val="003B4BC6"/>
    <w:rsid w:val="003B68C7"/>
    <w:rsid w:val="003C1875"/>
    <w:rsid w:val="003C34C9"/>
    <w:rsid w:val="003C50A3"/>
    <w:rsid w:val="003C7199"/>
    <w:rsid w:val="003D6DF3"/>
    <w:rsid w:val="003E095F"/>
    <w:rsid w:val="003E1AEE"/>
    <w:rsid w:val="003E3C28"/>
    <w:rsid w:val="003E51D8"/>
    <w:rsid w:val="003E75C7"/>
    <w:rsid w:val="003E7D6F"/>
    <w:rsid w:val="003F4C71"/>
    <w:rsid w:val="00401353"/>
    <w:rsid w:val="00404FFE"/>
    <w:rsid w:val="00407856"/>
    <w:rsid w:val="00407974"/>
    <w:rsid w:val="004133C6"/>
    <w:rsid w:val="004148F1"/>
    <w:rsid w:val="004155F4"/>
    <w:rsid w:val="00420AD5"/>
    <w:rsid w:val="00421CEC"/>
    <w:rsid w:val="00421E13"/>
    <w:rsid w:val="00423DA5"/>
    <w:rsid w:val="0042540C"/>
    <w:rsid w:val="00426C18"/>
    <w:rsid w:val="00444455"/>
    <w:rsid w:val="00447944"/>
    <w:rsid w:val="00451F37"/>
    <w:rsid w:val="004536E6"/>
    <w:rsid w:val="00453B56"/>
    <w:rsid w:val="00455BC8"/>
    <w:rsid w:val="00462D18"/>
    <w:rsid w:val="0047530B"/>
    <w:rsid w:val="0047670C"/>
    <w:rsid w:val="004807E4"/>
    <w:rsid w:val="00484C29"/>
    <w:rsid w:val="0048699F"/>
    <w:rsid w:val="004915C4"/>
    <w:rsid w:val="00491E6D"/>
    <w:rsid w:val="004922E5"/>
    <w:rsid w:val="004950B8"/>
    <w:rsid w:val="004960E6"/>
    <w:rsid w:val="004A3679"/>
    <w:rsid w:val="004A4824"/>
    <w:rsid w:val="004A506A"/>
    <w:rsid w:val="004A5C3E"/>
    <w:rsid w:val="004B032B"/>
    <w:rsid w:val="004B0EE9"/>
    <w:rsid w:val="004B371B"/>
    <w:rsid w:val="004B6CA1"/>
    <w:rsid w:val="004B7F1B"/>
    <w:rsid w:val="004C46D0"/>
    <w:rsid w:val="004D03A9"/>
    <w:rsid w:val="004D3765"/>
    <w:rsid w:val="004D4A66"/>
    <w:rsid w:val="004D78AA"/>
    <w:rsid w:val="004D7A82"/>
    <w:rsid w:val="004E1A12"/>
    <w:rsid w:val="004E3167"/>
    <w:rsid w:val="004E560A"/>
    <w:rsid w:val="004E7C61"/>
    <w:rsid w:val="004F1AEB"/>
    <w:rsid w:val="004F2E37"/>
    <w:rsid w:val="004F3BA3"/>
    <w:rsid w:val="004F4706"/>
    <w:rsid w:val="004F533D"/>
    <w:rsid w:val="004F5A04"/>
    <w:rsid w:val="004F6714"/>
    <w:rsid w:val="00500647"/>
    <w:rsid w:val="005021B1"/>
    <w:rsid w:val="00502A7D"/>
    <w:rsid w:val="0050312D"/>
    <w:rsid w:val="00505143"/>
    <w:rsid w:val="00506616"/>
    <w:rsid w:val="005109D7"/>
    <w:rsid w:val="00524BDC"/>
    <w:rsid w:val="0053140B"/>
    <w:rsid w:val="00531867"/>
    <w:rsid w:val="00534ADD"/>
    <w:rsid w:val="00537392"/>
    <w:rsid w:val="0053747B"/>
    <w:rsid w:val="0054026B"/>
    <w:rsid w:val="00542150"/>
    <w:rsid w:val="00550E8B"/>
    <w:rsid w:val="00551A51"/>
    <w:rsid w:val="00552AB4"/>
    <w:rsid w:val="00556319"/>
    <w:rsid w:val="00556B12"/>
    <w:rsid w:val="00561D7F"/>
    <w:rsid w:val="005658E1"/>
    <w:rsid w:val="00572B2E"/>
    <w:rsid w:val="005753E2"/>
    <w:rsid w:val="00575875"/>
    <w:rsid w:val="0057703D"/>
    <w:rsid w:val="00580AE7"/>
    <w:rsid w:val="005821A3"/>
    <w:rsid w:val="005834A4"/>
    <w:rsid w:val="00585344"/>
    <w:rsid w:val="00587893"/>
    <w:rsid w:val="00590B21"/>
    <w:rsid w:val="005933D9"/>
    <w:rsid w:val="00593A39"/>
    <w:rsid w:val="00594907"/>
    <w:rsid w:val="0059750A"/>
    <w:rsid w:val="005A6978"/>
    <w:rsid w:val="005B0C2F"/>
    <w:rsid w:val="005B0C68"/>
    <w:rsid w:val="005B256B"/>
    <w:rsid w:val="005B385A"/>
    <w:rsid w:val="005B390E"/>
    <w:rsid w:val="005C3CF1"/>
    <w:rsid w:val="005C5D7C"/>
    <w:rsid w:val="005D0001"/>
    <w:rsid w:val="005D0056"/>
    <w:rsid w:val="005D19FD"/>
    <w:rsid w:val="005D2314"/>
    <w:rsid w:val="005D478D"/>
    <w:rsid w:val="005E07F7"/>
    <w:rsid w:val="005E08F9"/>
    <w:rsid w:val="005E398E"/>
    <w:rsid w:val="005E5E9C"/>
    <w:rsid w:val="005E7754"/>
    <w:rsid w:val="005F0149"/>
    <w:rsid w:val="005F248E"/>
    <w:rsid w:val="005F29F9"/>
    <w:rsid w:val="005F6903"/>
    <w:rsid w:val="006018A5"/>
    <w:rsid w:val="0060385B"/>
    <w:rsid w:val="006120B2"/>
    <w:rsid w:val="006122C7"/>
    <w:rsid w:val="006128F5"/>
    <w:rsid w:val="00612C65"/>
    <w:rsid w:val="00615694"/>
    <w:rsid w:val="006162BF"/>
    <w:rsid w:val="00621904"/>
    <w:rsid w:val="00625CE9"/>
    <w:rsid w:val="00627F39"/>
    <w:rsid w:val="00632917"/>
    <w:rsid w:val="00634FF3"/>
    <w:rsid w:val="006374B3"/>
    <w:rsid w:val="00637989"/>
    <w:rsid w:val="00642140"/>
    <w:rsid w:val="00642FD3"/>
    <w:rsid w:val="00651A73"/>
    <w:rsid w:val="006528D3"/>
    <w:rsid w:val="006548B6"/>
    <w:rsid w:val="0065492E"/>
    <w:rsid w:val="006641B6"/>
    <w:rsid w:val="006646AD"/>
    <w:rsid w:val="006651CF"/>
    <w:rsid w:val="006662F2"/>
    <w:rsid w:val="00670CCE"/>
    <w:rsid w:val="00671277"/>
    <w:rsid w:val="006731E6"/>
    <w:rsid w:val="00673EBE"/>
    <w:rsid w:val="00684409"/>
    <w:rsid w:val="0068614B"/>
    <w:rsid w:val="00686E7C"/>
    <w:rsid w:val="006901CC"/>
    <w:rsid w:val="00691368"/>
    <w:rsid w:val="00691C59"/>
    <w:rsid w:val="006926A9"/>
    <w:rsid w:val="0069318C"/>
    <w:rsid w:val="00694385"/>
    <w:rsid w:val="006A06B9"/>
    <w:rsid w:val="006A3768"/>
    <w:rsid w:val="006A3947"/>
    <w:rsid w:val="006A39A4"/>
    <w:rsid w:val="006A39C0"/>
    <w:rsid w:val="006A3C1C"/>
    <w:rsid w:val="006B793C"/>
    <w:rsid w:val="006B79E1"/>
    <w:rsid w:val="006C1CF4"/>
    <w:rsid w:val="006C1E22"/>
    <w:rsid w:val="006C3FD3"/>
    <w:rsid w:val="006C79C8"/>
    <w:rsid w:val="006D6789"/>
    <w:rsid w:val="006E0893"/>
    <w:rsid w:val="006E52AF"/>
    <w:rsid w:val="006E7A87"/>
    <w:rsid w:val="006F23D2"/>
    <w:rsid w:val="006F4D4F"/>
    <w:rsid w:val="00700307"/>
    <w:rsid w:val="007055D5"/>
    <w:rsid w:val="0071024A"/>
    <w:rsid w:val="0071031C"/>
    <w:rsid w:val="007114E7"/>
    <w:rsid w:val="00712003"/>
    <w:rsid w:val="0071697E"/>
    <w:rsid w:val="00720FE7"/>
    <w:rsid w:val="00733AAC"/>
    <w:rsid w:val="007376CF"/>
    <w:rsid w:val="0074195D"/>
    <w:rsid w:val="0074411C"/>
    <w:rsid w:val="00746F97"/>
    <w:rsid w:val="007503CE"/>
    <w:rsid w:val="007506C6"/>
    <w:rsid w:val="007511F6"/>
    <w:rsid w:val="00752A06"/>
    <w:rsid w:val="00752FEE"/>
    <w:rsid w:val="007537CA"/>
    <w:rsid w:val="00754B23"/>
    <w:rsid w:val="007562C0"/>
    <w:rsid w:val="00757284"/>
    <w:rsid w:val="00757D84"/>
    <w:rsid w:val="00757EDB"/>
    <w:rsid w:val="00761F39"/>
    <w:rsid w:val="00764A39"/>
    <w:rsid w:val="00765E2D"/>
    <w:rsid w:val="00771E06"/>
    <w:rsid w:val="00772A09"/>
    <w:rsid w:val="007753F5"/>
    <w:rsid w:val="0078069D"/>
    <w:rsid w:val="007837EA"/>
    <w:rsid w:val="00792113"/>
    <w:rsid w:val="00792B29"/>
    <w:rsid w:val="0079324B"/>
    <w:rsid w:val="00793257"/>
    <w:rsid w:val="007963B3"/>
    <w:rsid w:val="007971FE"/>
    <w:rsid w:val="007A1192"/>
    <w:rsid w:val="007A12FA"/>
    <w:rsid w:val="007A4A3F"/>
    <w:rsid w:val="007B3CD7"/>
    <w:rsid w:val="007B4E08"/>
    <w:rsid w:val="007C0777"/>
    <w:rsid w:val="007C1110"/>
    <w:rsid w:val="007C30F9"/>
    <w:rsid w:val="007C7037"/>
    <w:rsid w:val="007C71DF"/>
    <w:rsid w:val="007D0C5A"/>
    <w:rsid w:val="007D3BDE"/>
    <w:rsid w:val="007D7E80"/>
    <w:rsid w:val="007E6E46"/>
    <w:rsid w:val="007E7D27"/>
    <w:rsid w:val="007F0604"/>
    <w:rsid w:val="007F0AD2"/>
    <w:rsid w:val="007F1332"/>
    <w:rsid w:val="007F2EB3"/>
    <w:rsid w:val="007F30C2"/>
    <w:rsid w:val="007F4B3F"/>
    <w:rsid w:val="00800819"/>
    <w:rsid w:val="00804DF2"/>
    <w:rsid w:val="00804FE5"/>
    <w:rsid w:val="008126A8"/>
    <w:rsid w:val="00813844"/>
    <w:rsid w:val="00815951"/>
    <w:rsid w:val="00816141"/>
    <w:rsid w:val="00821DCF"/>
    <w:rsid w:val="0082257F"/>
    <w:rsid w:val="008267DF"/>
    <w:rsid w:val="008272B7"/>
    <w:rsid w:val="00827AC3"/>
    <w:rsid w:val="008306DC"/>
    <w:rsid w:val="008321A8"/>
    <w:rsid w:val="00832C83"/>
    <w:rsid w:val="0083631F"/>
    <w:rsid w:val="00841B54"/>
    <w:rsid w:val="00842CA5"/>
    <w:rsid w:val="008449F7"/>
    <w:rsid w:val="00846789"/>
    <w:rsid w:val="00852070"/>
    <w:rsid w:val="008539C7"/>
    <w:rsid w:val="0085461D"/>
    <w:rsid w:val="00871085"/>
    <w:rsid w:val="0087177F"/>
    <w:rsid w:val="008838CC"/>
    <w:rsid w:val="008844D5"/>
    <w:rsid w:val="00884A81"/>
    <w:rsid w:val="008857AE"/>
    <w:rsid w:val="008875CF"/>
    <w:rsid w:val="00890340"/>
    <w:rsid w:val="0089213E"/>
    <w:rsid w:val="00892C48"/>
    <w:rsid w:val="008937D0"/>
    <w:rsid w:val="008968E8"/>
    <w:rsid w:val="008A1637"/>
    <w:rsid w:val="008A2CA7"/>
    <w:rsid w:val="008A38C6"/>
    <w:rsid w:val="008A4BD5"/>
    <w:rsid w:val="008A5792"/>
    <w:rsid w:val="008B2FBD"/>
    <w:rsid w:val="008B3A41"/>
    <w:rsid w:val="008C1F10"/>
    <w:rsid w:val="008C22EB"/>
    <w:rsid w:val="008C26EC"/>
    <w:rsid w:val="008C6D0F"/>
    <w:rsid w:val="008D2198"/>
    <w:rsid w:val="008D3EF9"/>
    <w:rsid w:val="008E120E"/>
    <w:rsid w:val="008E1F24"/>
    <w:rsid w:val="008E63E6"/>
    <w:rsid w:val="008F00D3"/>
    <w:rsid w:val="008F29D0"/>
    <w:rsid w:val="008F3301"/>
    <w:rsid w:val="008F4465"/>
    <w:rsid w:val="00900C9A"/>
    <w:rsid w:val="00902140"/>
    <w:rsid w:val="009052BC"/>
    <w:rsid w:val="00905728"/>
    <w:rsid w:val="0090723A"/>
    <w:rsid w:val="009073F8"/>
    <w:rsid w:val="009106BE"/>
    <w:rsid w:val="00913919"/>
    <w:rsid w:val="00913E45"/>
    <w:rsid w:val="00914E96"/>
    <w:rsid w:val="00915838"/>
    <w:rsid w:val="00927923"/>
    <w:rsid w:val="00934215"/>
    <w:rsid w:val="00937F3D"/>
    <w:rsid w:val="00942E0A"/>
    <w:rsid w:val="00942F8C"/>
    <w:rsid w:val="00945585"/>
    <w:rsid w:val="009510E5"/>
    <w:rsid w:val="00952E5A"/>
    <w:rsid w:val="009538AE"/>
    <w:rsid w:val="00961EF8"/>
    <w:rsid w:val="00965D6E"/>
    <w:rsid w:val="00967024"/>
    <w:rsid w:val="0097434A"/>
    <w:rsid w:val="00974353"/>
    <w:rsid w:val="00974438"/>
    <w:rsid w:val="00977CEB"/>
    <w:rsid w:val="00980181"/>
    <w:rsid w:val="00983F5F"/>
    <w:rsid w:val="00987B3A"/>
    <w:rsid w:val="00987DE2"/>
    <w:rsid w:val="0099100A"/>
    <w:rsid w:val="009928FF"/>
    <w:rsid w:val="0099542F"/>
    <w:rsid w:val="00995F60"/>
    <w:rsid w:val="009A16AB"/>
    <w:rsid w:val="009A2977"/>
    <w:rsid w:val="009A3A31"/>
    <w:rsid w:val="009A42BB"/>
    <w:rsid w:val="009A4DE7"/>
    <w:rsid w:val="009A64EE"/>
    <w:rsid w:val="009A7E69"/>
    <w:rsid w:val="009B0FF8"/>
    <w:rsid w:val="009B254B"/>
    <w:rsid w:val="009C1505"/>
    <w:rsid w:val="009C1F50"/>
    <w:rsid w:val="009C38FF"/>
    <w:rsid w:val="009D3ECE"/>
    <w:rsid w:val="009D5679"/>
    <w:rsid w:val="009D7B77"/>
    <w:rsid w:val="009E5B1D"/>
    <w:rsid w:val="009E6434"/>
    <w:rsid w:val="009E7C0E"/>
    <w:rsid w:val="009F1CDA"/>
    <w:rsid w:val="009F2027"/>
    <w:rsid w:val="009F3366"/>
    <w:rsid w:val="009F45AF"/>
    <w:rsid w:val="009F4831"/>
    <w:rsid w:val="00A00D5F"/>
    <w:rsid w:val="00A05E9B"/>
    <w:rsid w:val="00A13EE6"/>
    <w:rsid w:val="00A162CA"/>
    <w:rsid w:val="00A26E68"/>
    <w:rsid w:val="00A32830"/>
    <w:rsid w:val="00A337CB"/>
    <w:rsid w:val="00A362ED"/>
    <w:rsid w:val="00A408C4"/>
    <w:rsid w:val="00A40D2B"/>
    <w:rsid w:val="00A42997"/>
    <w:rsid w:val="00A42CAC"/>
    <w:rsid w:val="00A4707A"/>
    <w:rsid w:val="00A47C49"/>
    <w:rsid w:val="00A47E23"/>
    <w:rsid w:val="00A50361"/>
    <w:rsid w:val="00A50C30"/>
    <w:rsid w:val="00A510DC"/>
    <w:rsid w:val="00A53CBB"/>
    <w:rsid w:val="00A53CF2"/>
    <w:rsid w:val="00A54B7E"/>
    <w:rsid w:val="00A555B2"/>
    <w:rsid w:val="00A55EB2"/>
    <w:rsid w:val="00A568A5"/>
    <w:rsid w:val="00A6090A"/>
    <w:rsid w:val="00A65E0C"/>
    <w:rsid w:val="00A70071"/>
    <w:rsid w:val="00A71B8E"/>
    <w:rsid w:val="00A71BF9"/>
    <w:rsid w:val="00A7247F"/>
    <w:rsid w:val="00A7605C"/>
    <w:rsid w:val="00A81C2C"/>
    <w:rsid w:val="00A8225A"/>
    <w:rsid w:val="00A8635E"/>
    <w:rsid w:val="00A91812"/>
    <w:rsid w:val="00A9593B"/>
    <w:rsid w:val="00A9636B"/>
    <w:rsid w:val="00A96ED5"/>
    <w:rsid w:val="00A97104"/>
    <w:rsid w:val="00A97489"/>
    <w:rsid w:val="00AA3E3E"/>
    <w:rsid w:val="00AA67EC"/>
    <w:rsid w:val="00AA72D2"/>
    <w:rsid w:val="00AB0E7D"/>
    <w:rsid w:val="00AB379B"/>
    <w:rsid w:val="00AB4517"/>
    <w:rsid w:val="00AB6345"/>
    <w:rsid w:val="00AB6492"/>
    <w:rsid w:val="00AC1AA4"/>
    <w:rsid w:val="00AC291D"/>
    <w:rsid w:val="00AC360D"/>
    <w:rsid w:val="00AC5CE5"/>
    <w:rsid w:val="00AC7D52"/>
    <w:rsid w:val="00AD44F4"/>
    <w:rsid w:val="00AD7F00"/>
    <w:rsid w:val="00AE45E6"/>
    <w:rsid w:val="00AE5419"/>
    <w:rsid w:val="00AF0BCD"/>
    <w:rsid w:val="00AF1606"/>
    <w:rsid w:val="00AF26CD"/>
    <w:rsid w:val="00AF45C5"/>
    <w:rsid w:val="00AF7D98"/>
    <w:rsid w:val="00B01276"/>
    <w:rsid w:val="00B015FD"/>
    <w:rsid w:val="00B024D3"/>
    <w:rsid w:val="00B0575D"/>
    <w:rsid w:val="00B11636"/>
    <w:rsid w:val="00B12528"/>
    <w:rsid w:val="00B17AEA"/>
    <w:rsid w:val="00B2220E"/>
    <w:rsid w:val="00B30193"/>
    <w:rsid w:val="00B307C4"/>
    <w:rsid w:val="00B30942"/>
    <w:rsid w:val="00B3352E"/>
    <w:rsid w:val="00B338D8"/>
    <w:rsid w:val="00B3612B"/>
    <w:rsid w:val="00B37179"/>
    <w:rsid w:val="00B429B0"/>
    <w:rsid w:val="00B436AD"/>
    <w:rsid w:val="00B442C7"/>
    <w:rsid w:val="00B47255"/>
    <w:rsid w:val="00B5451E"/>
    <w:rsid w:val="00B5588F"/>
    <w:rsid w:val="00B57687"/>
    <w:rsid w:val="00B60546"/>
    <w:rsid w:val="00B61FEB"/>
    <w:rsid w:val="00B62776"/>
    <w:rsid w:val="00B771D5"/>
    <w:rsid w:val="00B80200"/>
    <w:rsid w:val="00B803D8"/>
    <w:rsid w:val="00B80443"/>
    <w:rsid w:val="00B82BD0"/>
    <w:rsid w:val="00B830C6"/>
    <w:rsid w:val="00B86CD3"/>
    <w:rsid w:val="00B87B54"/>
    <w:rsid w:val="00B90268"/>
    <w:rsid w:val="00B96457"/>
    <w:rsid w:val="00BA049B"/>
    <w:rsid w:val="00BA1AD6"/>
    <w:rsid w:val="00BA2899"/>
    <w:rsid w:val="00BA2DC7"/>
    <w:rsid w:val="00BA4B92"/>
    <w:rsid w:val="00BA78F1"/>
    <w:rsid w:val="00BC02B1"/>
    <w:rsid w:val="00BC146A"/>
    <w:rsid w:val="00BC1F83"/>
    <w:rsid w:val="00BC3037"/>
    <w:rsid w:val="00BD4E56"/>
    <w:rsid w:val="00BE5B8F"/>
    <w:rsid w:val="00BE7401"/>
    <w:rsid w:val="00BE76A3"/>
    <w:rsid w:val="00BF09CC"/>
    <w:rsid w:val="00BF0A42"/>
    <w:rsid w:val="00BF1089"/>
    <w:rsid w:val="00BF276E"/>
    <w:rsid w:val="00BF48FC"/>
    <w:rsid w:val="00BF6C16"/>
    <w:rsid w:val="00BF6E78"/>
    <w:rsid w:val="00C01E45"/>
    <w:rsid w:val="00C025C6"/>
    <w:rsid w:val="00C06203"/>
    <w:rsid w:val="00C12192"/>
    <w:rsid w:val="00C12B89"/>
    <w:rsid w:val="00C278F0"/>
    <w:rsid w:val="00C30A85"/>
    <w:rsid w:val="00C32634"/>
    <w:rsid w:val="00C3440A"/>
    <w:rsid w:val="00C35430"/>
    <w:rsid w:val="00C36531"/>
    <w:rsid w:val="00C37177"/>
    <w:rsid w:val="00C37D96"/>
    <w:rsid w:val="00C4091F"/>
    <w:rsid w:val="00C44521"/>
    <w:rsid w:val="00C46FDE"/>
    <w:rsid w:val="00C47571"/>
    <w:rsid w:val="00C4759A"/>
    <w:rsid w:val="00C47BE0"/>
    <w:rsid w:val="00C51CBD"/>
    <w:rsid w:val="00C53AC8"/>
    <w:rsid w:val="00C578DF"/>
    <w:rsid w:val="00C57CAA"/>
    <w:rsid w:val="00C609C4"/>
    <w:rsid w:val="00C616F2"/>
    <w:rsid w:val="00C652C5"/>
    <w:rsid w:val="00C66728"/>
    <w:rsid w:val="00C72111"/>
    <w:rsid w:val="00C77E2B"/>
    <w:rsid w:val="00C81AB3"/>
    <w:rsid w:val="00C86ADC"/>
    <w:rsid w:val="00C879CA"/>
    <w:rsid w:val="00C9092A"/>
    <w:rsid w:val="00C91482"/>
    <w:rsid w:val="00C960F0"/>
    <w:rsid w:val="00C96D7D"/>
    <w:rsid w:val="00CA301E"/>
    <w:rsid w:val="00CA5368"/>
    <w:rsid w:val="00CA568A"/>
    <w:rsid w:val="00CB3783"/>
    <w:rsid w:val="00CB4799"/>
    <w:rsid w:val="00CB562C"/>
    <w:rsid w:val="00CC21B1"/>
    <w:rsid w:val="00CC2766"/>
    <w:rsid w:val="00CC367D"/>
    <w:rsid w:val="00CC37A6"/>
    <w:rsid w:val="00CD0473"/>
    <w:rsid w:val="00CD0971"/>
    <w:rsid w:val="00CD34DF"/>
    <w:rsid w:val="00CD7535"/>
    <w:rsid w:val="00CE1065"/>
    <w:rsid w:val="00CE296C"/>
    <w:rsid w:val="00CE674B"/>
    <w:rsid w:val="00CF34F3"/>
    <w:rsid w:val="00CF39D8"/>
    <w:rsid w:val="00CF3E42"/>
    <w:rsid w:val="00D0549C"/>
    <w:rsid w:val="00D10CDE"/>
    <w:rsid w:val="00D111E3"/>
    <w:rsid w:val="00D21BAD"/>
    <w:rsid w:val="00D23A39"/>
    <w:rsid w:val="00D2630A"/>
    <w:rsid w:val="00D33991"/>
    <w:rsid w:val="00D34651"/>
    <w:rsid w:val="00D35C69"/>
    <w:rsid w:val="00D4140B"/>
    <w:rsid w:val="00D41AEE"/>
    <w:rsid w:val="00D44554"/>
    <w:rsid w:val="00D46E09"/>
    <w:rsid w:val="00D4773A"/>
    <w:rsid w:val="00D54BFC"/>
    <w:rsid w:val="00D55887"/>
    <w:rsid w:val="00D70B05"/>
    <w:rsid w:val="00D7140E"/>
    <w:rsid w:val="00D72572"/>
    <w:rsid w:val="00D74402"/>
    <w:rsid w:val="00D7476F"/>
    <w:rsid w:val="00D76546"/>
    <w:rsid w:val="00D77942"/>
    <w:rsid w:val="00D8020C"/>
    <w:rsid w:val="00D819D5"/>
    <w:rsid w:val="00D83405"/>
    <w:rsid w:val="00D84000"/>
    <w:rsid w:val="00D8480E"/>
    <w:rsid w:val="00D870EC"/>
    <w:rsid w:val="00D93299"/>
    <w:rsid w:val="00D93962"/>
    <w:rsid w:val="00D96198"/>
    <w:rsid w:val="00DA0416"/>
    <w:rsid w:val="00DA2A3E"/>
    <w:rsid w:val="00DA2A75"/>
    <w:rsid w:val="00DA5893"/>
    <w:rsid w:val="00DB0817"/>
    <w:rsid w:val="00DB7B0B"/>
    <w:rsid w:val="00DC22C7"/>
    <w:rsid w:val="00DC577D"/>
    <w:rsid w:val="00DD0905"/>
    <w:rsid w:val="00DD0BCD"/>
    <w:rsid w:val="00DD3061"/>
    <w:rsid w:val="00DD7A80"/>
    <w:rsid w:val="00DD7EF5"/>
    <w:rsid w:val="00DE4E11"/>
    <w:rsid w:val="00DE6019"/>
    <w:rsid w:val="00DE67FB"/>
    <w:rsid w:val="00DE763B"/>
    <w:rsid w:val="00DE790D"/>
    <w:rsid w:val="00DF1973"/>
    <w:rsid w:val="00DF5022"/>
    <w:rsid w:val="00DF58C3"/>
    <w:rsid w:val="00E02D39"/>
    <w:rsid w:val="00E03819"/>
    <w:rsid w:val="00E0495C"/>
    <w:rsid w:val="00E05CA3"/>
    <w:rsid w:val="00E10295"/>
    <w:rsid w:val="00E10E7A"/>
    <w:rsid w:val="00E11FD0"/>
    <w:rsid w:val="00E158BF"/>
    <w:rsid w:val="00E24947"/>
    <w:rsid w:val="00E256E5"/>
    <w:rsid w:val="00E31BA4"/>
    <w:rsid w:val="00E336FD"/>
    <w:rsid w:val="00E43A17"/>
    <w:rsid w:val="00E47989"/>
    <w:rsid w:val="00E55003"/>
    <w:rsid w:val="00E55DC2"/>
    <w:rsid w:val="00E56A14"/>
    <w:rsid w:val="00E57D50"/>
    <w:rsid w:val="00E6041E"/>
    <w:rsid w:val="00E63088"/>
    <w:rsid w:val="00E67ADC"/>
    <w:rsid w:val="00E70329"/>
    <w:rsid w:val="00E7398A"/>
    <w:rsid w:val="00E750EB"/>
    <w:rsid w:val="00E767A4"/>
    <w:rsid w:val="00E8002E"/>
    <w:rsid w:val="00E81E9E"/>
    <w:rsid w:val="00E907E4"/>
    <w:rsid w:val="00E91A09"/>
    <w:rsid w:val="00E95271"/>
    <w:rsid w:val="00E95943"/>
    <w:rsid w:val="00E959E4"/>
    <w:rsid w:val="00E96CE5"/>
    <w:rsid w:val="00E97B1D"/>
    <w:rsid w:val="00EA0F4C"/>
    <w:rsid w:val="00EA1A0F"/>
    <w:rsid w:val="00EA3405"/>
    <w:rsid w:val="00EB5554"/>
    <w:rsid w:val="00EB6A13"/>
    <w:rsid w:val="00EB702F"/>
    <w:rsid w:val="00EB7AFF"/>
    <w:rsid w:val="00EB7E06"/>
    <w:rsid w:val="00EC1D9D"/>
    <w:rsid w:val="00EC2D40"/>
    <w:rsid w:val="00EC44FF"/>
    <w:rsid w:val="00EC464F"/>
    <w:rsid w:val="00EC55FB"/>
    <w:rsid w:val="00EC7060"/>
    <w:rsid w:val="00EC7904"/>
    <w:rsid w:val="00EC7BFE"/>
    <w:rsid w:val="00ED2E62"/>
    <w:rsid w:val="00ED571F"/>
    <w:rsid w:val="00ED7C54"/>
    <w:rsid w:val="00EE2A7D"/>
    <w:rsid w:val="00EE59D3"/>
    <w:rsid w:val="00EF1E07"/>
    <w:rsid w:val="00EF4014"/>
    <w:rsid w:val="00EF70FF"/>
    <w:rsid w:val="00EF73D8"/>
    <w:rsid w:val="00F0122A"/>
    <w:rsid w:val="00F03D28"/>
    <w:rsid w:val="00F07F8D"/>
    <w:rsid w:val="00F133BE"/>
    <w:rsid w:val="00F13D7A"/>
    <w:rsid w:val="00F166BD"/>
    <w:rsid w:val="00F1760F"/>
    <w:rsid w:val="00F17AB0"/>
    <w:rsid w:val="00F20CDE"/>
    <w:rsid w:val="00F25ACC"/>
    <w:rsid w:val="00F2764E"/>
    <w:rsid w:val="00F329AB"/>
    <w:rsid w:val="00F3467D"/>
    <w:rsid w:val="00F35904"/>
    <w:rsid w:val="00F41857"/>
    <w:rsid w:val="00F43158"/>
    <w:rsid w:val="00F459FC"/>
    <w:rsid w:val="00F47850"/>
    <w:rsid w:val="00F500EE"/>
    <w:rsid w:val="00F51D15"/>
    <w:rsid w:val="00F5410C"/>
    <w:rsid w:val="00F568C7"/>
    <w:rsid w:val="00F60BDF"/>
    <w:rsid w:val="00F60D2B"/>
    <w:rsid w:val="00F63A61"/>
    <w:rsid w:val="00F661AE"/>
    <w:rsid w:val="00F75C7C"/>
    <w:rsid w:val="00F75FA9"/>
    <w:rsid w:val="00F805F2"/>
    <w:rsid w:val="00F8181D"/>
    <w:rsid w:val="00F818C5"/>
    <w:rsid w:val="00F82754"/>
    <w:rsid w:val="00F878C8"/>
    <w:rsid w:val="00F9033C"/>
    <w:rsid w:val="00F90E7A"/>
    <w:rsid w:val="00F9279B"/>
    <w:rsid w:val="00F94450"/>
    <w:rsid w:val="00F9495D"/>
    <w:rsid w:val="00F95317"/>
    <w:rsid w:val="00F95559"/>
    <w:rsid w:val="00F97EF5"/>
    <w:rsid w:val="00FA25C3"/>
    <w:rsid w:val="00FA3912"/>
    <w:rsid w:val="00FA471C"/>
    <w:rsid w:val="00FA4976"/>
    <w:rsid w:val="00FA7E3F"/>
    <w:rsid w:val="00FB60E5"/>
    <w:rsid w:val="00FC1CCC"/>
    <w:rsid w:val="00FC25D5"/>
    <w:rsid w:val="00FC7181"/>
    <w:rsid w:val="00FD00BA"/>
    <w:rsid w:val="00FD2330"/>
    <w:rsid w:val="00FD29D0"/>
    <w:rsid w:val="00FD4078"/>
    <w:rsid w:val="00FD501D"/>
    <w:rsid w:val="00FD51FE"/>
    <w:rsid w:val="00FF1E15"/>
    <w:rsid w:val="00FF698D"/>
    <w:rsid w:val="00FF6FAD"/>
    <w:rsid w:val="00FF7263"/>
    <w:rsid w:val="052104B3"/>
    <w:rsid w:val="07684613"/>
    <w:rsid w:val="07BE5367"/>
    <w:rsid w:val="08D33797"/>
    <w:rsid w:val="095A4302"/>
    <w:rsid w:val="096A1B25"/>
    <w:rsid w:val="09A17074"/>
    <w:rsid w:val="0A79472F"/>
    <w:rsid w:val="13B871EE"/>
    <w:rsid w:val="13FA068E"/>
    <w:rsid w:val="18347F6E"/>
    <w:rsid w:val="19F05EDD"/>
    <w:rsid w:val="1BA15893"/>
    <w:rsid w:val="1C940230"/>
    <w:rsid w:val="22597F8B"/>
    <w:rsid w:val="25217B52"/>
    <w:rsid w:val="2665408D"/>
    <w:rsid w:val="26D142B5"/>
    <w:rsid w:val="27B735FE"/>
    <w:rsid w:val="280F62EE"/>
    <w:rsid w:val="292A7E7B"/>
    <w:rsid w:val="2D872B3B"/>
    <w:rsid w:val="2DD71EBF"/>
    <w:rsid w:val="2DD75260"/>
    <w:rsid w:val="2DF630E8"/>
    <w:rsid w:val="2E465032"/>
    <w:rsid w:val="34CC65D3"/>
    <w:rsid w:val="396E0818"/>
    <w:rsid w:val="3AEA0365"/>
    <w:rsid w:val="3B83110C"/>
    <w:rsid w:val="3BE10382"/>
    <w:rsid w:val="40B56DD6"/>
    <w:rsid w:val="40CC2411"/>
    <w:rsid w:val="43F62371"/>
    <w:rsid w:val="44F93EC7"/>
    <w:rsid w:val="49FE3D2D"/>
    <w:rsid w:val="4E6A373F"/>
    <w:rsid w:val="515626A1"/>
    <w:rsid w:val="55C91526"/>
    <w:rsid w:val="57865CD4"/>
    <w:rsid w:val="592869DF"/>
    <w:rsid w:val="59466384"/>
    <w:rsid w:val="59BB12F3"/>
    <w:rsid w:val="5A91325A"/>
    <w:rsid w:val="5ABE7B70"/>
    <w:rsid w:val="5D26561D"/>
    <w:rsid w:val="620F7175"/>
    <w:rsid w:val="62C456BC"/>
    <w:rsid w:val="63DB5316"/>
    <w:rsid w:val="64EA6719"/>
    <w:rsid w:val="66754F1F"/>
    <w:rsid w:val="67C323F1"/>
    <w:rsid w:val="6894168D"/>
    <w:rsid w:val="6A440E91"/>
    <w:rsid w:val="71717AD2"/>
    <w:rsid w:val="718137FE"/>
    <w:rsid w:val="72FA0C86"/>
    <w:rsid w:val="744F365B"/>
    <w:rsid w:val="74CA07E9"/>
    <w:rsid w:val="75527D56"/>
    <w:rsid w:val="778B42C3"/>
    <w:rsid w:val="788334CC"/>
    <w:rsid w:val="78F14218"/>
    <w:rsid w:val="7AF57D71"/>
    <w:rsid w:val="7DE565AC"/>
    <w:rsid w:val="7E0806FB"/>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qFormat="1" w:unhideWhenUsed="0" w:uiPriority="99" w:semiHidden="0"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qFormat="1" w:uiPriority="99"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qFormat="1"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link w:val="48"/>
    <w:qFormat/>
    <w:uiPriority w:val="9"/>
    <w:pPr>
      <w:keepNext/>
      <w:keepLines/>
      <w:spacing w:before="340" w:after="330" w:line="578" w:lineRule="auto"/>
      <w:outlineLvl w:val="0"/>
    </w:pPr>
    <w:rPr>
      <w:b/>
      <w:bCs/>
      <w:kern w:val="44"/>
      <w:sz w:val="44"/>
      <w:szCs w:val="44"/>
    </w:rPr>
  </w:style>
  <w:style w:type="paragraph" w:styleId="4">
    <w:name w:val="heading 2"/>
    <w:basedOn w:val="1"/>
    <w:next w:val="1"/>
    <w:semiHidden/>
    <w:unhideWhenUsed/>
    <w:qFormat/>
    <w:uiPriority w:val="9"/>
    <w:pPr>
      <w:spacing w:beforeAutospacing="1" w:afterAutospacing="1"/>
      <w:jc w:val="left"/>
      <w:outlineLvl w:val="1"/>
    </w:pPr>
    <w:rPr>
      <w:rFonts w:hint="eastAsia" w:ascii="宋体" w:hAnsi="宋体"/>
      <w:b/>
      <w:bCs/>
      <w:kern w:val="0"/>
      <w:sz w:val="36"/>
      <w:szCs w:val="36"/>
    </w:rPr>
  </w:style>
  <w:style w:type="paragraph" w:styleId="5">
    <w:name w:val="heading 3"/>
    <w:basedOn w:val="1"/>
    <w:next w:val="1"/>
    <w:link w:val="52"/>
    <w:semiHidden/>
    <w:unhideWhenUsed/>
    <w:qFormat/>
    <w:uiPriority w:val="9"/>
    <w:pPr>
      <w:keepNext/>
      <w:keepLines/>
      <w:spacing w:before="260" w:after="260" w:line="416" w:lineRule="auto"/>
      <w:outlineLvl w:val="2"/>
    </w:pPr>
    <w:rPr>
      <w:b/>
      <w:bCs/>
      <w:sz w:val="32"/>
      <w:szCs w:val="32"/>
    </w:rPr>
  </w:style>
  <w:style w:type="character" w:default="1" w:styleId="20">
    <w:name w:val="Default Paragraph Font"/>
    <w:semiHidden/>
    <w:unhideWhenUsed/>
    <w:qFormat/>
    <w:uiPriority w:val="1"/>
  </w:style>
  <w:style w:type="table" w:default="1" w:styleId="18">
    <w:name w:val="Normal Table"/>
    <w:semiHidden/>
    <w:unhideWhenUsed/>
    <w:uiPriority w:val="99"/>
    <w:tblPr>
      <w:tblCellMar>
        <w:top w:w="0" w:type="dxa"/>
        <w:left w:w="108" w:type="dxa"/>
        <w:bottom w:w="0" w:type="dxa"/>
        <w:right w:w="108" w:type="dxa"/>
      </w:tblCellMar>
    </w:tblPr>
  </w:style>
  <w:style w:type="paragraph" w:styleId="2">
    <w:name w:val="No Spacing"/>
    <w:qFormat/>
    <w:uiPriority w:val="0"/>
    <w:pPr>
      <w:adjustRightInd w:val="0"/>
      <w:snapToGrid w:val="0"/>
    </w:pPr>
    <w:rPr>
      <w:rFonts w:ascii="Tahoma" w:hAnsi="Tahoma" w:eastAsia="微软雅黑" w:cs="Times New Roman"/>
      <w:sz w:val="22"/>
      <w:szCs w:val="22"/>
      <w:lang w:val="en-US" w:eastAsia="zh-CN" w:bidi="ar-SA"/>
    </w:rPr>
  </w:style>
  <w:style w:type="paragraph" w:styleId="6">
    <w:name w:val="annotation text"/>
    <w:basedOn w:val="1"/>
    <w:link w:val="29"/>
    <w:qFormat/>
    <w:uiPriority w:val="99"/>
    <w:pPr>
      <w:jc w:val="left"/>
    </w:pPr>
    <w:rPr>
      <w:rFonts w:asciiTheme="minorHAnsi" w:hAnsiTheme="minorHAnsi" w:eastAsiaTheme="minorEastAsia" w:cstheme="minorBidi"/>
      <w:szCs w:val="22"/>
    </w:rPr>
  </w:style>
  <w:style w:type="paragraph" w:styleId="7">
    <w:name w:val="Body Text"/>
    <w:basedOn w:val="1"/>
    <w:link w:val="32"/>
    <w:semiHidden/>
    <w:unhideWhenUsed/>
    <w:qFormat/>
    <w:uiPriority w:val="99"/>
    <w:pPr>
      <w:spacing w:after="120"/>
    </w:pPr>
  </w:style>
  <w:style w:type="paragraph" w:styleId="8">
    <w:name w:val="Plain Text"/>
    <w:basedOn w:val="1"/>
    <w:link w:val="43"/>
    <w:unhideWhenUsed/>
    <w:qFormat/>
    <w:uiPriority w:val="99"/>
    <w:rPr>
      <w:rFonts w:ascii="宋体" w:hAnsi="Courier New"/>
      <w:kern w:val="0"/>
      <w:sz w:val="20"/>
      <w:szCs w:val="21"/>
    </w:rPr>
  </w:style>
  <w:style w:type="paragraph" w:styleId="9">
    <w:name w:val="Date"/>
    <w:basedOn w:val="1"/>
    <w:next w:val="1"/>
    <w:link w:val="42"/>
    <w:semiHidden/>
    <w:unhideWhenUsed/>
    <w:qFormat/>
    <w:uiPriority w:val="99"/>
    <w:pPr>
      <w:ind w:left="100" w:leftChars="2500"/>
    </w:pPr>
  </w:style>
  <w:style w:type="paragraph" w:styleId="10">
    <w:name w:val="Body Text Indent 2"/>
    <w:basedOn w:val="1"/>
    <w:link w:val="45"/>
    <w:semiHidden/>
    <w:unhideWhenUsed/>
    <w:qFormat/>
    <w:uiPriority w:val="99"/>
    <w:pPr>
      <w:spacing w:after="120" w:line="480" w:lineRule="auto"/>
      <w:ind w:left="420" w:leftChars="200"/>
    </w:pPr>
  </w:style>
  <w:style w:type="paragraph" w:styleId="11">
    <w:name w:val="Balloon Text"/>
    <w:basedOn w:val="1"/>
    <w:link w:val="35"/>
    <w:semiHidden/>
    <w:unhideWhenUsed/>
    <w:qFormat/>
    <w:uiPriority w:val="99"/>
    <w:rPr>
      <w:sz w:val="18"/>
      <w:szCs w:val="18"/>
    </w:rPr>
  </w:style>
  <w:style w:type="paragraph" w:styleId="12">
    <w:name w:val="footer"/>
    <w:basedOn w:val="1"/>
    <w:link w:val="27"/>
    <w:unhideWhenUsed/>
    <w:qFormat/>
    <w:uiPriority w:val="99"/>
    <w:pPr>
      <w:tabs>
        <w:tab w:val="center" w:pos="4153"/>
        <w:tab w:val="right" w:pos="8306"/>
      </w:tabs>
      <w:snapToGrid w:val="0"/>
      <w:jc w:val="left"/>
    </w:pPr>
    <w:rPr>
      <w:sz w:val="18"/>
      <w:szCs w:val="18"/>
    </w:rPr>
  </w:style>
  <w:style w:type="paragraph" w:styleId="13">
    <w:name w:val="header"/>
    <w:basedOn w:val="1"/>
    <w:link w:val="26"/>
    <w:unhideWhenUsed/>
    <w:qFormat/>
    <w:uiPriority w:val="0"/>
    <w:pPr>
      <w:pBdr>
        <w:bottom w:val="single" w:color="auto" w:sz="6" w:space="1"/>
      </w:pBdr>
      <w:tabs>
        <w:tab w:val="center" w:pos="4153"/>
        <w:tab w:val="right" w:pos="8306"/>
      </w:tabs>
      <w:snapToGrid w:val="0"/>
      <w:jc w:val="center"/>
    </w:pPr>
    <w:rPr>
      <w:sz w:val="18"/>
      <w:szCs w:val="18"/>
    </w:rPr>
  </w:style>
  <w:style w:type="paragraph" w:styleId="14">
    <w:name w:val="footnote text"/>
    <w:basedOn w:val="1"/>
    <w:link w:val="53"/>
    <w:semiHidden/>
    <w:unhideWhenUsed/>
    <w:qFormat/>
    <w:uiPriority w:val="99"/>
    <w:pPr>
      <w:snapToGrid w:val="0"/>
      <w:jc w:val="left"/>
    </w:pPr>
    <w:rPr>
      <w:sz w:val="18"/>
      <w:szCs w:val="18"/>
    </w:rPr>
  </w:style>
  <w:style w:type="paragraph" w:styleId="15">
    <w:name w:val="Normal (Web)"/>
    <w:basedOn w:val="1"/>
    <w:semiHidden/>
    <w:unhideWhenUsed/>
    <w:qFormat/>
    <w:uiPriority w:val="99"/>
    <w:pPr>
      <w:widowControl/>
      <w:spacing w:before="100" w:beforeAutospacing="1" w:after="100" w:afterAutospacing="1"/>
      <w:jc w:val="left"/>
    </w:pPr>
    <w:rPr>
      <w:rFonts w:ascii="宋体" w:hAnsi="宋体" w:cs="宋体"/>
      <w:kern w:val="0"/>
      <w:sz w:val="24"/>
      <w:szCs w:val="24"/>
    </w:rPr>
  </w:style>
  <w:style w:type="paragraph" w:styleId="16">
    <w:name w:val="annotation subject"/>
    <w:basedOn w:val="6"/>
    <w:next w:val="6"/>
    <w:link w:val="46"/>
    <w:semiHidden/>
    <w:unhideWhenUsed/>
    <w:qFormat/>
    <w:uiPriority w:val="99"/>
    <w:rPr>
      <w:rFonts w:ascii="Times New Roman" w:hAnsi="Times New Roman" w:eastAsia="宋体" w:cs="Times New Roman"/>
      <w:b/>
      <w:bCs/>
      <w:szCs w:val="20"/>
    </w:rPr>
  </w:style>
  <w:style w:type="paragraph" w:styleId="17">
    <w:name w:val="Body Text First Indent"/>
    <w:basedOn w:val="7"/>
    <w:link w:val="28"/>
    <w:qFormat/>
    <w:uiPriority w:val="0"/>
    <w:pPr>
      <w:ind w:firstLine="420" w:firstLineChars="100"/>
    </w:pPr>
    <w:rPr>
      <w:rFonts w:asciiTheme="minorHAnsi" w:hAnsiTheme="minorHAnsi" w:eastAsiaTheme="minorEastAsia" w:cstheme="minorBidi"/>
      <w:szCs w:val="22"/>
    </w:rPr>
  </w:style>
  <w:style w:type="table" w:styleId="19">
    <w:name w:val="Table Grid"/>
    <w:basedOn w:val="18"/>
    <w:qFormat/>
    <w:uiPriority w:val="3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21">
    <w:name w:val="Strong"/>
    <w:basedOn w:val="20"/>
    <w:qFormat/>
    <w:uiPriority w:val="22"/>
    <w:rPr>
      <w:b/>
      <w:bCs/>
    </w:rPr>
  </w:style>
  <w:style w:type="character" w:styleId="22">
    <w:name w:val="Emphasis"/>
    <w:basedOn w:val="20"/>
    <w:qFormat/>
    <w:uiPriority w:val="20"/>
    <w:rPr>
      <w:i/>
      <w:iCs/>
    </w:rPr>
  </w:style>
  <w:style w:type="character" w:styleId="23">
    <w:name w:val="line number"/>
    <w:basedOn w:val="20"/>
    <w:semiHidden/>
    <w:unhideWhenUsed/>
    <w:qFormat/>
    <w:uiPriority w:val="99"/>
  </w:style>
  <w:style w:type="character" w:styleId="24">
    <w:name w:val="annotation reference"/>
    <w:basedOn w:val="20"/>
    <w:semiHidden/>
    <w:unhideWhenUsed/>
    <w:qFormat/>
    <w:uiPriority w:val="99"/>
    <w:rPr>
      <w:sz w:val="21"/>
      <w:szCs w:val="21"/>
    </w:rPr>
  </w:style>
  <w:style w:type="character" w:styleId="25">
    <w:name w:val="footnote reference"/>
    <w:basedOn w:val="20"/>
    <w:semiHidden/>
    <w:unhideWhenUsed/>
    <w:qFormat/>
    <w:uiPriority w:val="99"/>
    <w:rPr>
      <w:vertAlign w:val="superscript"/>
    </w:rPr>
  </w:style>
  <w:style w:type="character" w:customStyle="1" w:styleId="26">
    <w:name w:val="页眉 字符"/>
    <w:basedOn w:val="20"/>
    <w:link w:val="13"/>
    <w:qFormat/>
    <w:uiPriority w:val="0"/>
    <w:rPr>
      <w:sz w:val="18"/>
      <w:szCs w:val="18"/>
    </w:rPr>
  </w:style>
  <w:style w:type="character" w:customStyle="1" w:styleId="27">
    <w:name w:val="页脚 字符"/>
    <w:basedOn w:val="20"/>
    <w:link w:val="12"/>
    <w:qFormat/>
    <w:uiPriority w:val="99"/>
    <w:rPr>
      <w:sz w:val="18"/>
      <w:szCs w:val="18"/>
    </w:rPr>
  </w:style>
  <w:style w:type="character" w:customStyle="1" w:styleId="28">
    <w:name w:val="正文文本首行缩进 字符"/>
    <w:link w:val="17"/>
    <w:qFormat/>
    <w:uiPriority w:val="0"/>
  </w:style>
  <w:style w:type="character" w:customStyle="1" w:styleId="29">
    <w:name w:val="批注文字 字符"/>
    <w:link w:val="6"/>
    <w:qFormat/>
    <w:uiPriority w:val="99"/>
  </w:style>
  <w:style w:type="character" w:customStyle="1" w:styleId="30">
    <w:name w:val="批注文字 Char1"/>
    <w:basedOn w:val="20"/>
    <w:semiHidden/>
    <w:qFormat/>
    <w:uiPriority w:val="99"/>
    <w:rPr>
      <w:rFonts w:ascii="Times New Roman" w:hAnsi="Times New Roman" w:eastAsia="宋体" w:cs="Times New Roman"/>
      <w:szCs w:val="20"/>
    </w:rPr>
  </w:style>
  <w:style w:type="paragraph" w:customStyle="1" w:styleId="31">
    <w:name w:val="王奕改内文"/>
    <w:basedOn w:val="1"/>
    <w:link w:val="38"/>
    <w:qFormat/>
    <w:uiPriority w:val="0"/>
    <w:pPr>
      <w:widowControl/>
      <w:spacing w:line="360" w:lineRule="auto"/>
      <w:ind w:firstLine="200" w:firstLineChars="200"/>
    </w:pPr>
    <w:rPr>
      <w:rFonts w:ascii="宋体" w:hAnsi="宋体"/>
      <w:color w:val="000000"/>
      <w:spacing w:val="-4"/>
      <w:sz w:val="24"/>
    </w:rPr>
  </w:style>
  <w:style w:type="character" w:customStyle="1" w:styleId="32">
    <w:name w:val="正文文本 字符"/>
    <w:basedOn w:val="20"/>
    <w:link w:val="7"/>
    <w:semiHidden/>
    <w:qFormat/>
    <w:uiPriority w:val="99"/>
    <w:rPr>
      <w:rFonts w:ascii="Times New Roman" w:hAnsi="Times New Roman" w:eastAsia="宋体" w:cs="Times New Roman"/>
      <w:szCs w:val="20"/>
    </w:rPr>
  </w:style>
  <w:style w:type="character" w:customStyle="1" w:styleId="33">
    <w:name w:val="正文首行缩进 Char1"/>
    <w:basedOn w:val="32"/>
    <w:semiHidden/>
    <w:qFormat/>
    <w:uiPriority w:val="99"/>
    <w:rPr>
      <w:rFonts w:ascii="Times New Roman" w:hAnsi="Times New Roman" w:eastAsia="宋体" w:cs="Times New Roman"/>
      <w:szCs w:val="20"/>
    </w:rPr>
  </w:style>
  <w:style w:type="paragraph" w:styleId="34">
    <w:name w:val="List Paragraph"/>
    <w:basedOn w:val="1"/>
    <w:link w:val="47"/>
    <w:qFormat/>
    <w:uiPriority w:val="34"/>
    <w:pPr>
      <w:ind w:firstLine="420" w:firstLineChars="200"/>
    </w:pPr>
  </w:style>
  <w:style w:type="character" w:customStyle="1" w:styleId="35">
    <w:name w:val="批注框文本 字符"/>
    <w:basedOn w:val="20"/>
    <w:link w:val="11"/>
    <w:semiHidden/>
    <w:qFormat/>
    <w:uiPriority w:val="99"/>
    <w:rPr>
      <w:rFonts w:ascii="Times New Roman" w:hAnsi="Times New Roman" w:eastAsia="宋体" w:cs="Times New Roman"/>
      <w:sz w:val="18"/>
      <w:szCs w:val="18"/>
    </w:rPr>
  </w:style>
  <w:style w:type="character" w:customStyle="1" w:styleId="36">
    <w:name w:val="apple-converted-space"/>
    <w:basedOn w:val="20"/>
    <w:qFormat/>
    <w:uiPriority w:val="0"/>
  </w:style>
  <w:style w:type="paragraph" w:customStyle="1" w:styleId="37">
    <w:name w:val="Default"/>
    <w:qFormat/>
    <w:uiPriority w:val="0"/>
    <w:pPr>
      <w:widowControl w:val="0"/>
      <w:autoSpaceDE w:val="0"/>
      <w:autoSpaceDN w:val="0"/>
      <w:adjustRightInd w:val="0"/>
    </w:pPr>
    <w:rPr>
      <w:rFonts w:ascii="Arial" w:hAnsi="Arial" w:eastAsia="宋体" w:cs="Arial"/>
      <w:color w:val="000000"/>
      <w:sz w:val="24"/>
      <w:szCs w:val="24"/>
      <w:lang w:val="en-US" w:eastAsia="zh-CN" w:bidi="ar-SA"/>
    </w:rPr>
  </w:style>
  <w:style w:type="character" w:customStyle="1" w:styleId="38">
    <w:name w:val="王奕改内文 Char"/>
    <w:link w:val="31"/>
    <w:qFormat/>
    <w:uiPriority w:val="0"/>
    <w:rPr>
      <w:rFonts w:ascii="宋体" w:hAnsi="宋体" w:eastAsia="宋体" w:cs="Times New Roman"/>
      <w:color w:val="000000"/>
      <w:spacing w:val="-4"/>
      <w:sz w:val="24"/>
      <w:szCs w:val="20"/>
    </w:rPr>
  </w:style>
  <w:style w:type="paragraph" w:customStyle="1" w:styleId="39">
    <w:name w:val="样式1"/>
    <w:basedOn w:val="13"/>
    <w:link w:val="40"/>
    <w:qFormat/>
    <w:uiPriority w:val="0"/>
    <w:pPr>
      <w:framePr w:wrap="notBeside" w:vAnchor="text" w:hAnchor="text" w:y="1"/>
      <w:pBdr>
        <w:bottom w:val="none" w:color="auto" w:sz="0" w:space="0"/>
      </w:pBdr>
      <w:jc w:val="both"/>
    </w:pPr>
    <w:rPr>
      <w:rFonts w:ascii="Calibri" w:hAnsi="Calibri"/>
    </w:rPr>
  </w:style>
  <w:style w:type="character" w:customStyle="1" w:styleId="40">
    <w:name w:val="样式1 Char"/>
    <w:basedOn w:val="26"/>
    <w:link w:val="39"/>
    <w:qFormat/>
    <w:uiPriority w:val="0"/>
    <w:rPr>
      <w:rFonts w:ascii="Calibri" w:hAnsi="Calibri" w:eastAsia="宋体" w:cs="Times New Roman"/>
      <w:sz w:val="18"/>
      <w:szCs w:val="18"/>
    </w:rPr>
  </w:style>
  <w:style w:type="character" w:customStyle="1" w:styleId="41">
    <w:name w:val="f101"/>
    <w:qFormat/>
    <w:uiPriority w:val="0"/>
    <w:rPr>
      <w:sz w:val="24"/>
      <w:szCs w:val="24"/>
    </w:rPr>
  </w:style>
  <w:style w:type="character" w:customStyle="1" w:styleId="42">
    <w:name w:val="日期 字符"/>
    <w:basedOn w:val="20"/>
    <w:link w:val="9"/>
    <w:semiHidden/>
    <w:qFormat/>
    <w:uiPriority w:val="99"/>
    <w:rPr>
      <w:rFonts w:ascii="Times New Roman" w:hAnsi="Times New Roman" w:eastAsia="宋体" w:cs="Times New Roman"/>
      <w:szCs w:val="20"/>
    </w:rPr>
  </w:style>
  <w:style w:type="character" w:customStyle="1" w:styleId="43">
    <w:name w:val="纯文本 字符"/>
    <w:basedOn w:val="20"/>
    <w:link w:val="8"/>
    <w:qFormat/>
    <w:uiPriority w:val="99"/>
    <w:rPr>
      <w:rFonts w:ascii="宋体" w:hAnsi="Courier New" w:eastAsia="宋体" w:cs="Times New Roman"/>
      <w:kern w:val="0"/>
      <w:sz w:val="20"/>
      <w:szCs w:val="21"/>
    </w:rPr>
  </w:style>
  <w:style w:type="paragraph" w:customStyle="1" w:styleId="44">
    <w:name w:val="标准的最小标题"/>
    <w:basedOn w:val="10"/>
    <w:qFormat/>
    <w:uiPriority w:val="0"/>
    <w:pPr>
      <w:spacing w:after="0" w:line="320" w:lineRule="exact"/>
      <w:ind w:left="0" w:leftChars="0" w:firstLine="200" w:firstLineChars="200"/>
      <w:jc w:val="left"/>
    </w:pPr>
    <w:rPr>
      <w:rFonts w:ascii="宋体" w:hAnsi="宋体"/>
      <w:sz w:val="24"/>
      <w:szCs w:val="24"/>
    </w:rPr>
  </w:style>
  <w:style w:type="character" w:customStyle="1" w:styleId="45">
    <w:name w:val="正文文本缩进 2 字符"/>
    <w:basedOn w:val="20"/>
    <w:link w:val="10"/>
    <w:semiHidden/>
    <w:qFormat/>
    <w:uiPriority w:val="99"/>
    <w:rPr>
      <w:rFonts w:ascii="Times New Roman" w:hAnsi="Times New Roman" w:eastAsia="宋体" w:cs="Times New Roman"/>
      <w:szCs w:val="20"/>
    </w:rPr>
  </w:style>
  <w:style w:type="character" w:customStyle="1" w:styleId="46">
    <w:name w:val="批注主题 字符"/>
    <w:basedOn w:val="29"/>
    <w:link w:val="16"/>
    <w:semiHidden/>
    <w:qFormat/>
    <w:uiPriority w:val="99"/>
    <w:rPr>
      <w:rFonts w:ascii="Times New Roman" w:hAnsi="Times New Roman" w:eastAsia="宋体" w:cs="Times New Roman"/>
      <w:b/>
      <w:bCs/>
      <w:szCs w:val="20"/>
    </w:rPr>
  </w:style>
  <w:style w:type="character" w:customStyle="1" w:styleId="47">
    <w:name w:val="列表段落 字符"/>
    <w:link w:val="34"/>
    <w:qFormat/>
    <w:locked/>
    <w:uiPriority w:val="34"/>
    <w:rPr>
      <w:rFonts w:ascii="Times New Roman" w:hAnsi="Times New Roman" w:eastAsia="宋体" w:cs="Times New Roman"/>
      <w:kern w:val="2"/>
      <w:sz w:val="21"/>
    </w:rPr>
  </w:style>
  <w:style w:type="character" w:customStyle="1" w:styleId="48">
    <w:name w:val="标题 1 字符"/>
    <w:basedOn w:val="20"/>
    <w:link w:val="3"/>
    <w:qFormat/>
    <w:uiPriority w:val="9"/>
    <w:rPr>
      <w:rFonts w:ascii="Times New Roman" w:hAnsi="Times New Roman" w:eastAsia="宋体" w:cs="Times New Roman"/>
      <w:b/>
      <w:bCs/>
      <w:kern w:val="44"/>
      <w:sz w:val="44"/>
      <w:szCs w:val="44"/>
    </w:rPr>
  </w:style>
  <w:style w:type="paragraph" w:customStyle="1" w:styleId="49">
    <w:name w:val="调查项目"/>
    <w:basedOn w:val="1"/>
    <w:qFormat/>
    <w:uiPriority w:val="0"/>
    <w:pPr>
      <w:outlineLvl w:val="1"/>
    </w:pPr>
    <w:rPr>
      <w:rFonts w:ascii="Tahoma" w:hAnsi="Tahoma" w:eastAsia="黑体"/>
      <w:bCs/>
      <w:color w:val="333399"/>
      <w:sz w:val="18"/>
      <w:szCs w:val="18"/>
    </w:rPr>
  </w:style>
  <w:style w:type="paragraph" w:customStyle="1" w:styleId="50">
    <w:name w:val="修订1"/>
    <w:hidden/>
    <w:unhideWhenUsed/>
    <w:qFormat/>
    <w:uiPriority w:val="99"/>
    <w:rPr>
      <w:rFonts w:ascii="Times New Roman" w:hAnsi="Times New Roman" w:eastAsia="宋体" w:cs="Times New Roman"/>
      <w:kern w:val="2"/>
      <w:sz w:val="21"/>
      <w:lang w:val="en-US" w:eastAsia="zh-CN" w:bidi="ar-SA"/>
    </w:rPr>
  </w:style>
  <w:style w:type="paragraph" w:customStyle="1" w:styleId="51">
    <w:name w:val="修订2"/>
    <w:hidden/>
    <w:unhideWhenUsed/>
    <w:qFormat/>
    <w:uiPriority w:val="99"/>
    <w:rPr>
      <w:rFonts w:ascii="Times New Roman" w:hAnsi="Times New Roman" w:eastAsia="宋体" w:cs="Times New Roman"/>
      <w:kern w:val="2"/>
      <w:sz w:val="21"/>
      <w:lang w:val="en-US" w:eastAsia="zh-CN" w:bidi="ar-SA"/>
    </w:rPr>
  </w:style>
  <w:style w:type="character" w:customStyle="1" w:styleId="52">
    <w:name w:val="标题 3 字符"/>
    <w:basedOn w:val="20"/>
    <w:link w:val="5"/>
    <w:semiHidden/>
    <w:qFormat/>
    <w:uiPriority w:val="9"/>
    <w:rPr>
      <w:b/>
      <w:bCs/>
      <w:kern w:val="2"/>
      <w:sz w:val="32"/>
      <w:szCs w:val="32"/>
    </w:rPr>
  </w:style>
  <w:style w:type="character" w:customStyle="1" w:styleId="53">
    <w:name w:val="脚注文本 字符"/>
    <w:basedOn w:val="20"/>
    <w:link w:val="14"/>
    <w:semiHidden/>
    <w:qFormat/>
    <w:uiPriority w:val="99"/>
    <w:rPr>
      <w:kern w:val="2"/>
      <w:sz w:val="18"/>
      <w:szCs w:val="18"/>
    </w:rPr>
  </w:style>
  <w:style w:type="paragraph" w:customStyle="1" w:styleId="54">
    <w:name w:val="修订3"/>
    <w:hidden/>
    <w:unhideWhenUsed/>
    <w:qFormat/>
    <w:uiPriority w:val="99"/>
    <w:rPr>
      <w:rFonts w:ascii="Times New Roman" w:hAnsi="Times New Roman" w:eastAsia="宋体" w:cs="Times New Roman"/>
      <w:kern w:val="2"/>
      <w:sz w:val="21"/>
      <w:lang w:val="en-US" w:eastAsia="zh-CN" w:bidi="ar-SA"/>
    </w:rPr>
  </w:style>
  <w:style w:type="paragraph" w:customStyle="1" w:styleId="55">
    <w:name w:val="列出段落1"/>
    <w:basedOn w:val="1"/>
    <w:qFormat/>
    <w:uiPriority w:val="34"/>
    <w:pPr>
      <w:ind w:firstLine="420" w:firstLineChars="200"/>
    </w:pPr>
    <w:rPr>
      <w:rFonts w:eastAsia="仿宋_GB231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2.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030177E-C6EC-4690-85A5-BA556F246ADF}">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20</Pages>
  <Words>1568</Words>
  <Characters>1598</Characters>
  <Lines>224</Lines>
  <Paragraphs>174</Paragraphs>
  <TotalTime>11</TotalTime>
  <ScaleCrop>false</ScaleCrop>
  <LinksUpToDate>false</LinksUpToDate>
  <CharactersWithSpaces>1604</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2026-05-28T02:03:00Z</dcterms:created>
  <dc:creator>user</dc:creator>
  <cp:lastModifiedBy>WPS_1477206229</cp:lastModifiedBy>
  <cp:lastPrinted>2026-07-20T05:49:00Z</cp:lastPrinted>
  <dcterms:modified xsi:type="dcterms:W3CDTF">2026-07-24T05:54:23Z</dcterms:modified>
  <cp:revision>15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ABE41B0255F34A36A575E2A86202DE2B_13</vt:lpwstr>
  </property>
  <property fmtid="{D5CDD505-2E9C-101B-9397-08002B2CF9AE}" pid="4" name="KSOTemplateDocerSaveRecord">
    <vt:lpwstr>eyJoZGlkIjoiYzk0ZDZhMGM3YjNhZGFlYTJkNDkxMzAzOWMzNGQ4YWIiLCJ1c2VySWQiOiIyNDcxMDc4NDMifQ==</vt:lpwstr>
  </property>
</Properties>
</file>