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Times New Roman" w:hAnsi="Times New Roman" w:eastAsia="方正小标宋简体" w:cs="Times New Roman"/>
          <w:bCs/>
          <w:color w:val="auto"/>
          <w:kern w:val="0"/>
          <w:sz w:val="44"/>
          <w:szCs w:val="44"/>
          <w:highlight w:val="none"/>
        </w:rPr>
      </w:pPr>
      <w:bookmarkStart w:id="1" w:name="_GoBack"/>
      <w:bookmarkEnd w:id="1"/>
      <w:r>
        <w:rPr>
          <w:rFonts w:hint="eastAsia" w:ascii="Times New Roman" w:hAnsi="Times New Roman" w:eastAsia="方正小标宋简体" w:cs="Times New Roman"/>
          <w:bCs/>
          <w:color w:val="auto"/>
          <w:kern w:val="0"/>
          <w:sz w:val="44"/>
          <w:szCs w:val="44"/>
          <w:highlight w:val="none"/>
        </w:rPr>
        <w:t>直流电药物导入设备注册审查指导原则</w:t>
      </w:r>
    </w:p>
    <w:p>
      <w:pPr>
        <w:spacing w:line="520" w:lineRule="exact"/>
        <w:jc w:val="center"/>
        <w:rPr>
          <w:rFonts w:hint="eastAsia"/>
          <w:color w:val="auto"/>
          <w:highlight w:val="none"/>
        </w:rPr>
      </w:pPr>
      <w:r>
        <w:rPr>
          <w:rFonts w:hint="eastAsia" w:ascii="Times New Roman" w:hAnsi="Times New Roman" w:eastAsia="方正小标宋简体" w:cs="Times New Roman"/>
          <w:bCs/>
          <w:color w:val="auto"/>
          <w:kern w:val="0"/>
          <w:sz w:val="44"/>
          <w:szCs w:val="44"/>
          <w:highlight w:val="none"/>
        </w:rPr>
        <w:t>（征求意见稿）</w:t>
      </w:r>
    </w:p>
    <w:p>
      <w:pPr>
        <w:spacing w:line="520" w:lineRule="exact"/>
        <w:ind w:firstLine="640" w:firstLineChars="200"/>
        <w:rPr>
          <w:rFonts w:ascii="Times New Roman" w:hAnsi="Times New Roman" w:eastAsia="仿宋_GB2312" w:cs="Times New Roman"/>
          <w:color w:val="auto"/>
          <w:sz w:val="32"/>
          <w:szCs w:val="20"/>
          <w:highlight w:val="none"/>
        </w:rPr>
      </w:pPr>
    </w:p>
    <w:p>
      <w:pPr>
        <w:spacing w:line="520" w:lineRule="exact"/>
        <w:ind w:firstLine="640" w:firstLineChars="200"/>
        <w:rPr>
          <w:rFonts w:ascii="Times New Roman" w:hAnsi="Times New Roman" w:eastAsia="仿宋_GB2312" w:cs="Times New Roman"/>
          <w:color w:val="auto"/>
          <w:sz w:val="32"/>
          <w:szCs w:val="20"/>
          <w:highlight w:val="none"/>
        </w:rPr>
      </w:pPr>
      <w:r>
        <w:rPr>
          <w:rFonts w:ascii="Times New Roman" w:hAnsi="Times New Roman" w:eastAsia="仿宋_GB2312" w:cs="Times New Roman"/>
          <w:color w:val="auto"/>
          <w:sz w:val="32"/>
          <w:szCs w:val="20"/>
          <w:highlight w:val="none"/>
        </w:rPr>
        <w:t>本指导原则旨在指导注册申请人对直流电药物导入设备注册申报资料的准备及撰写，同时也为技术审评部门审查注册申报资料提供参考。</w:t>
      </w:r>
    </w:p>
    <w:p>
      <w:pPr>
        <w:spacing w:line="520" w:lineRule="exact"/>
        <w:ind w:firstLine="640" w:firstLineChars="200"/>
        <w:rPr>
          <w:rFonts w:hint="eastAsia" w:ascii="Times New Roman" w:hAnsi="Times New Roman" w:eastAsia="仿宋_GB2312" w:cs="Times New Roman"/>
          <w:color w:val="auto"/>
          <w:sz w:val="32"/>
          <w:szCs w:val="20"/>
          <w:highlight w:val="none"/>
        </w:rPr>
      </w:pPr>
      <w:r>
        <w:rPr>
          <w:rFonts w:hint="eastAsia" w:ascii="Times New Roman" w:hAnsi="Times New Roman" w:eastAsia="仿宋_GB2312" w:cs="Times New Roman"/>
          <w:color w:val="auto"/>
          <w:sz w:val="32"/>
          <w:szCs w:val="20"/>
          <w:highlight w:val="none"/>
        </w:rPr>
        <w:t>本指导原则是对直流电药物导入设备的一般要求，申请人应依据产品的具体特性确定其中内容是否适用。若不适用，需具体阐述其理由及相应的科学依据，并依据产品特性对注册申报资料进行充实和细化。</w:t>
      </w:r>
    </w:p>
    <w:p>
      <w:pPr>
        <w:spacing w:line="520" w:lineRule="exact"/>
        <w:ind w:firstLine="640" w:firstLineChars="200"/>
        <w:rPr>
          <w:rFonts w:ascii="Times New Roman" w:hAnsi="Times New Roman" w:eastAsia="仿宋_GB2312" w:cs="Times New Roman"/>
          <w:color w:val="auto"/>
          <w:sz w:val="32"/>
          <w:szCs w:val="20"/>
          <w:highlight w:val="none"/>
        </w:rPr>
      </w:pPr>
      <w:r>
        <w:rPr>
          <w:rFonts w:ascii="Times New Roman" w:hAnsi="Times New Roman" w:eastAsia="仿宋_GB2312" w:cs="Times New Roman"/>
          <w:color w:val="auto"/>
          <w:sz w:val="32"/>
          <w:szCs w:val="20"/>
          <w:highlight w:val="none"/>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pPr>
        <w:spacing w:line="520" w:lineRule="exact"/>
        <w:ind w:firstLine="640" w:firstLineChars="200"/>
        <w:rPr>
          <w:rFonts w:ascii="Times New Roman" w:hAnsi="Times New Roman" w:eastAsia="仿宋_GB2312" w:cs="Times New Roman"/>
          <w:color w:val="auto"/>
          <w:sz w:val="32"/>
          <w:szCs w:val="20"/>
          <w:highlight w:val="none"/>
        </w:rPr>
      </w:pPr>
      <w:r>
        <w:rPr>
          <w:rFonts w:ascii="Times New Roman" w:hAnsi="Times New Roman" w:eastAsia="仿宋_GB2312" w:cs="Times New Roman"/>
          <w:color w:val="auto"/>
          <w:sz w:val="32"/>
          <w:szCs w:val="20"/>
          <w:highlight w:val="none"/>
        </w:rPr>
        <w:t>本指导原则是在现行法规和标准体系以及当前认知水平下制定，随着法规和标准的不断完善，以及科学技术的不断发展，相关内容也将适时进行调整。</w:t>
      </w:r>
    </w:p>
    <w:p>
      <w:pPr>
        <w:keepNext/>
        <w:keepLines/>
        <w:widowControl w:val="0"/>
        <w:spacing w:line="520" w:lineRule="exact"/>
        <w:ind w:firstLine="640" w:firstLineChars="200"/>
        <w:jc w:val="both"/>
        <w:outlineLvl w:val="0"/>
        <w:rPr>
          <w:rFonts w:ascii="Times New Roman" w:hAnsi="Times New Roman" w:eastAsia="黑体" w:cs="Times New Roman"/>
          <w:bCs/>
          <w:color w:val="auto"/>
          <w:kern w:val="44"/>
          <w:sz w:val="32"/>
          <w:szCs w:val="44"/>
          <w:highlight w:val="none"/>
          <w:lang w:val="en-US" w:eastAsia="zh-CN" w:bidi="ar-SA"/>
        </w:rPr>
      </w:pPr>
      <w:r>
        <w:rPr>
          <w:rFonts w:ascii="Times New Roman" w:hAnsi="Times New Roman" w:eastAsia="黑体" w:cs="Times New Roman"/>
          <w:bCs/>
          <w:color w:val="auto"/>
          <w:kern w:val="44"/>
          <w:sz w:val="32"/>
          <w:szCs w:val="44"/>
          <w:highlight w:val="none"/>
          <w:lang w:val="en-US" w:eastAsia="zh-CN" w:bidi="ar-SA"/>
        </w:rPr>
        <w:t>一、适用范围</w:t>
      </w:r>
    </w:p>
    <w:p>
      <w:pPr>
        <w:spacing w:line="520" w:lineRule="exact"/>
        <w:ind w:firstLine="640" w:firstLineChars="200"/>
        <w:rPr>
          <w:rFonts w:hint="eastAsia" w:ascii="Times New Roman" w:hAnsi="Times New Roman" w:eastAsia="仿宋_GB2312" w:cs="Times New Roman"/>
          <w:color w:val="auto"/>
          <w:sz w:val="32"/>
          <w:szCs w:val="20"/>
          <w:highlight w:val="none"/>
        </w:rPr>
      </w:pPr>
      <w:r>
        <w:rPr>
          <w:rFonts w:hint="eastAsia" w:ascii="Times New Roman" w:hAnsi="Times New Roman" w:eastAsia="仿宋_GB2312" w:cs="Times New Roman"/>
          <w:color w:val="auto"/>
          <w:sz w:val="32"/>
          <w:szCs w:val="20"/>
          <w:highlight w:val="none"/>
        </w:rPr>
        <w:t>本指导原则适用于直流电药物导入设备的产品注册。</w:t>
      </w:r>
      <w:r>
        <w:rPr>
          <w:rFonts w:hint="eastAsia" w:eastAsia="仿宋_GB2312" w:cs="仿宋_GB2312"/>
          <w:snapToGrid w:val="0"/>
          <w:color w:val="auto"/>
          <w:kern w:val="0"/>
          <w:sz w:val="32"/>
          <w:szCs w:val="32"/>
          <w:highlight w:val="none"/>
        </w:rPr>
        <w:t>按现行《医疗器械分类目录》</w:t>
      </w:r>
      <w:r>
        <w:rPr>
          <w:rFonts w:hint="eastAsia" w:ascii="Times New Roman" w:hAnsi="Times New Roman" w:eastAsia="仿宋_GB2312" w:cs="Times New Roman"/>
          <w:color w:val="auto"/>
          <w:sz w:val="32"/>
          <w:szCs w:val="20"/>
          <w:highlight w:val="none"/>
        </w:rPr>
        <w:t>，</w:t>
      </w:r>
      <w:r>
        <w:rPr>
          <w:rFonts w:hint="eastAsia" w:ascii="Times New Roman" w:hAnsi="Times New Roman" w:eastAsia="仿宋_GB2312" w:cs="Times New Roman"/>
          <w:color w:val="auto"/>
          <w:sz w:val="32"/>
          <w:szCs w:val="20"/>
          <w:highlight w:val="none"/>
          <w:lang w:val="en-US" w:eastAsia="zh-CN"/>
        </w:rPr>
        <w:t>该类产品</w:t>
      </w:r>
      <w:r>
        <w:rPr>
          <w:rFonts w:hint="eastAsia" w:ascii="Times New Roman" w:hAnsi="Times New Roman" w:eastAsia="仿宋_GB2312" w:cs="Times New Roman"/>
          <w:color w:val="auto"/>
          <w:sz w:val="32"/>
          <w:szCs w:val="20"/>
          <w:highlight w:val="none"/>
        </w:rPr>
        <w:t>分类编码为09-0</w:t>
      </w:r>
      <w:r>
        <w:rPr>
          <w:rFonts w:hint="eastAsia" w:ascii="Times New Roman" w:hAnsi="Times New Roman" w:eastAsia="仿宋_GB2312" w:cs="Times New Roman"/>
          <w:color w:val="auto"/>
          <w:sz w:val="32"/>
          <w:szCs w:val="20"/>
          <w:highlight w:val="none"/>
          <w:lang w:val="en-US" w:eastAsia="zh-CN"/>
        </w:rPr>
        <w:t>8</w:t>
      </w:r>
      <w:r>
        <w:rPr>
          <w:rFonts w:hint="eastAsia" w:ascii="Times New Roman" w:hAnsi="Times New Roman" w:eastAsia="仿宋_GB2312" w:cs="Times New Roman"/>
          <w:color w:val="auto"/>
          <w:sz w:val="32"/>
          <w:szCs w:val="20"/>
          <w:highlight w:val="none"/>
        </w:rPr>
        <w:t>-0</w:t>
      </w:r>
      <w:r>
        <w:rPr>
          <w:rFonts w:hint="eastAsia" w:ascii="Times New Roman" w:hAnsi="Times New Roman" w:eastAsia="仿宋_GB2312" w:cs="Times New Roman"/>
          <w:color w:val="auto"/>
          <w:sz w:val="32"/>
          <w:szCs w:val="20"/>
          <w:highlight w:val="none"/>
          <w:lang w:val="en-US" w:eastAsia="zh-CN"/>
        </w:rPr>
        <w:t>6，</w:t>
      </w:r>
      <w:r>
        <w:rPr>
          <w:rFonts w:hint="eastAsia" w:ascii="Times New Roman" w:hAnsi="Times New Roman" w:eastAsia="仿宋_GB2312" w:cs="Times New Roman"/>
          <w:color w:val="auto"/>
          <w:sz w:val="32"/>
          <w:szCs w:val="20"/>
          <w:highlight w:val="none"/>
        </w:rPr>
        <w:t>管理类别为</w:t>
      </w:r>
      <w:r>
        <w:rPr>
          <w:rFonts w:hint="eastAsia" w:ascii="Times New Roman" w:hAnsi="Times New Roman" w:eastAsia="仿宋_GB2312" w:cs="Times New Roman"/>
          <w:color w:val="auto"/>
          <w:sz w:val="32"/>
          <w:szCs w:val="20"/>
          <w:highlight w:val="none"/>
          <w:lang w:eastAsia="zh-CN"/>
        </w:rPr>
        <w:t>Ⅱ</w:t>
      </w:r>
      <w:r>
        <w:rPr>
          <w:rFonts w:hint="eastAsia" w:ascii="Times New Roman" w:hAnsi="Times New Roman" w:eastAsia="仿宋_GB2312" w:cs="Times New Roman"/>
          <w:color w:val="auto"/>
          <w:sz w:val="32"/>
          <w:szCs w:val="20"/>
          <w:highlight w:val="none"/>
        </w:rPr>
        <w:t>类</w:t>
      </w:r>
      <w:r>
        <w:rPr>
          <w:rFonts w:hint="eastAsia" w:ascii="Times New Roman" w:hAnsi="Times New Roman" w:eastAsia="仿宋_GB2312" w:cs="Times New Roman"/>
          <w:color w:val="auto"/>
          <w:sz w:val="32"/>
          <w:szCs w:val="20"/>
          <w:highlight w:val="none"/>
          <w:lang w:eastAsia="zh-CN"/>
        </w:rPr>
        <w:t>。</w:t>
      </w:r>
      <w:r>
        <w:rPr>
          <w:rFonts w:hint="eastAsia" w:ascii="Times New Roman" w:hAnsi="Times New Roman" w:eastAsia="仿宋_GB2312" w:cs="Times New Roman"/>
          <w:color w:val="auto"/>
          <w:sz w:val="32"/>
          <w:szCs w:val="20"/>
          <w:highlight w:val="none"/>
        </w:rPr>
        <w:t>本指导原则适用于借助直流电流将药物离子经皮肤导入体内用以治疗疾病的设备。</w:t>
      </w:r>
      <w:r>
        <w:rPr>
          <w:rFonts w:hint="eastAsia" w:ascii="Times New Roman" w:hAnsi="Times New Roman" w:eastAsia="仿宋_GB2312" w:cs="Times New Roman"/>
          <w:color w:val="auto"/>
          <w:sz w:val="32"/>
          <w:szCs w:val="20"/>
          <w:highlight w:val="none"/>
          <w:lang w:val="en-US" w:eastAsia="zh-CN"/>
        </w:rPr>
        <w:t>设备中所含</w:t>
      </w:r>
      <w:r>
        <w:rPr>
          <w:rFonts w:hint="eastAsia" w:ascii="Times New Roman" w:hAnsi="Times New Roman" w:eastAsia="仿宋_GB2312" w:cs="Times New Roman"/>
          <w:color w:val="auto"/>
          <w:sz w:val="32"/>
          <w:szCs w:val="20"/>
          <w:highlight w:val="none"/>
        </w:rPr>
        <w:t>直流电药物导入功能的多功能治疗设备，其直流电药物导入功能模块参照本指导原则执行。</w:t>
      </w:r>
    </w:p>
    <w:p>
      <w:pPr>
        <w:spacing w:line="520" w:lineRule="exact"/>
        <w:ind w:firstLine="640" w:firstLineChars="200"/>
        <w:rPr>
          <w:rFonts w:hint="default" w:ascii="Times New Roman" w:hAnsi="Times New Roman" w:eastAsia="仿宋_GB2312" w:cs="Times New Roman"/>
          <w:color w:val="auto"/>
          <w:sz w:val="32"/>
          <w:szCs w:val="20"/>
          <w:highlight w:val="none"/>
          <w:lang w:val="en-US" w:eastAsia="zh-CN"/>
        </w:rPr>
      </w:pPr>
      <w:r>
        <w:rPr>
          <w:rFonts w:hint="eastAsia" w:ascii="Times New Roman" w:hAnsi="Times New Roman" w:eastAsia="仿宋_GB2312" w:cs="Times New Roman"/>
          <w:color w:val="auto"/>
          <w:sz w:val="32"/>
          <w:szCs w:val="20"/>
          <w:highlight w:val="none"/>
          <w:lang w:val="en-US" w:eastAsia="zh-CN"/>
        </w:rPr>
        <w:t>本指导原则不适用于通过</w:t>
      </w:r>
      <w:r>
        <w:rPr>
          <w:rFonts w:hint="eastAsia" w:ascii="Times New Roman" w:hAnsi="Times New Roman" w:eastAsia="仿宋_GB2312" w:cs="Times New Roman"/>
          <w:b/>
          <w:bCs/>
          <w:color w:val="auto"/>
          <w:sz w:val="32"/>
          <w:szCs w:val="20"/>
          <w:highlight w:val="none"/>
          <w:lang w:val="en-US" w:eastAsia="zh-CN"/>
        </w:rPr>
        <w:t>中频</w:t>
      </w:r>
      <w:r>
        <w:rPr>
          <w:rFonts w:hint="default" w:ascii="Times New Roman" w:hAnsi="Times New Roman" w:eastAsia="仿宋_GB2312" w:cs="Times New Roman"/>
          <w:b/>
          <w:bCs/>
          <w:color w:val="auto"/>
          <w:sz w:val="32"/>
          <w:szCs w:val="20"/>
          <w:highlight w:val="none"/>
          <w:lang w:eastAsia="zh-CN"/>
        </w:rPr>
        <w:t>电流</w:t>
      </w:r>
      <w:r>
        <w:rPr>
          <w:rFonts w:hint="eastAsia" w:ascii="Times New Roman" w:hAnsi="Times New Roman" w:eastAsia="仿宋_GB2312" w:cs="Times New Roman"/>
          <w:b/>
          <w:bCs/>
          <w:color w:val="auto"/>
          <w:sz w:val="32"/>
          <w:szCs w:val="20"/>
          <w:highlight w:val="none"/>
          <w:lang w:val="en-US" w:eastAsia="zh-CN"/>
        </w:rPr>
        <w:t>导药</w:t>
      </w:r>
      <w:r>
        <w:rPr>
          <w:rFonts w:hint="default" w:ascii="Times New Roman" w:hAnsi="Times New Roman" w:eastAsia="仿宋_GB2312" w:cs="Times New Roman"/>
          <w:b/>
          <w:bCs/>
          <w:color w:val="auto"/>
          <w:sz w:val="32"/>
          <w:szCs w:val="20"/>
          <w:highlight w:val="none"/>
          <w:lang w:eastAsia="zh-CN"/>
        </w:rPr>
        <w:t>的</w:t>
      </w:r>
      <w:r>
        <w:rPr>
          <w:rFonts w:hint="eastAsia" w:ascii="Times New Roman" w:hAnsi="Times New Roman" w:eastAsia="仿宋_GB2312" w:cs="Times New Roman"/>
          <w:b/>
          <w:bCs/>
          <w:color w:val="auto"/>
          <w:sz w:val="32"/>
          <w:szCs w:val="20"/>
          <w:highlight w:val="none"/>
          <w:lang w:val="en-US" w:eastAsia="zh-CN"/>
        </w:rPr>
        <w:t>设备</w:t>
      </w:r>
      <w:r>
        <w:rPr>
          <w:rFonts w:hint="eastAsia" w:ascii="Times New Roman" w:hAnsi="Times New Roman" w:eastAsia="仿宋_GB2312" w:cs="Times New Roman"/>
          <w:color w:val="auto"/>
          <w:sz w:val="32"/>
          <w:szCs w:val="20"/>
          <w:highlight w:val="none"/>
          <w:lang w:eastAsia="zh-CN"/>
        </w:rPr>
        <w:t>、</w:t>
      </w:r>
      <w:r>
        <w:rPr>
          <w:rFonts w:hint="eastAsia" w:ascii="Times New Roman" w:hAnsi="Times New Roman" w:eastAsia="仿宋_GB2312" w:cs="Times New Roman"/>
          <w:color w:val="auto"/>
          <w:sz w:val="32"/>
          <w:szCs w:val="20"/>
          <w:highlight w:val="none"/>
          <w:lang w:val="en-US" w:eastAsia="zh-CN"/>
        </w:rPr>
        <w:t>不包括用于粘膜导药的设备</w:t>
      </w:r>
      <w:r>
        <w:rPr>
          <w:rFonts w:hint="eastAsia" w:ascii="Times New Roman" w:hAnsi="Times New Roman" w:eastAsia="仿宋_GB2312" w:cs="Times New Roman"/>
          <w:b w:val="0"/>
          <w:bCs w:val="0"/>
          <w:color w:val="auto"/>
          <w:sz w:val="32"/>
          <w:szCs w:val="20"/>
          <w:highlight w:val="none"/>
          <w:lang w:val="en-US" w:eastAsia="zh-CN"/>
        </w:rPr>
        <w:t>。</w:t>
      </w:r>
    </w:p>
    <w:p>
      <w:pPr>
        <w:keepNext/>
        <w:keepLines/>
        <w:widowControl w:val="0"/>
        <w:spacing w:line="520" w:lineRule="exact"/>
        <w:ind w:firstLine="640" w:firstLineChars="200"/>
        <w:jc w:val="both"/>
        <w:outlineLvl w:val="0"/>
        <w:rPr>
          <w:rFonts w:hint="eastAsia" w:ascii="Times New Roman" w:hAnsi="Times New Roman" w:eastAsia="黑体" w:cs="Times New Roman"/>
          <w:bCs/>
          <w:color w:val="auto"/>
          <w:kern w:val="44"/>
          <w:sz w:val="32"/>
          <w:szCs w:val="44"/>
          <w:highlight w:val="none"/>
          <w:lang w:val="en-US" w:eastAsia="zh-CN" w:bidi="ar-SA"/>
        </w:rPr>
      </w:pPr>
      <w:r>
        <w:rPr>
          <w:rFonts w:hint="eastAsia" w:ascii="Times New Roman" w:hAnsi="Times New Roman" w:eastAsia="黑体" w:cs="Times New Roman"/>
          <w:bCs/>
          <w:color w:val="auto"/>
          <w:kern w:val="44"/>
          <w:sz w:val="32"/>
          <w:szCs w:val="44"/>
          <w:highlight w:val="none"/>
          <w:lang w:val="en-US" w:eastAsia="zh-CN" w:bidi="ar-SA"/>
        </w:rPr>
        <w:t>二、注册审查要点</w:t>
      </w:r>
    </w:p>
    <w:p>
      <w:pPr>
        <w:pStyle w:val="13"/>
        <w:overflowPunct w:val="0"/>
        <w:autoSpaceDE w:val="0"/>
        <w:autoSpaceDN w:val="0"/>
        <w:spacing w:line="520" w:lineRule="exact"/>
        <w:ind w:firstLine="640"/>
        <w:outlineLvl w:val="1"/>
        <w:rPr>
          <w:rFonts w:hint="eastAsia" w:ascii="Times New Roman" w:hAnsi="Times New Roman" w:eastAsia="楷体_GB2312" w:cs="Times New Roman"/>
          <w:color w:val="auto"/>
          <w:sz w:val="32"/>
          <w:szCs w:val="32"/>
          <w:highlight w:val="none"/>
        </w:rPr>
      </w:pPr>
      <w:r>
        <w:rPr>
          <w:rFonts w:hint="eastAsia" w:ascii="Times New Roman" w:hAnsi="Times New Roman" w:eastAsia="楷体_GB2312" w:cs="Times New Roman"/>
          <w:color w:val="auto"/>
          <w:sz w:val="32"/>
          <w:szCs w:val="32"/>
          <w:highlight w:val="none"/>
        </w:rPr>
        <w:t>（一）监管信息</w:t>
      </w:r>
    </w:p>
    <w:p>
      <w:pPr>
        <w:overflowPunct w:val="0"/>
        <w:autoSpaceDE w:val="0"/>
        <w:autoSpaceDN w:val="0"/>
        <w:spacing w:line="520" w:lineRule="exact"/>
        <w:ind w:firstLine="640" w:firstLineChars="200"/>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明确申请表中产品名称、管理类别、分类编码、型号规格、结构组成等信息。</w:t>
      </w:r>
    </w:p>
    <w:p>
      <w:pPr>
        <w:overflowPunct w:val="0"/>
        <w:autoSpaceDE w:val="0"/>
        <w:autoSpaceDN w:val="0"/>
        <w:spacing w:line="520" w:lineRule="exact"/>
        <w:ind w:firstLine="640" w:firstLineChars="200"/>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1.产品名称</w:t>
      </w:r>
    </w:p>
    <w:p>
      <w:pPr>
        <w:spacing w:line="520" w:lineRule="exact"/>
        <w:ind w:firstLine="640" w:firstLineChars="200"/>
        <w:rPr>
          <w:rFonts w:hint="eastAsia" w:ascii="Times New Roman" w:hAnsi="Times New Roman" w:eastAsia="仿宋_GB2312" w:cs="Times New Roman"/>
          <w:color w:val="auto"/>
          <w:sz w:val="32"/>
          <w:szCs w:val="20"/>
          <w:highlight w:val="none"/>
        </w:rPr>
      </w:pPr>
      <w:r>
        <w:rPr>
          <w:rFonts w:hint="eastAsia" w:ascii="Times New Roman" w:hAnsi="Times New Roman" w:eastAsia="仿宋_GB2312" w:cs="Times New Roman"/>
          <w:color w:val="auto"/>
          <w:sz w:val="32"/>
          <w:szCs w:val="20"/>
          <w:highlight w:val="none"/>
          <w:lang w:val="en-US" w:eastAsia="zh-CN"/>
        </w:rPr>
        <w:t>产品的名称应为通用名称，产品命名应符合《医疗器械通用名称命名规则》、《医疗器械分类目录》、《</w:t>
      </w:r>
      <w:r>
        <w:rPr>
          <w:rFonts w:hint="eastAsia" w:ascii="Times New Roman" w:hAnsi="Times New Roman" w:eastAsia="仿宋_GB2312" w:cs="Times New Roman"/>
          <w:color w:val="auto"/>
          <w:sz w:val="32"/>
          <w:szCs w:val="20"/>
          <w:highlight w:val="none"/>
        </w:rPr>
        <w:t>物理治疗器械通用名称命名指导原则</w:t>
      </w:r>
      <w:r>
        <w:rPr>
          <w:rFonts w:hint="eastAsia" w:ascii="Times New Roman" w:hAnsi="Times New Roman" w:eastAsia="仿宋_GB2312" w:cs="Times New Roman"/>
          <w:color w:val="auto"/>
          <w:sz w:val="32"/>
          <w:szCs w:val="20"/>
          <w:highlight w:val="none"/>
          <w:lang w:val="en-US" w:eastAsia="zh-CN"/>
        </w:rPr>
        <w:t>》、国家标准、行业标准等相关法规、规范性文件中的通用名称要求。产品名称通常由一个核心词和不超过三个的特征词组成，并以体现产品技术结构特征、功能属性为基本准则，例如：直流电药物导入治疗仪。</w:t>
      </w:r>
    </w:p>
    <w:p>
      <w:pPr>
        <w:pStyle w:val="15"/>
        <w:spacing w:line="520" w:lineRule="exact"/>
        <w:ind w:firstLine="640" w:firstLineChars="200"/>
        <w:outlineLvl w:val="2"/>
        <w:rPr>
          <w:rFonts w:ascii="Times New Roman" w:hAnsi="Times New Roman"/>
          <w:snapToGrid w:val="0"/>
          <w:color w:val="auto"/>
          <w:sz w:val="32"/>
          <w:szCs w:val="32"/>
          <w:highlight w:val="none"/>
        </w:rPr>
      </w:pPr>
      <w:r>
        <w:rPr>
          <w:rFonts w:hint="eastAsia" w:ascii="Times New Roman" w:hAnsi="Times New Roman"/>
          <w:snapToGrid w:val="0"/>
          <w:color w:val="auto"/>
          <w:sz w:val="32"/>
          <w:szCs w:val="32"/>
          <w:highlight w:val="none"/>
        </w:rPr>
        <w:t>2.</w:t>
      </w:r>
      <w:r>
        <w:rPr>
          <w:rFonts w:ascii="Times New Roman" w:hAnsi="Times New Roman"/>
          <w:snapToGrid w:val="0"/>
          <w:color w:val="auto"/>
          <w:sz w:val="32"/>
          <w:szCs w:val="32"/>
          <w:highlight w:val="none"/>
        </w:rPr>
        <w:t>管理类别、分类编码</w:t>
      </w:r>
    </w:p>
    <w:p>
      <w:pPr>
        <w:keepNext w:val="0"/>
        <w:keepLines w:val="0"/>
        <w:widowControl w:val="0"/>
        <w:suppressLineNumbers w:val="0"/>
        <w:spacing w:before="0" w:beforeAutospacing="0" w:after="0" w:afterAutospacing="0" w:line="520" w:lineRule="exact"/>
        <w:ind w:left="0" w:right="0" w:firstLine="640" w:firstLineChars="200"/>
        <w:jc w:val="both"/>
        <w:rPr>
          <w:rFonts w:hint="eastAsia" w:ascii="Times New Roman" w:hAnsi="Times New Roman" w:eastAsia="仿宋_GB2312" w:cs="Times New Roman"/>
          <w:color w:val="auto"/>
          <w:kern w:val="2"/>
          <w:sz w:val="32"/>
          <w:szCs w:val="20"/>
          <w:highlight w:val="none"/>
          <w:lang w:val="en-US" w:eastAsia="zh-CN" w:bidi="ar-SA"/>
        </w:rPr>
      </w:pPr>
      <w:r>
        <w:rPr>
          <w:rFonts w:hint="default" w:ascii="仿宋_GB2312" w:hAnsi="Times New Roman" w:eastAsia="仿宋_GB2312" w:cs="仿宋_GB2312"/>
          <w:color w:val="auto"/>
          <w:kern w:val="2"/>
          <w:sz w:val="32"/>
          <w:szCs w:val="32"/>
          <w:highlight w:val="none"/>
          <w:lang w:val="en-US" w:eastAsia="zh-CN"/>
        </w:rPr>
        <w:t>根据</w:t>
      </w:r>
      <w:r>
        <w:rPr>
          <w:rFonts w:hint="default" w:ascii="Times New Roman" w:hAnsi="Times New Roman" w:eastAsia="仿宋_GB2312" w:cs="Times New Roman"/>
          <w:color w:val="auto"/>
          <w:kern w:val="2"/>
          <w:sz w:val="32"/>
          <w:szCs w:val="32"/>
          <w:highlight w:val="none"/>
          <w:lang w:val="en-US" w:eastAsia="zh-CN"/>
        </w:rPr>
        <w:t>2017</w:t>
      </w:r>
      <w:r>
        <w:rPr>
          <w:rFonts w:hint="default" w:ascii="仿宋_GB2312" w:hAnsi="Times New Roman" w:eastAsia="仿宋_GB2312" w:cs="仿宋_GB2312"/>
          <w:color w:val="auto"/>
          <w:kern w:val="2"/>
          <w:sz w:val="32"/>
          <w:szCs w:val="32"/>
          <w:highlight w:val="none"/>
          <w:lang w:val="en-US" w:eastAsia="zh-CN"/>
        </w:rPr>
        <w:t>版《医疗器械分类目录》，管理类别为第Ⅱ类，所属分类子目录为09物理治疗器械，一级产品类别为0</w:t>
      </w:r>
      <w:r>
        <w:rPr>
          <w:rFonts w:hint="eastAsia" w:ascii="仿宋_GB2312" w:hAnsi="Times New Roman" w:eastAsia="仿宋_GB2312" w:cs="仿宋_GB2312"/>
          <w:color w:val="auto"/>
          <w:kern w:val="2"/>
          <w:sz w:val="32"/>
          <w:szCs w:val="32"/>
          <w:highlight w:val="none"/>
          <w:lang w:val="en-US" w:eastAsia="zh-CN"/>
        </w:rPr>
        <w:t>8</w:t>
      </w:r>
      <w:r>
        <w:rPr>
          <w:rFonts w:hint="default" w:ascii="仿宋_GB2312" w:hAnsi="Times New Roman" w:eastAsia="仿宋_GB2312" w:cs="仿宋_GB2312"/>
          <w:color w:val="auto"/>
          <w:kern w:val="2"/>
          <w:sz w:val="32"/>
          <w:szCs w:val="32"/>
          <w:highlight w:val="none"/>
          <w:lang w:val="en-US" w:eastAsia="zh-CN"/>
        </w:rPr>
        <w:t>其他物理治疗设备，二级产品类别为</w:t>
      </w:r>
      <w:r>
        <w:rPr>
          <w:rFonts w:hint="default" w:ascii="Times New Roman" w:hAnsi="Times New Roman" w:eastAsia="仿宋_GB2312" w:cs="Times New Roman"/>
          <w:color w:val="auto"/>
          <w:kern w:val="2"/>
          <w:sz w:val="32"/>
          <w:szCs w:val="32"/>
          <w:highlight w:val="none"/>
          <w:lang w:val="en-US" w:eastAsia="zh-CN"/>
        </w:rPr>
        <w:t>06药物导入设备</w:t>
      </w:r>
      <w:r>
        <w:rPr>
          <w:rFonts w:hint="default" w:ascii="仿宋_GB2312" w:hAnsi="Times New Roman" w:eastAsia="仿宋_GB2312" w:cs="仿宋_GB2312"/>
          <w:color w:val="auto"/>
          <w:kern w:val="2"/>
          <w:sz w:val="32"/>
          <w:szCs w:val="32"/>
          <w:highlight w:val="none"/>
          <w:lang w:val="en-US" w:eastAsia="zh-CN"/>
        </w:rPr>
        <w:t>，分类编码为</w:t>
      </w:r>
      <w:r>
        <w:rPr>
          <w:rFonts w:hint="eastAsia" w:ascii="Times New Roman" w:hAnsi="Times New Roman" w:eastAsia="仿宋_GB2312" w:cs="Times New Roman"/>
          <w:color w:val="auto"/>
          <w:sz w:val="32"/>
          <w:szCs w:val="20"/>
          <w:highlight w:val="none"/>
        </w:rPr>
        <w:t>09-0</w:t>
      </w:r>
      <w:r>
        <w:rPr>
          <w:rFonts w:hint="eastAsia" w:ascii="Times New Roman" w:hAnsi="Times New Roman" w:eastAsia="仿宋_GB2312" w:cs="Times New Roman"/>
          <w:color w:val="auto"/>
          <w:sz w:val="32"/>
          <w:szCs w:val="20"/>
          <w:highlight w:val="none"/>
          <w:lang w:val="en-US" w:eastAsia="zh-CN"/>
        </w:rPr>
        <w:t>8</w:t>
      </w:r>
      <w:r>
        <w:rPr>
          <w:rFonts w:hint="eastAsia" w:ascii="Times New Roman" w:hAnsi="Times New Roman" w:eastAsia="仿宋_GB2312" w:cs="Times New Roman"/>
          <w:color w:val="auto"/>
          <w:sz w:val="32"/>
          <w:szCs w:val="20"/>
          <w:highlight w:val="none"/>
        </w:rPr>
        <w:t>-0</w:t>
      </w:r>
      <w:r>
        <w:rPr>
          <w:rFonts w:hint="eastAsia" w:ascii="Times New Roman" w:hAnsi="Times New Roman" w:eastAsia="仿宋_GB2312" w:cs="Times New Roman"/>
          <w:color w:val="auto"/>
          <w:sz w:val="32"/>
          <w:szCs w:val="20"/>
          <w:highlight w:val="none"/>
          <w:lang w:val="en-US" w:eastAsia="zh-CN"/>
        </w:rPr>
        <w:t>6</w:t>
      </w:r>
      <w:r>
        <w:rPr>
          <w:rFonts w:hint="eastAsia" w:eastAsia="仿宋_GB2312" w:cs="仿宋_GB2312"/>
          <w:snapToGrid w:val="0"/>
          <w:color w:val="auto"/>
          <w:kern w:val="0"/>
          <w:sz w:val="32"/>
          <w:szCs w:val="32"/>
          <w:highlight w:val="none"/>
        </w:rPr>
        <w:t>。</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3.注册单元划分</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注册单元划分应按照《医疗器械注册单元划分指导原则》的相关要求进行划分，原则上以产品的技术原理、结构组成、性能指标和适用范围做为划分依据。</w:t>
      </w:r>
    </w:p>
    <w:p>
      <w:pPr>
        <w:keepNext w:val="0"/>
        <w:keepLines w:val="0"/>
        <w:widowControl w:val="0"/>
        <w:suppressLineNumbers w:val="0"/>
        <w:spacing w:before="0" w:beforeAutospacing="0" w:after="0" w:afterAutospacing="0" w:line="520" w:lineRule="exact"/>
        <w:ind w:left="0" w:right="0" w:firstLine="624" w:firstLineChars="200"/>
        <w:jc w:val="both"/>
        <w:outlineLvl w:val="1"/>
        <w:rPr>
          <w:rFonts w:hint="default" w:ascii="Times New Roman" w:hAnsi="Times New Roman" w:eastAsia="仿宋_GB2312" w:cs="Times New Roman"/>
          <w:color w:val="auto"/>
          <w:spacing w:val="-4"/>
          <w:kern w:val="2"/>
          <w:sz w:val="32"/>
          <w:szCs w:val="32"/>
          <w:highlight w:val="none"/>
        </w:rPr>
      </w:pPr>
      <w:r>
        <w:rPr>
          <w:rFonts w:hint="eastAsia" w:ascii="仿宋_GB2312" w:hAnsi="Times New Roman" w:eastAsia="仿宋_GB2312" w:cs="仿宋_GB2312"/>
          <w:color w:val="auto"/>
          <w:spacing w:val="-4"/>
          <w:sz w:val="32"/>
          <w:szCs w:val="32"/>
          <w:highlight w:val="none"/>
          <w:lang w:val="en-US" w:eastAsia="zh-CN"/>
        </w:rPr>
        <w:t xml:space="preserve">3.1 </w:t>
      </w:r>
      <w:r>
        <w:rPr>
          <w:rFonts w:hint="default" w:ascii="仿宋_GB2312" w:hAnsi="Times New Roman" w:eastAsia="仿宋_GB2312" w:cs="仿宋_GB2312"/>
          <w:color w:val="auto"/>
          <w:spacing w:val="-4"/>
          <w:kern w:val="2"/>
          <w:sz w:val="32"/>
          <w:szCs w:val="32"/>
          <w:highlight w:val="none"/>
          <w:lang w:val="en-US" w:eastAsia="zh-CN"/>
        </w:rPr>
        <w:t>技术原理相同，但产品结构组成的不同影响产品安全有效性的，原则上应划分为不同注册单元。</w:t>
      </w:r>
    </w:p>
    <w:p>
      <w:pPr>
        <w:keepNext w:val="0"/>
        <w:keepLines w:val="0"/>
        <w:widowControl w:val="0"/>
        <w:suppressLineNumbers w:val="0"/>
        <w:spacing w:before="0" w:beforeAutospacing="0" w:after="0" w:afterAutospacing="0" w:line="520" w:lineRule="exact"/>
        <w:ind w:left="0" w:right="0" w:firstLine="624" w:firstLineChars="200"/>
        <w:jc w:val="both"/>
        <w:outlineLvl w:val="1"/>
        <w:rPr>
          <w:rFonts w:hint="default" w:ascii="仿宋_GB2312" w:hAnsi="Times New Roman" w:eastAsia="仿宋_GB2312" w:cs="仿宋_GB2312"/>
          <w:color w:val="auto"/>
          <w:spacing w:val="-4"/>
          <w:sz w:val="32"/>
          <w:szCs w:val="32"/>
          <w:highlight w:val="none"/>
          <w:lang w:val="en-US" w:eastAsia="zh-CN"/>
        </w:rPr>
      </w:pPr>
      <w:r>
        <w:rPr>
          <w:rFonts w:hint="eastAsia" w:ascii="仿宋_GB2312" w:hAnsi="Times New Roman" w:eastAsia="仿宋_GB2312" w:cs="仿宋_GB2312"/>
          <w:color w:val="auto"/>
          <w:spacing w:val="-4"/>
          <w:sz w:val="32"/>
          <w:szCs w:val="32"/>
          <w:highlight w:val="none"/>
          <w:lang w:val="en-US" w:eastAsia="zh-CN"/>
        </w:rPr>
        <w:t>例如</w:t>
      </w:r>
      <w:r>
        <w:rPr>
          <w:rFonts w:hint="default" w:ascii="仿宋_GB2312" w:hAnsi="Times New Roman" w:eastAsia="仿宋_GB2312" w:cs="仿宋_GB2312"/>
          <w:color w:val="auto"/>
          <w:spacing w:val="-4"/>
          <w:sz w:val="32"/>
          <w:szCs w:val="32"/>
          <w:highlight w:val="none"/>
          <w:lang w:val="en-US" w:eastAsia="zh-CN"/>
        </w:rPr>
        <w:t>电极结构</w:t>
      </w:r>
      <w:r>
        <w:rPr>
          <w:rFonts w:hint="eastAsia" w:ascii="仿宋_GB2312" w:hAnsi="Times New Roman" w:eastAsia="仿宋_GB2312" w:cs="仿宋_GB2312"/>
          <w:color w:val="auto"/>
          <w:spacing w:val="-4"/>
          <w:sz w:val="32"/>
          <w:szCs w:val="32"/>
          <w:highlight w:val="none"/>
          <w:lang w:val="en-US" w:eastAsia="zh-CN"/>
        </w:rPr>
        <w:t>不同</w:t>
      </w:r>
      <w:r>
        <w:rPr>
          <w:rFonts w:hint="default" w:ascii="仿宋_GB2312" w:hAnsi="Times New Roman" w:eastAsia="仿宋_GB2312" w:cs="仿宋_GB2312"/>
          <w:color w:val="auto"/>
          <w:spacing w:val="-4"/>
          <w:sz w:val="32"/>
          <w:szCs w:val="32"/>
          <w:highlight w:val="none"/>
          <w:lang w:val="en-US" w:eastAsia="zh-CN"/>
        </w:rPr>
        <w:t>、接触材质不同，且影响电气安全、生物相容性、导入效率的，建议划分为不同注册单元；</w:t>
      </w:r>
    </w:p>
    <w:p>
      <w:pPr>
        <w:keepNext w:val="0"/>
        <w:keepLines w:val="0"/>
        <w:widowControl w:val="0"/>
        <w:suppressLineNumbers w:val="0"/>
        <w:spacing w:before="0" w:beforeAutospacing="0" w:after="0" w:afterAutospacing="0" w:line="520" w:lineRule="exact"/>
        <w:ind w:left="0" w:right="0" w:firstLine="624" w:firstLineChars="200"/>
        <w:jc w:val="both"/>
        <w:outlineLvl w:val="1"/>
        <w:rPr>
          <w:rFonts w:hint="default" w:ascii="仿宋_GB2312" w:hAnsi="Times New Roman" w:eastAsia="仿宋_GB2312" w:cs="仿宋_GB2312"/>
          <w:color w:val="auto"/>
          <w:spacing w:val="-4"/>
          <w:kern w:val="2"/>
          <w:sz w:val="32"/>
          <w:szCs w:val="32"/>
          <w:highlight w:val="none"/>
          <w:lang w:val="en-US" w:eastAsia="zh-CN"/>
        </w:rPr>
      </w:pPr>
      <w:r>
        <w:rPr>
          <w:rFonts w:hint="eastAsia" w:ascii="仿宋_GB2312" w:hAnsi="Times New Roman" w:eastAsia="仿宋_GB2312" w:cs="仿宋_GB2312"/>
          <w:color w:val="auto"/>
          <w:spacing w:val="-4"/>
          <w:sz w:val="32"/>
          <w:szCs w:val="32"/>
          <w:highlight w:val="none"/>
          <w:lang w:val="en-US" w:eastAsia="zh-CN"/>
        </w:rPr>
        <w:t>3.2</w:t>
      </w:r>
      <w:r>
        <w:rPr>
          <w:rFonts w:hint="default" w:ascii="仿宋_GB2312" w:hAnsi="Times New Roman" w:eastAsia="仿宋_GB2312" w:cs="仿宋_GB2312"/>
          <w:color w:val="auto"/>
          <w:spacing w:val="-4"/>
          <w:sz w:val="32"/>
          <w:szCs w:val="32"/>
          <w:highlight w:val="none"/>
          <w:lang w:val="en-US" w:eastAsia="zh-CN"/>
        </w:rPr>
        <w:t>.仅外观、配色不同，工作原理、性能、结构一致的，建议划分为同一注册单元</w:t>
      </w:r>
    </w:p>
    <w:p>
      <w:pPr>
        <w:keepNext/>
        <w:keepLines/>
        <w:widowControl w:val="0"/>
        <w:spacing w:line="520" w:lineRule="exact"/>
        <w:ind w:firstLine="640" w:firstLineChars="200"/>
        <w:jc w:val="both"/>
        <w:outlineLvl w:val="1"/>
        <w:rPr>
          <w:rFonts w:ascii="Times New Roman" w:hAnsi="Times New Roman" w:eastAsia="楷体_GB2312" w:cs="Times New Roman"/>
          <w:bCs w:val="0"/>
          <w:color w:val="auto"/>
          <w:kern w:val="2"/>
          <w:sz w:val="32"/>
          <w:szCs w:val="32"/>
          <w:highlight w:val="none"/>
          <w:lang w:val="en-US" w:eastAsia="zh-CN" w:bidi="ar-SA"/>
        </w:rPr>
      </w:pPr>
      <w:r>
        <w:rPr>
          <w:rFonts w:ascii="Times New Roman" w:hAnsi="Times New Roman" w:eastAsia="楷体_GB2312" w:cs="Times New Roman"/>
          <w:bCs w:val="0"/>
          <w:color w:val="auto"/>
          <w:kern w:val="2"/>
          <w:sz w:val="32"/>
          <w:szCs w:val="32"/>
          <w:highlight w:val="none"/>
          <w:lang w:val="en-US" w:eastAsia="zh-CN" w:bidi="ar-SA"/>
        </w:rPr>
        <w:t>（二）综述资料</w:t>
      </w:r>
    </w:p>
    <w:p>
      <w:pPr>
        <w:ind w:firstLine="640" w:firstLineChars="200"/>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1.产品描述</w:t>
      </w:r>
    </w:p>
    <w:p>
      <w:pPr>
        <w:ind w:firstLine="640" w:firstLineChars="200"/>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1.1器械及操作原理描述</w:t>
      </w:r>
    </w:p>
    <w:p>
      <w:pPr>
        <w:ind w:firstLine="640" w:firstLineChars="200"/>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1.1.1工作原理</w:t>
      </w:r>
    </w:p>
    <w:p>
      <w:pPr>
        <w:ind w:firstLine="640" w:firstLineChars="200"/>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药物溶液中某些药物可以离解为离子，在直流电场力的作用下，带电荷的药物离子产生定向移动。在阴极衬垫中,由于同性相斥，带负电荷的药物离子向人体方向移动，进人组织内；在阳极衬垫中，带阳电荷的药物离子向人体方向移动，进入组织内。即，药物离子在直流电作用下进入人体组织内产生药理作用。</w:t>
      </w:r>
    </w:p>
    <w:p>
      <w:pPr>
        <w:ind w:firstLine="640" w:firstLineChars="200"/>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注册申请人应结合产品的技术类型详述产品的工作原理，可提供产品的工作原理图，并结合原理图阐述产品的工作原理。</w:t>
      </w:r>
    </w:p>
    <w:p>
      <w:pPr>
        <w:keepNext w:val="0"/>
        <w:keepLines w:val="0"/>
        <w:widowControl/>
        <w:suppressLineNumbers w:val="0"/>
        <w:ind w:firstLine="640" w:firstLineChars="200"/>
        <w:jc w:val="left"/>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1.1.2作用机理：</w:t>
      </w:r>
    </w:p>
    <w:p>
      <w:pPr>
        <w:numPr>
          <w:ilvl w:val="0"/>
          <w:numId w:val="1"/>
        </w:numPr>
        <w:ind w:firstLine="640" w:firstLineChars="200"/>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药物可不损伤皮肤和粘膜直接进入组织内，在局部表浅组织中的药物浓度比肌注途径用药高 20～100 倍，对表浅病灶治疗特别适用，而且在皮内形成药物“离子堆”，作用持续时间长。</w:t>
      </w:r>
    </w:p>
    <w:p>
      <w:pPr>
        <w:numPr>
          <w:ilvl w:val="0"/>
          <w:numId w:val="1"/>
        </w:numPr>
        <w:ind w:firstLine="640" w:firstLineChars="200"/>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具有直流电和药物的综合作用：两者作用互相加强，其疗效比单纯直流电或单纯药物治疗的疗效高。</w:t>
      </w:r>
    </w:p>
    <w:p>
      <w:pPr>
        <w:numPr>
          <w:ilvl w:val="0"/>
          <w:numId w:val="1"/>
        </w:numPr>
        <w:ind w:left="0" w:leftChars="0" w:firstLine="640" w:firstLineChars="200"/>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具有神经反射治疗作用：将一定面积的电极衬垫放置在身体的某一部位，由于直流电引起该部组织内理化性质的变化和药物在皮内(粘膜)形成“离子堆”，构成对机体内外感受器的刺激，通过神经反射途径引起机体反应，特别是电极置于某些神经末梢分布丰富的部位，通过感觉、植物神经节段机理，而影响相应节段的内脏器官和血管功能，从而治疗疾病。</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1.2 结构及组成</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应当明确申报产品的组成部分，</w:t>
      </w:r>
      <w:r>
        <w:rPr>
          <w:rFonts w:hint="default" w:ascii="Times New Roman" w:hAnsi="Times New Roman" w:eastAsia="仿宋_GB2312" w:cs="Times New Roman"/>
          <w:color w:val="auto"/>
          <w:kern w:val="2"/>
          <w:sz w:val="32"/>
          <w:szCs w:val="20"/>
          <w:highlight w:val="none"/>
          <w:lang w:eastAsia="zh-CN" w:bidi="ar-SA"/>
        </w:rPr>
        <w:t>可以以文字或图片方式</w:t>
      </w:r>
      <w:r>
        <w:rPr>
          <w:rFonts w:hint="eastAsia" w:ascii="Times New Roman" w:hAnsi="Times New Roman" w:eastAsia="仿宋_GB2312" w:cs="Times New Roman"/>
          <w:color w:val="auto"/>
          <w:kern w:val="2"/>
          <w:sz w:val="32"/>
          <w:szCs w:val="20"/>
          <w:highlight w:val="none"/>
          <w:lang w:val="en-US" w:eastAsia="zh-CN" w:bidi="ar-SA"/>
        </w:rPr>
        <w:t>说明各部分组件的功能。通常</w:t>
      </w:r>
      <w:r>
        <w:rPr>
          <w:rFonts w:hint="default" w:ascii="Times New Roman" w:hAnsi="Times New Roman" w:eastAsia="仿宋_GB2312" w:cs="Times New Roman"/>
          <w:color w:val="auto"/>
          <w:kern w:val="2"/>
          <w:sz w:val="32"/>
          <w:szCs w:val="20"/>
          <w:highlight w:val="none"/>
          <w:lang w:eastAsia="zh-CN" w:bidi="ar-SA"/>
        </w:rPr>
        <w:t>产品</w:t>
      </w:r>
      <w:r>
        <w:rPr>
          <w:rFonts w:hint="eastAsia" w:ascii="Times New Roman" w:hAnsi="Times New Roman" w:eastAsia="仿宋_GB2312" w:cs="Times New Roman"/>
          <w:color w:val="auto"/>
          <w:kern w:val="2"/>
          <w:sz w:val="32"/>
          <w:szCs w:val="20"/>
          <w:highlight w:val="none"/>
          <w:lang w:val="en-US" w:eastAsia="zh-CN" w:bidi="ar-SA"/>
        </w:rPr>
        <w:t>由电流发生器、传递电极、回路电极、导线等组成。典型产品结构示意图及电极结构示意图</w:t>
      </w:r>
      <w:r>
        <w:rPr>
          <w:rFonts w:hint="default" w:ascii="Times New Roman" w:hAnsi="Times New Roman" w:eastAsia="仿宋_GB2312" w:cs="Times New Roman"/>
          <w:color w:val="auto"/>
          <w:kern w:val="2"/>
          <w:sz w:val="32"/>
          <w:szCs w:val="20"/>
          <w:highlight w:val="none"/>
          <w:lang w:eastAsia="zh-CN" w:bidi="ar-SA"/>
        </w:rPr>
        <w:t>如下</w:t>
      </w:r>
      <w:r>
        <w:rPr>
          <w:rFonts w:hint="eastAsia" w:ascii="Times New Roman" w:hAnsi="Times New Roman" w:eastAsia="仿宋_GB2312" w:cs="Times New Roman"/>
          <w:color w:val="auto"/>
          <w:kern w:val="2"/>
          <w:sz w:val="32"/>
          <w:szCs w:val="20"/>
          <w:highlight w:val="none"/>
          <w:lang w:val="en-US" w:eastAsia="zh-CN" w:bidi="ar-SA"/>
        </w:rPr>
        <w:t>：</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ascii="宋体" w:hAnsi="宋体" w:eastAsia="宋体" w:cs="宋体"/>
          <w:color w:val="auto"/>
          <w:sz w:val="24"/>
          <w:szCs w:val="24"/>
          <w:highlight w:val="none"/>
        </w:rPr>
        <w:drawing>
          <wp:anchor distT="0" distB="0" distL="0" distR="0" simplePos="0" relativeHeight="251659264" behindDoc="1" locked="0" layoutInCell="1" allowOverlap="1">
            <wp:simplePos x="0" y="0"/>
            <wp:positionH relativeFrom="column">
              <wp:posOffset>-41275</wp:posOffset>
            </wp:positionH>
            <wp:positionV relativeFrom="paragraph">
              <wp:posOffset>140970</wp:posOffset>
            </wp:positionV>
            <wp:extent cx="4720590" cy="2553970"/>
            <wp:effectExtent l="0" t="0" r="3810" b="8255"/>
            <wp:wrapNone/>
            <wp:docPr id="1026" name="图片 4" descr="IMG_256"/>
            <wp:cNvGraphicFramePr/>
            <a:graphic xmlns:a="http://schemas.openxmlformats.org/drawingml/2006/main">
              <a:graphicData uri="http://schemas.openxmlformats.org/drawingml/2006/picture">
                <pic:pic xmlns:pic="http://schemas.openxmlformats.org/drawingml/2006/picture">
                  <pic:nvPicPr>
                    <pic:cNvPr id="1026" name="图片 4" descr="IMG_256"/>
                    <pic:cNvPicPr/>
                  </pic:nvPicPr>
                  <pic:blipFill>
                    <a:blip r:embed="rId4" cstate="print"/>
                    <a:srcRect/>
                    <a:stretch>
                      <a:fillRect/>
                    </a:stretch>
                  </pic:blipFill>
                  <pic:spPr>
                    <a:xfrm>
                      <a:off x="0" y="0"/>
                      <a:ext cx="4720590" cy="2553970"/>
                    </a:xfrm>
                    <a:prstGeom prst="rect">
                      <a:avLst/>
                    </a:prstGeom>
                    <a:ln>
                      <a:noFill/>
                    </a:ln>
                  </pic:spPr>
                </pic:pic>
              </a:graphicData>
            </a:graphic>
          </wp:anchor>
        </w:drawing>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0" w:firstLineChars="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0" w:firstLineChars="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0" w:firstLineChars="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0" w:firstLineChars="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0" w:firstLineChars="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ascii="宋体" w:hAnsi="宋体" w:eastAsia="宋体" w:cs="宋体"/>
          <w:color w:val="auto"/>
          <w:sz w:val="24"/>
          <w:szCs w:val="24"/>
          <w:highlight w:val="none"/>
        </w:rPr>
        <w:drawing>
          <wp:anchor distT="0" distB="0" distL="0" distR="0" simplePos="0" relativeHeight="251659264" behindDoc="1" locked="0" layoutInCell="1" allowOverlap="1">
            <wp:simplePos x="0" y="0"/>
            <wp:positionH relativeFrom="column">
              <wp:posOffset>-186055</wp:posOffset>
            </wp:positionH>
            <wp:positionV relativeFrom="paragraph">
              <wp:posOffset>317500</wp:posOffset>
            </wp:positionV>
            <wp:extent cx="5260340" cy="1768475"/>
            <wp:effectExtent l="0" t="0" r="6985" b="3175"/>
            <wp:wrapNone/>
            <wp:docPr id="1027" name="图片 3" descr="image_1784875968820"/>
            <wp:cNvGraphicFramePr/>
            <a:graphic xmlns:a="http://schemas.openxmlformats.org/drawingml/2006/main">
              <a:graphicData uri="http://schemas.openxmlformats.org/drawingml/2006/picture">
                <pic:pic xmlns:pic="http://schemas.openxmlformats.org/drawingml/2006/picture">
                  <pic:nvPicPr>
                    <pic:cNvPr id="1027" name="图片 3" descr="image_1784875968820"/>
                    <pic:cNvPicPr/>
                  </pic:nvPicPr>
                  <pic:blipFill>
                    <a:blip r:embed="rId5" cstate="print"/>
                    <a:srcRect/>
                    <a:stretch>
                      <a:fillRect/>
                    </a:stretch>
                  </pic:blipFill>
                  <pic:spPr>
                    <a:xfrm>
                      <a:off x="0" y="0"/>
                      <a:ext cx="5260340" cy="1768475"/>
                    </a:xfrm>
                    <a:prstGeom prst="rect">
                      <a:avLst/>
                    </a:prstGeom>
                  </pic:spPr>
                </pic:pic>
              </a:graphicData>
            </a:graphic>
          </wp:anchor>
        </w:drawing>
      </w:r>
    </w:p>
    <w:p>
      <w:pPr>
        <w:pStyle w:val="13"/>
        <w:overflowPunct w:val="0"/>
        <w:autoSpaceDE w:val="0"/>
        <w:autoSpaceDN w:val="0"/>
        <w:spacing w:line="240" w:lineRule="auto"/>
        <w:ind w:firstLine="640"/>
        <w:outlineLvl w:val="1"/>
        <w:rPr>
          <w:rFonts w:hint="default"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1.3 型号规格</w:t>
      </w:r>
    </w:p>
    <w:p>
      <w:pPr>
        <w:spacing w:line="520" w:lineRule="exact"/>
        <w:ind w:firstLine="640" w:firstLineChars="200"/>
        <w:rPr>
          <w:rFonts w:eastAsia="仿宋_GB2312"/>
          <w:snapToGrid w:val="0"/>
          <w:color w:val="auto"/>
          <w:kern w:val="0"/>
          <w:sz w:val="32"/>
          <w:szCs w:val="32"/>
          <w:highlight w:val="none"/>
        </w:rPr>
      </w:pPr>
      <w:r>
        <w:rPr>
          <w:rFonts w:hint="eastAsia" w:eastAsia="仿宋_GB2312"/>
          <w:snapToGrid w:val="0"/>
          <w:color w:val="auto"/>
          <w:kern w:val="0"/>
          <w:sz w:val="32"/>
          <w:szCs w:val="32"/>
          <w:highlight w:val="none"/>
        </w:rPr>
        <w:t>需明确申报产品的型号规格。产品</w:t>
      </w:r>
      <w:r>
        <w:rPr>
          <w:rFonts w:eastAsia="仿宋_GB2312"/>
          <w:snapToGrid w:val="0"/>
          <w:color w:val="auto"/>
          <w:kern w:val="0"/>
          <w:sz w:val="32"/>
          <w:szCs w:val="32"/>
          <w:highlight w:val="none"/>
        </w:rPr>
        <w:t>型号规格及其划分，</w:t>
      </w:r>
      <w:r>
        <w:rPr>
          <w:rFonts w:hint="eastAsia" w:eastAsia="仿宋_GB2312"/>
          <w:snapToGrid w:val="0"/>
          <w:color w:val="auto"/>
          <w:kern w:val="0"/>
          <w:sz w:val="32"/>
          <w:szCs w:val="32"/>
          <w:highlight w:val="none"/>
        </w:rPr>
        <w:t>如同一个注册单元包含多个型号规格，需</w:t>
      </w:r>
      <w:r>
        <w:rPr>
          <w:rFonts w:eastAsia="仿宋_GB2312"/>
          <w:snapToGrid w:val="0"/>
          <w:color w:val="auto"/>
          <w:kern w:val="0"/>
          <w:sz w:val="32"/>
          <w:szCs w:val="32"/>
          <w:highlight w:val="none"/>
        </w:rPr>
        <w:t>提供产品型号规格区分列表或配置表。</w:t>
      </w:r>
    </w:p>
    <w:p>
      <w:pPr>
        <w:spacing w:line="520" w:lineRule="exact"/>
        <w:ind w:firstLine="645"/>
        <w:outlineLvl w:val="3"/>
        <w:rPr>
          <w:rFonts w:eastAsia="仿宋_GB2312"/>
          <w:snapToGrid w:val="0"/>
          <w:color w:val="auto"/>
          <w:kern w:val="0"/>
          <w:sz w:val="32"/>
          <w:szCs w:val="32"/>
          <w:highlight w:val="none"/>
        </w:rPr>
      </w:pPr>
      <w:r>
        <w:rPr>
          <w:rFonts w:eastAsia="仿宋_GB2312"/>
          <w:snapToGrid w:val="0"/>
          <w:color w:val="auto"/>
          <w:kern w:val="0"/>
          <w:sz w:val="32"/>
          <w:szCs w:val="32"/>
          <w:highlight w:val="none"/>
        </w:rPr>
        <w:t>1.4包装说明</w:t>
      </w:r>
    </w:p>
    <w:p>
      <w:pPr>
        <w:spacing w:line="520" w:lineRule="exact"/>
        <w:ind w:firstLine="645"/>
        <w:rPr>
          <w:rFonts w:eastAsia="仿宋_GB2312"/>
          <w:snapToGrid w:val="0"/>
          <w:color w:val="auto"/>
          <w:kern w:val="0"/>
          <w:sz w:val="32"/>
          <w:szCs w:val="32"/>
          <w:highlight w:val="none"/>
        </w:rPr>
      </w:pPr>
      <w:r>
        <w:rPr>
          <w:rFonts w:eastAsia="仿宋_GB2312"/>
          <w:snapToGrid w:val="0"/>
          <w:color w:val="auto"/>
          <w:kern w:val="0"/>
          <w:sz w:val="32"/>
          <w:szCs w:val="32"/>
          <w:highlight w:val="none"/>
        </w:rPr>
        <w:t>说明所有产品组成的包装信息、包装</w:t>
      </w:r>
      <w:r>
        <w:rPr>
          <w:rFonts w:hint="eastAsia" w:eastAsia="仿宋_GB2312"/>
          <w:snapToGrid w:val="0"/>
          <w:color w:val="auto"/>
          <w:kern w:val="0"/>
          <w:sz w:val="32"/>
          <w:szCs w:val="32"/>
          <w:highlight w:val="none"/>
        </w:rPr>
        <w:t>防护</w:t>
      </w:r>
      <w:r>
        <w:rPr>
          <w:rFonts w:eastAsia="仿宋_GB2312"/>
          <w:snapToGrid w:val="0"/>
          <w:color w:val="auto"/>
          <w:kern w:val="0"/>
          <w:sz w:val="32"/>
          <w:szCs w:val="32"/>
          <w:highlight w:val="none"/>
        </w:rPr>
        <w:t>系统的信息和如何确保最终使用者可清晰地辨识包装的完整性。</w:t>
      </w:r>
    </w:p>
    <w:p>
      <w:pPr>
        <w:spacing w:line="520" w:lineRule="exact"/>
        <w:ind w:firstLine="645"/>
        <w:outlineLvl w:val="3"/>
        <w:rPr>
          <w:rFonts w:eastAsia="仿宋_GB2312"/>
          <w:snapToGrid w:val="0"/>
          <w:color w:val="auto"/>
          <w:kern w:val="0"/>
          <w:sz w:val="32"/>
          <w:szCs w:val="32"/>
          <w:highlight w:val="none"/>
        </w:rPr>
      </w:pPr>
      <w:r>
        <w:rPr>
          <w:rFonts w:eastAsia="仿宋_GB2312"/>
          <w:snapToGrid w:val="0"/>
          <w:color w:val="auto"/>
          <w:kern w:val="0"/>
          <w:sz w:val="32"/>
          <w:szCs w:val="32"/>
          <w:highlight w:val="none"/>
        </w:rPr>
        <w:t>1.5研发历程</w:t>
      </w:r>
    </w:p>
    <w:p>
      <w:pPr>
        <w:spacing w:line="520" w:lineRule="exact"/>
        <w:ind w:firstLine="645"/>
        <w:rPr>
          <w:rFonts w:eastAsia="仿宋_GB2312"/>
          <w:snapToGrid w:val="0"/>
          <w:color w:val="auto"/>
          <w:kern w:val="0"/>
          <w:sz w:val="32"/>
          <w:szCs w:val="32"/>
          <w:highlight w:val="none"/>
        </w:rPr>
      </w:pPr>
      <w:r>
        <w:rPr>
          <w:rFonts w:eastAsia="仿宋_GB2312"/>
          <w:snapToGrid w:val="0"/>
          <w:color w:val="auto"/>
          <w:kern w:val="0"/>
          <w:sz w:val="32"/>
          <w:szCs w:val="32"/>
          <w:highlight w:val="none"/>
        </w:rPr>
        <w:t>阐述申请注册产品的研发背景和目的。如有参考的同类产品或前代产品，应当提供同类产品或前代产品的信息，并说明选择其作为研发参考的原因。</w:t>
      </w:r>
    </w:p>
    <w:p>
      <w:pPr>
        <w:spacing w:line="520" w:lineRule="exact"/>
        <w:ind w:firstLine="645"/>
        <w:outlineLvl w:val="3"/>
        <w:rPr>
          <w:rFonts w:eastAsia="仿宋_GB2312"/>
          <w:snapToGrid w:val="0"/>
          <w:color w:val="auto"/>
          <w:kern w:val="0"/>
          <w:sz w:val="32"/>
          <w:szCs w:val="32"/>
          <w:highlight w:val="none"/>
        </w:rPr>
      </w:pPr>
      <w:r>
        <w:rPr>
          <w:rFonts w:eastAsia="仿宋_GB2312"/>
          <w:snapToGrid w:val="0"/>
          <w:color w:val="auto"/>
          <w:kern w:val="0"/>
          <w:sz w:val="32"/>
          <w:szCs w:val="32"/>
          <w:highlight w:val="none"/>
        </w:rPr>
        <w:t>1.6与同类和/或前代产品的参考和比较</w:t>
      </w:r>
    </w:p>
    <w:p>
      <w:pPr>
        <w:spacing w:line="520" w:lineRule="exact"/>
        <w:ind w:firstLine="645"/>
        <w:rPr>
          <w:rFonts w:eastAsia="仿宋_GB2312"/>
          <w:snapToGrid w:val="0"/>
          <w:color w:val="auto"/>
          <w:kern w:val="0"/>
          <w:sz w:val="32"/>
          <w:szCs w:val="32"/>
          <w:highlight w:val="none"/>
        </w:rPr>
      </w:pPr>
      <w:r>
        <w:rPr>
          <w:rFonts w:eastAsia="仿宋_GB2312"/>
          <w:snapToGrid w:val="0"/>
          <w:color w:val="auto"/>
          <w:kern w:val="0"/>
          <w:sz w:val="32"/>
          <w:szCs w:val="32"/>
          <w:highlight w:val="none"/>
        </w:rPr>
        <w:t>列表比较说明申报产品与同类产品和/或前代产品在工作原理、结构组成、制造材料、性能指标、作用方式，以及适用范围等方面的异同。</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2.适用范围和禁忌证</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2.1适用范围</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描述申报产品的预期用途，并描述其适用的医疗阶段（如物理治疗等）。明确目标用户及其操作或使用该产品应当具备的技能/知识/培训。说明与其组合使用实现预期用途的其他产品。产品的适用范围应与申报产品的性能、功能相符，并应与临床评价资料结论一致。</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例如，产品的适用范围可描述为：用于配合药物进行药物导入治疗。</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2.2预期使用环境</w:t>
      </w:r>
    </w:p>
    <w:p>
      <w:pPr>
        <w:keepNext w:val="0"/>
        <w:keepLines w:val="0"/>
        <w:widowControl w:val="0"/>
        <w:suppressLineNumbers w:val="0"/>
        <w:spacing w:before="0" w:beforeAutospacing="0" w:after="0" w:afterAutospacing="0"/>
        <w:ind w:left="0" w:right="0" w:firstLine="640" w:firstLineChars="200"/>
        <w:jc w:val="both"/>
        <w:rPr>
          <w:rFonts w:hint="default" w:ascii="仿宋_GB2312" w:hAnsi="Times New Roman" w:eastAsia="仿宋_GB2312" w:cs="仿宋_GB2312"/>
          <w:color w:val="auto"/>
          <w:kern w:val="2"/>
          <w:sz w:val="32"/>
          <w:szCs w:val="32"/>
          <w:highlight w:val="none"/>
          <w:lang w:val="en-US" w:eastAsia="zh-CN"/>
        </w:rPr>
      </w:pPr>
      <w:r>
        <w:rPr>
          <w:rFonts w:hint="default" w:ascii="仿宋_GB2312" w:hAnsi="Times New Roman" w:eastAsia="仿宋_GB2312" w:cs="仿宋_GB2312"/>
          <w:color w:val="auto"/>
          <w:kern w:val="2"/>
          <w:sz w:val="32"/>
          <w:szCs w:val="32"/>
          <w:highlight w:val="none"/>
          <w:lang w:val="en-US" w:eastAsia="zh-CN"/>
        </w:rPr>
        <w:t>应明确该产品预期使用的地点、可能影响其安全性和有效性的环境条件。</w:t>
      </w:r>
    </w:p>
    <w:p>
      <w:pPr>
        <w:keepNext w:val="0"/>
        <w:keepLines w:val="0"/>
        <w:widowControl w:val="0"/>
        <w:suppressLineNumbers w:val="0"/>
        <w:spacing w:before="0" w:beforeAutospacing="0" w:after="0" w:afterAutospacing="0"/>
        <w:ind w:left="0" w:right="0" w:firstLine="640" w:firstLineChars="200"/>
        <w:jc w:val="both"/>
        <w:rPr>
          <w:rFonts w:hint="default" w:ascii="仿宋_GB2312" w:hAnsi="Times New Roman" w:eastAsia="仿宋_GB2312" w:cs="仿宋_GB2312"/>
          <w:color w:val="auto"/>
          <w:kern w:val="2"/>
          <w:sz w:val="32"/>
          <w:szCs w:val="32"/>
          <w:highlight w:val="none"/>
          <w:lang w:val="en-US" w:eastAsia="zh-CN"/>
        </w:rPr>
      </w:pPr>
      <w:r>
        <w:rPr>
          <w:rFonts w:hint="default" w:ascii="仿宋_GB2312" w:hAnsi="Times New Roman" w:eastAsia="仿宋_GB2312" w:cs="仿宋_GB2312"/>
          <w:color w:val="auto"/>
          <w:kern w:val="2"/>
          <w:sz w:val="32"/>
          <w:szCs w:val="32"/>
          <w:highlight w:val="none"/>
          <w:lang w:val="en-US" w:eastAsia="zh-CN"/>
        </w:rPr>
        <w:t>明确本产品预期在各级医院、门诊等医疗机构使用。应参照GB 9706.1说明推荐的硬件使用条件，也即申报产品的正常工作条件，包括温度、湿度、海拔高度/大气压强、电源要求等，对每一条件均应给出具体的指标要求。</w:t>
      </w:r>
    </w:p>
    <w:p>
      <w:pPr>
        <w:spacing w:line="520" w:lineRule="exact"/>
        <w:ind w:firstLine="640" w:firstLineChars="200"/>
        <w:rPr>
          <w:rFonts w:eastAsia="仿宋_GB2312"/>
          <w:color w:val="auto"/>
          <w:sz w:val="32"/>
          <w:szCs w:val="28"/>
          <w:highlight w:val="none"/>
        </w:rPr>
      </w:pPr>
      <w:r>
        <w:rPr>
          <w:rFonts w:hint="eastAsia" w:eastAsia="仿宋_GB2312"/>
          <w:color w:val="auto"/>
          <w:sz w:val="32"/>
          <w:szCs w:val="28"/>
          <w:highlight w:val="none"/>
        </w:rPr>
        <w:t>2</w:t>
      </w:r>
      <w:r>
        <w:rPr>
          <w:rFonts w:eastAsia="仿宋_GB2312"/>
          <w:color w:val="auto"/>
          <w:sz w:val="32"/>
          <w:szCs w:val="28"/>
          <w:highlight w:val="none"/>
        </w:rPr>
        <w:t>.3适用人群</w:t>
      </w:r>
    </w:p>
    <w:p>
      <w:pPr>
        <w:keepNext w:val="0"/>
        <w:keepLines w:val="0"/>
        <w:widowControl w:val="0"/>
        <w:suppressLineNumbers w:val="0"/>
        <w:spacing w:before="0" w:beforeAutospacing="0" w:after="0" w:afterAutospacing="0" w:line="520" w:lineRule="exact"/>
        <w:ind w:left="0" w:right="0" w:firstLine="640" w:firstLineChars="200"/>
        <w:jc w:val="both"/>
        <w:rPr>
          <w:rFonts w:ascii="Times New Roman" w:hAnsi="Times New Roman" w:eastAsia="仿宋_GB2312"/>
          <w:color w:val="auto"/>
          <w:sz w:val="32"/>
          <w:szCs w:val="28"/>
          <w:highlight w:val="none"/>
        </w:rPr>
      </w:pPr>
      <w:r>
        <w:rPr>
          <w:rFonts w:hint="default" w:ascii="仿宋_GB2312" w:hAnsi="Times New Roman" w:eastAsia="仿宋_GB2312" w:cs="仿宋_GB2312"/>
          <w:color w:val="auto"/>
          <w:kern w:val="2"/>
          <w:sz w:val="32"/>
          <w:szCs w:val="32"/>
          <w:highlight w:val="none"/>
          <w:lang w:val="en-US" w:eastAsia="zh-CN"/>
        </w:rPr>
        <w:t>申请人应当明确目标患者人群的信息。如申报产品目标患者人群包含儿童，应当描述预期使用申报产品治疗、预防、缓解或治愈疾病、病况的非成人特定群体。</w:t>
      </w:r>
    </w:p>
    <w:p>
      <w:pPr>
        <w:spacing w:line="520" w:lineRule="exact"/>
        <w:ind w:firstLine="645"/>
        <w:outlineLvl w:val="3"/>
        <w:rPr>
          <w:rFonts w:hint="eastAsia" w:eastAsia="仿宋_GB2312"/>
          <w:color w:val="auto"/>
          <w:sz w:val="32"/>
          <w:szCs w:val="28"/>
          <w:highlight w:val="none"/>
        </w:rPr>
      </w:pPr>
      <w:r>
        <w:rPr>
          <w:rFonts w:eastAsia="仿宋_GB2312"/>
          <w:color w:val="auto"/>
          <w:sz w:val="32"/>
          <w:szCs w:val="28"/>
          <w:highlight w:val="none"/>
        </w:rPr>
        <w:t>2.4禁忌</w:t>
      </w:r>
      <w:r>
        <w:rPr>
          <w:rFonts w:hint="eastAsia" w:eastAsia="仿宋_GB2312"/>
          <w:color w:val="auto"/>
          <w:sz w:val="32"/>
          <w:szCs w:val="28"/>
          <w:highlight w:val="none"/>
        </w:rPr>
        <w:t>证</w:t>
      </w:r>
    </w:p>
    <w:p>
      <w:pPr>
        <w:keepNext w:val="0"/>
        <w:keepLines w:val="0"/>
        <w:widowControl w:val="0"/>
        <w:suppressLineNumbers w:val="0"/>
        <w:spacing w:before="0" w:beforeAutospacing="0" w:after="0" w:afterAutospacing="0"/>
        <w:ind w:left="0" w:right="0" w:firstLine="640" w:firstLineChars="200"/>
        <w:jc w:val="both"/>
        <w:rPr>
          <w:rFonts w:hint="eastAsia" w:eastAsia="仿宋_GB2312"/>
          <w:color w:val="auto"/>
          <w:sz w:val="32"/>
          <w:szCs w:val="28"/>
          <w:highlight w:val="none"/>
        </w:rPr>
      </w:pPr>
      <w:r>
        <w:rPr>
          <w:rFonts w:hint="default" w:ascii="仿宋_GB2312" w:hAnsi="Times New Roman" w:eastAsia="仿宋_GB2312" w:cs="仿宋_GB2312"/>
          <w:color w:val="auto"/>
          <w:kern w:val="2"/>
          <w:sz w:val="32"/>
          <w:szCs w:val="32"/>
          <w:highlight w:val="none"/>
          <w:lang w:val="en-US" w:eastAsia="zh-CN"/>
        </w:rPr>
        <w:t>应当明确说明该产品禁忌应用的特定人群、疾病种类等。</w:t>
      </w:r>
    </w:p>
    <w:p>
      <w:pPr>
        <w:keepNext w:val="0"/>
        <w:keepLines w:val="0"/>
        <w:widowControl w:val="0"/>
        <w:suppressLineNumbers w:val="0"/>
        <w:spacing w:before="0" w:beforeAutospacing="0" w:after="0" w:afterAutospacing="0"/>
        <w:ind w:left="0" w:right="0" w:firstLine="640" w:firstLineChars="200"/>
        <w:jc w:val="both"/>
        <w:rPr>
          <w:rFonts w:hint="eastAsia" w:eastAsia="仿宋_GB2312"/>
          <w:snapToGrid w:val="0"/>
          <w:color w:val="auto"/>
          <w:kern w:val="0"/>
          <w:sz w:val="32"/>
          <w:szCs w:val="32"/>
          <w:highlight w:val="none"/>
        </w:rPr>
      </w:pPr>
      <w:r>
        <w:rPr>
          <w:rFonts w:hint="eastAsia" w:ascii="仿宋_GB2312" w:hAnsi="Times New Roman" w:eastAsia="仿宋_GB2312" w:cs="仿宋_GB2312"/>
          <w:color w:val="auto"/>
          <w:kern w:val="2"/>
          <w:sz w:val="32"/>
          <w:szCs w:val="32"/>
          <w:highlight w:val="none"/>
          <w:lang w:val="en-US" w:eastAsia="zh-CN"/>
        </w:rPr>
        <w:t>例如</w:t>
      </w:r>
      <w:r>
        <w:rPr>
          <w:rFonts w:hint="default" w:ascii="仿宋_GB2312" w:hAnsi="Times New Roman" w:eastAsia="仿宋_GB2312" w:cs="仿宋_GB2312"/>
          <w:color w:val="auto"/>
          <w:kern w:val="2"/>
          <w:sz w:val="32"/>
          <w:szCs w:val="32"/>
          <w:highlight w:val="none"/>
          <w:lang w:val="en-US" w:eastAsia="zh-CN"/>
        </w:rPr>
        <w:t>：</w:t>
      </w:r>
      <w:r>
        <w:rPr>
          <w:rFonts w:hint="eastAsia" w:eastAsia="仿宋_GB2312"/>
          <w:snapToGrid w:val="0"/>
          <w:color w:val="auto"/>
          <w:kern w:val="0"/>
          <w:sz w:val="32"/>
          <w:szCs w:val="32"/>
          <w:highlight w:val="none"/>
        </w:rPr>
        <w:t>1.儿童、孕妇、佩戴心脏起搏器/植入式电子器械患者、癫痫患者、凝血功能障碍患者；</w:t>
      </w:r>
    </w:p>
    <w:p>
      <w:pPr>
        <w:keepNext w:val="0"/>
        <w:keepLines w:val="0"/>
        <w:widowControl w:val="0"/>
        <w:suppressLineNumbers w:val="0"/>
        <w:spacing w:before="0" w:beforeAutospacing="0" w:after="0" w:afterAutospacing="0"/>
        <w:ind w:left="0" w:right="0" w:firstLine="640" w:firstLineChars="200"/>
        <w:jc w:val="both"/>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2.头部、眼球、破损感染创面、血管明显曲张部位禁止电极放置；</w:t>
      </w:r>
    </w:p>
    <w:p>
      <w:pPr>
        <w:keepNext w:val="0"/>
        <w:keepLines w:val="0"/>
        <w:widowControl w:val="0"/>
        <w:suppressLineNumbers w:val="0"/>
        <w:spacing w:before="0" w:beforeAutospacing="0" w:after="0" w:afterAutospacing="0"/>
        <w:ind w:left="0" w:right="0" w:firstLine="640" w:firstLineChars="200"/>
        <w:jc w:val="both"/>
        <w:rPr>
          <w:rFonts w:hint="eastAsia" w:eastAsia="仿宋_GB2312"/>
          <w:snapToGrid w:val="0"/>
          <w:color w:val="auto"/>
          <w:kern w:val="0"/>
          <w:sz w:val="32"/>
          <w:szCs w:val="32"/>
          <w:highlight w:val="none"/>
          <w:lang w:val="en-US" w:eastAsia="zh-CN"/>
        </w:rPr>
      </w:pPr>
      <w:r>
        <w:rPr>
          <w:rFonts w:hint="eastAsia" w:eastAsia="仿宋_GB2312"/>
          <w:snapToGrid w:val="0"/>
          <w:color w:val="auto"/>
          <w:kern w:val="0"/>
          <w:sz w:val="32"/>
          <w:szCs w:val="32"/>
          <w:highlight w:val="none"/>
        </w:rPr>
        <w:t>3.离子导入不耐受或者电极材质过敏者、严重心脑血管疾病、急性炎症、出血倾向、皮肤溃疡、感觉神经缺失者禁用</w:t>
      </w:r>
      <w:r>
        <w:rPr>
          <w:rFonts w:hint="eastAsia" w:eastAsia="仿宋_GB2312"/>
          <w:snapToGrid w:val="0"/>
          <w:color w:val="auto"/>
          <w:kern w:val="0"/>
          <w:sz w:val="32"/>
          <w:szCs w:val="32"/>
          <w:highlight w:val="none"/>
          <w:lang w:eastAsia="zh-CN"/>
        </w:rPr>
        <w:t>。</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仿宋_GB2312"/>
          <w:color w:val="auto"/>
          <w:kern w:val="2"/>
          <w:sz w:val="32"/>
          <w:szCs w:val="32"/>
          <w:highlight w:val="none"/>
          <w:lang w:val="en-US" w:eastAsia="zh-CN"/>
        </w:rPr>
      </w:pPr>
      <w:r>
        <w:rPr>
          <w:rFonts w:hint="eastAsia" w:ascii="仿宋_GB2312" w:hAnsi="Times New Roman" w:eastAsia="仿宋_GB2312" w:cs="仿宋_GB2312"/>
          <w:color w:val="auto"/>
          <w:kern w:val="2"/>
          <w:sz w:val="32"/>
          <w:szCs w:val="32"/>
          <w:highlight w:val="none"/>
          <w:lang w:val="en-US" w:eastAsia="zh-CN"/>
        </w:rPr>
        <w:t>2.5</w:t>
      </w:r>
      <w:r>
        <w:rPr>
          <w:rFonts w:hint="default" w:ascii="仿宋_GB2312" w:hAnsi="Times New Roman" w:eastAsia="仿宋_GB2312" w:cs="仿宋_GB2312"/>
          <w:color w:val="auto"/>
          <w:kern w:val="2"/>
          <w:sz w:val="32"/>
          <w:szCs w:val="32"/>
          <w:highlight w:val="none"/>
          <w:lang w:val="en-US" w:eastAsia="zh-CN"/>
        </w:rPr>
        <w:t>其它需说明的内容</w:t>
      </w:r>
    </w:p>
    <w:p>
      <w:pPr>
        <w:keepNext w:val="0"/>
        <w:keepLines w:val="0"/>
        <w:widowControl w:val="0"/>
        <w:suppressLineNumbers w:val="0"/>
        <w:spacing w:before="0" w:beforeAutospacing="0" w:after="0" w:afterAutospacing="0" w:line="520" w:lineRule="exact"/>
        <w:ind w:left="0" w:right="0" w:firstLine="640" w:firstLineChars="200"/>
        <w:jc w:val="both"/>
        <w:rPr>
          <w:rFonts w:hint="eastAsia" w:eastAsia="仿宋_GB2312"/>
          <w:snapToGrid w:val="0"/>
          <w:color w:val="auto"/>
          <w:kern w:val="0"/>
          <w:sz w:val="32"/>
          <w:szCs w:val="32"/>
          <w:highlight w:val="none"/>
        </w:rPr>
      </w:pPr>
      <w:r>
        <w:rPr>
          <w:rFonts w:hint="default" w:ascii="仿宋_GB2312" w:hAnsi="Times New Roman" w:eastAsia="仿宋_GB2312" w:cs="仿宋_GB2312"/>
          <w:color w:val="auto"/>
          <w:kern w:val="2"/>
          <w:sz w:val="32"/>
          <w:szCs w:val="32"/>
          <w:highlight w:val="none"/>
          <w:lang w:val="en-US" w:eastAsia="zh-CN"/>
        </w:rPr>
        <w:t>申请人应说明与其组合使用实现预期用途的其他产品及其上市信息等。说明是否需与其他设备</w:t>
      </w:r>
      <w:r>
        <w:rPr>
          <w:rFonts w:hint="eastAsia" w:ascii="仿宋_GB2312" w:hAnsi="Times New Roman" w:eastAsia="仿宋_GB2312" w:cs="仿宋_GB2312"/>
          <w:color w:val="auto"/>
          <w:kern w:val="2"/>
          <w:sz w:val="32"/>
          <w:szCs w:val="32"/>
          <w:highlight w:val="none"/>
          <w:lang w:val="en-US" w:eastAsia="zh-CN"/>
        </w:rPr>
        <w:t>或附件</w:t>
      </w:r>
      <w:r>
        <w:rPr>
          <w:rFonts w:hint="default" w:ascii="仿宋_GB2312" w:hAnsi="Times New Roman" w:eastAsia="仿宋_GB2312" w:cs="仿宋_GB2312"/>
          <w:color w:val="auto"/>
          <w:kern w:val="2"/>
          <w:sz w:val="32"/>
          <w:szCs w:val="32"/>
          <w:highlight w:val="none"/>
          <w:lang w:val="en-US" w:eastAsia="zh-CN"/>
        </w:rPr>
        <w:t>组合使用。</w:t>
      </w:r>
    </w:p>
    <w:p>
      <w:pPr>
        <w:spacing w:line="520" w:lineRule="exact"/>
        <w:ind w:firstLine="645"/>
        <w:outlineLvl w:val="2"/>
        <w:rPr>
          <w:rFonts w:eastAsia="仿宋_GB2312"/>
          <w:snapToGrid w:val="0"/>
          <w:color w:val="auto"/>
          <w:kern w:val="0"/>
          <w:sz w:val="32"/>
          <w:szCs w:val="32"/>
          <w:highlight w:val="none"/>
        </w:rPr>
      </w:pPr>
      <w:r>
        <w:rPr>
          <w:rFonts w:hint="eastAsia" w:eastAsia="仿宋_GB2312"/>
          <w:snapToGrid w:val="0"/>
          <w:color w:val="auto"/>
          <w:kern w:val="0"/>
          <w:sz w:val="32"/>
          <w:szCs w:val="32"/>
          <w:highlight w:val="none"/>
        </w:rPr>
        <w:t>3.申报产品上市历史</w:t>
      </w:r>
    </w:p>
    <w:p>
      <w:pPr>
        <w:spacing w:line="520" w:lineRule="exact"/>
        <w:ind w:firstLine="645"/>
        <w:rPr>
          <w:rFonts w:eastAsia="仿宋_GB2312"/>
          <w:snapToGrid w:val="0"/>
          <w:color w:val="auto"/>
          <w:kern w:val="0"/>
          <w:sz w:val="32"/>
          <w:szCs w:val="32"/>
          <w:highlight w:val="none"/>
        </w:rPr>
      </w:pPr>
      <w:r>
        <w:rPr>
          <w:rFonts w:hint="eastAsia" w:eastAsia="仿宋_GB2312"/>
          <w:snapToGrid w:val="0"/>
          <w:color w:val="auto"/>
          <w:kern w:val="0"/>
          <w:sz w:val="32"/>
          <w:szCs w:val="32"/>
          <w:highlight w:val="none"/>
        </w:rPr>
        <w:t>如适用，应当提交申报产品的下列资料：</w:t>
      </w:r>
    </w:p>
    <w:p>
      <w:pPr>
        <w:spacing w:line="520" w:lineRule="exact"/>
        <w:ind w:firstLine="645"/>
        <w:outlineLvl w:val="3"/>
        <w:rPr>
          <w:rFonts w:eastAsia="仿宋_GB2312"/>
          <w:snapToGrid w:val="0"/>
          <w:color w:val="auto"/>
          <w:kern w:val="0"/>
          <w:sz w:val="32"/>
          <w:szCs w:val="32"/>
          <w:highlight w:val="none"/>
        </w:rPr>
      </w:pPr>
      <w:r>
        <w:rPr>
          <w:rFonts w:hint="eastAsia" w:eastAsia="仿宋_GB2312"/>
          <w:snapToGrid w:val="0"/>
          <w:color w:val="auto"/>
          <w:kern w:val="0"/>
          <w:sz w:val="32"/>
          <w:szCs w:val="32"/>
          <w:highlight w:val="none"/>
        </w:rPr>
        <w:t>3.1上市情况</w:t>
      </w:r>
    </w:p>
    <w:p>
      <w:pPr>
        <w:spacing w:line="520" w:lineRule="exact"/>
        <w:ind w:firstLine="645"/>
        <w:rPr>
          <w:rFonts w:eastAsia="仿宋_GB2312"/>
          <w:snapToGrid w:val="0"/>
          <w:color w:val="auto"/>
          <w:kern w:val="0"/>
          <w:sz w:val="32"/>
          <w:szCs w:val="32"/>
          <w:highlight w:val="none"/>
        </w:rPr>
      </w:pPr>
      <w:r>
        <w:rPr>
          <w:rFonts w:hint="eastAsia" w:eastAsia="仿宋_GB2312"/>
          <w:snapToGrid w:val="0"/>
          <w:color w:val="auto"/>
          <w:kern w:val="0"/>
          <w:sz w:val="32"/>
          <w:szCs w:val="32"/>
          <w:highlight w:val="none"/>
        </w:rPr>
        <w:t>截至提交注册申请前，申报产品在各国家或地区的上市批准情况、销售情况。若申报产品在不同国家或地区上市时有差异（如设计、标签、技术参数等），应当逐一描述。</w:t>
      </w:r>
    </w:p>
    <w:p>
      <w:pPr>
        <w:spacing w:line="520" w:lineRule="exact"/>
        <w:ind w:firstLine="645"/>
        <w:outlineLvl w:val="3"/>
        <w:rPr>
          <w:rFonts w:eastAsia="仿宋_GB2312"/>
          <w:snapToGrid w:val="0"/>
          <w:color w:val="auto"/>
          <w:kern w:val="0"/>
          <w:sz w:val="32"/>
          <w:szCs w:val="32"/>
          <w:highlight w:val="none"/>
        </w:rPr>
      </w:pPr>
      <w:r>
        <w:rPr>
          <w:rFonts w:hint="eastAsia" w:eastAsia="仿宋_GB2312"/>
          <w:snapToGrid w:val="0"/>
          <w:color w:val="auto"/>
          <w:kern w:val="0"/>
          <w:sz w:val="32"/>
          <w:szCs w:val="32"/>
          <w:highlight w:val="none"/>
        </w:rPr>
        <w:t>3.2不良事件和召回</w:t>
      </w:r>
    </w:p>
    <w:p>
      <w:pPr>
        <w:spacing w:line="520" w:lineRule="exact"/>
        <w:ind w:firstLine="645"/>
        <w:rPr>
          <w:rFonts w:eastAsia="仿宋_GB2312"/>
          <w:bCs/>
          <w:color w:val="auto"/>
          <w:sz w:val="32"/>
          <w:szCs w:val="32"/>
          <w:highlight w:val="none"/>
          <w:lang w:val="en-CA"/>
        </w:rPr>
      </w:pPr>
      <w:r>
        <w:rPr>
          <w:rFonts w:hint="eastAsia" w:eastAsia="仿宋_GB2312"/>
          <w:snapToGrid w:val="0"/>
          <w:color w:val="auto"/>
          <w:kern w:val="0"/>
          <w:sz w:val="32"/>
          <w:szCs w:val="32"/>
          <w:highlight w:val="none"/>
          <w:lang w:val="en-CA"/>
        </w:rPr>
        <w:t>如适用，应当以列表形式分别对申报产品上市后发生的不良事件、召回的发生时间以</w:t>
      </w:r>
      <w:r>
        <w:rPr>
          <w:rFonts w:eastAsia="仿宋_GB2312"/>
          <w:bCs/>
          <w:color w:val="auto"/>
          <w:sz w:val="32"/>
          <w:szCs w:val="32"/>
          <w:highlight w:val="none"/>
          <w:lang w:val="en-CA"/>
        </w:rPr>
        <w:t>及每一种情况下申请人采取的处理和解决方案，包括主动控制产品风险的措施，向医疗器械不良事件监测技术机构报告的情况，相关部门的调查处理情况等进行描述。</w:t>
      </w:r>
    </w:p>
    <w:p>
      <w:pPr>
        <w:spacing w:line="520" w:lineRule="exact"/>
        <w:ind w:firstLine="640" w:firstLineChars="200"/>
        <w:rPr>
          <w:rFonts w:eastAsia="仿宋_GB2312"/>
          <w:bCs/>
          <w:color w:val="auto"/>
          <w:sz w:val="32"/>
          <w:szCs w:val="32"/>
          <w:highlight w:val="none"/>
          <w:lang w:val="en-CA"/>
        </w:rPr>
      </w:pPr>
      <w:r>
        <w:rPr>
          <w:rFonts w:eastAsia="仿宋_GB2312"/>
          <w:bCs/>
          <w:color w:val="auto"/>
          <w:sz w:val="32"/>
          <w:szCs w:val="32"/>
          <w:highlight w:val="none"/>
          <w:lang w:val="en-CA"/>
        </w:rPr>
        <w:t>同时，应当对上述不良事件、召回进行分析评价，阐明不良事件、召回发生的原因并对其安全性、有效性的影响予以说明。若不良事件、召回数量大，应当根据事件类型总结每个类型涉及的数量。</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bookmarkStart w:id="0" w:name="_Toc432753649"/>
      <w:r>
        <w:rPr>
          <w:rFonts w:hint="eastAsia" w:ascii="Times New Roman" w:hAnsi="Times New Roman" w:eastAsia="仿宋_GB2312" w:cs="Times New Roman"/>
          <w:color w:val="auto"/>
          <w:kern w:val="2"/>
          <w:sz w:val="32"/>
          <w:szCs w:val="20"/>
          <w:highlight w:val="none"/>
          <w:lang w:val="en-US" w:eastAsia="zh-CN" w:bidi="ar-SA"/>
        </w:rPr>
        <w:t>（三）非临床资料</w:t>
      </w:r>
    </w:p>
    <w:p>
      <w:pPr>
        <w:pStyle w:val="13"/>
        <w:overflowPunct w:val="0"/>
        <w:autoSpaceDE w:val="0"/>
        <w:autoSpaceDN w:val="0"/>
        <w:spacing w:line="520" w:lineRule="exact"/>
        <w:ind w:firstLine="640"/>
        <w:outlineLvl w:val="1"/>
        <w:rPr>
          <w:rFonts w:hint="eastAsia" w:ascii="Times New Roman" w:hAnsi="Times New Roman" w:eastAsia="仿宋_GB2312" w:cs="Times New Roman"/>
          <w:color w:val="auto"/>
          <w:kern w:val="2"/>
          <w:sz w:val="32"/>
          <w:szCs w:val="20"/>
          <w:highlight w:val="none"/>
          <w:lang w:val="en-US" w:eastAsia="zh-CN" w:bidi="ar-SA"/>
        </w:rPr>
      </w:pPr>
      <w:r>
        <w:rPr>
          <w:rFonts w:hint="eastAsia" w:ascii="Times New Roman" w:hAnsi="Times New Roman" w:eastAsia="仿宋_GB2312" w:cs="Times New Roman"/>
          <w:color w:val="auto"/>
          <w:kern w:val="2"/>
          <w:sz w:val="32"/>
          <w:szCs w:val="20"/>
          <w:highlight w:val="none"/>
          <w:lang w:val="en-US" w:eastAsia="zh-CN" w:bidi="ar-SA"/>
        </w:rPr>
        <w:t>1.产品风险</w:t>
      </w:r>
      <w:bookmarkEnd w:id="0"/>
      <w:r>
        <w:rPr>
          <w:rFonts w:hint="eastAsia" w:ascii="Times New Roman" w:hAnsi="Times New Roman" w:eastAsia="仿宋_GB2312" w:cs="Times New Roman"/>
          <w:color w:val="auto"/>
          <w:kern w:val="2"/>
          <w:sz w:val="32"/>
          <w:szCs w:val="20"/>
          <w:highlight w:val="none"/>
          <w:lang w:val="en-US" w:eastAsia="zh-CN" w:bidi="ar-SA"/>
        </w:rPr>
        <w:t>管理资料</w:t>
      </w:r>
    </w:p>
    <w:p>
      <w:pPr>
        <w:pStyle w:val="13"/>
        <w:keepNext w:val="0"/>
        <w:keepLines w:val="0"/>
        <w:widowControl w:val="0"/>
        <w:suppressLineNumbers w:val="0"/>
        <w:overflowPunct w:val="0"/>
        <w:autoSpaceDE w:val="0"/>
        <w:autoSpaceDN w:val="0"/>
        <w:spacing w:before="0" w:beforeAutospacing="0" w:after="0" w:afterAutospacing="0" w:line="520" w:lineRule="exact"/>
        <w:ind w:left="0" w:right="0" w:firstLine="640" w:firstLineChars="200"/>
        <w:jc w:val="both"/>
        <w:outlineLvl w:val="1"/>
        <w:rPr>
          <w:rFonts w:hint="default" w:ascii="Times New Roman" w:hAnsi="Times New Roman" w:eastAsia="仿宋_GB2312" w:cs="Times New Roman"/>
          <w:color w:val="auto"/>
          <w:kern w:val="2"/>
          <w:sz w:val="32"/>
          <w:szCs w:val="32"/>
          <w:highlight w:val="none"/>
        </w:rPr>
      </w:pPr>
      <w:r>
        <w:rPr>
          <w:rFonts w:hint="default" w:ascii="仿宋_GB2312" w:hAnsi="Times New Roman" w:eastAsia="仿宋_GB2312" w:cs="仿宋_GB2312"/>
          <w:color w:val="auto"/>
          <w:kern w:val="2"/>
          <w:sz w:val="32"/>
          <w:szCs w:val="32"/>
          <w:highlight w:val="none"/>
          <w:lang w:val="en-US" w:eastAsia="zh-CN"/>
        </w:rPr>
        <w:t>申请人可参考</w:t>
      </w:r>
      <w:r>
        <w:rPr>
          <w:rFonts w:hint="default" w:ascii="Times New Roman" w:hAnsi="Times New Roman" w:eastAsia="仿宋_GB2312" w:cs="Times New Roman"/>
          <w:color w:val="auto"/>
          <w:kern w:val="2"/>
          <w:sz w:val="32"/>
          <w:szCs w:val="32"/>
          <w:highlight w:val="none"/>
          <w:lang w:val="en-US" w:eastAsia="zh-CN"/>
        </w:rPr>
        <w:t>GB/T 42062</w:t>
      </w:r>
      <w:r>
        <w:rPr>
          <w:rFonts w:hint="default" w:ascii="仿宋_GB2312" w:hAnsi="Times New Roman" w:eastAsia="仿宋_GB2312" w:cs="仿宋_GB2312"/>
          <w:color w:val="auto"/>
          <w:kern w:val="2"/>
          <w:sz w:val="32"/>
          <w:szCs w:val="32"/>
          <w:highlight w:val="none"/>
          <w:lang w:val="en-US" w:eastAsia="zh-CN"/>
        </w:rPr>
        <w:t>及</w:t>
      </w:r>
      <w:r>
        <w:rPr>
          <w:rFonts w:hint="default" w:ascii="Times New Roman" w:hAnsi="Times New Roman" w:eastAsia="仿宋_GB2312" w:cs="Times New Roman"/>
          <w:color w:val="auto"/>
          <w:kern w:val="2"/>
          <w:sz w:val="32"/>
          <w:szCs w:val="32"/>
          <w:highlight w:val="none"/>
          <w:lang w:val="en-US" w:eastAsia="zh-CN"/>
        </w:rPr>
        <w:t>YY/T 1437</w:t>
      </w:r>
      <w:r>
        <w:rPr>
          <w:rFonts w:hint="default" w:ascii="仿宋_GB2312" w:hAnsi="Times New Roman" w:eastAsia="仿宋_GB2312" w:cs="仿宋_GB2312"/>
          <w:color w:val="auto"/>
          <w:kern w:val="2"/>
          <w:sz w:val="32"/>
          <w:szCs w:val="32"/>
          <w:highlight w:val="none"/>
          <w:lang w:val="en-US" w:eastAsia="zh-CN"/>
        </w:rPr>
        <w:t>标准对产品进行全生命周期风险管理，提交风险管理资料。</w:t>
      </w:r>
    </w:p>
    <w:p>
      <w:pPr>
        <w:keepNext w:val="0"/>
        <w:keepLines w:val="0"/>
        <w:widowControl w:val="0"/>
        <w:suppressLineNumbers w:val="0"/>
        <w:spacing w:before="0" w:beforeAutospacing="0" w:after="0" w:afterAutospacing="0"/>
        <w:ind w:left="0" w:right="0"/>
        <w:jc w:val="both"/>
        <w:rPr>
          <w:rFonts w:hint="default" w:ascii="仿宋_GB2312" w:hAnsi="Times New Roman" w:eastAsia="仿宋_GB2312" w:cs="仿宋_GB2312"/>
          <w:color w:val="auto"/>
          <w:kern w:val="2"/>
          <w:sz w:val="32"/>
          <w:szCs w:val="32"/>
          <w:highlight w:val="none"/>
          <w:lang w:val="en-US" w:eastAsia="zh-CN"/>
        </w:rPr>
      </w:pPr>
      <w:r>
        <w:rPr>
          <w:rFonts w:hint="default" w:ascii="仿宋_GB2312" w:hAnsi="Times New Roman" w:eastAsia="仿宋_GB2312" w:cs="仿宋_GB2312"/>
          <w:color w:val="auto"/>
          <w:kern w:val="2"/>
          <w:sz w:val="32"/>
          <w:szCs w:val="32"/>
          <w:highlight w:val="none"/>
          <w:lang w:val="en-US" w:eastAsia="zh-CN"/>
        </w:rPr>
        <w:t>建议参考</w:t>
      </w:r>
      <w:r>
        <w:rPr>
          <w:rFonts w:hint="default" w:ascii="Times New Roman" w:hAnsi="Times New Roman" w:eastAsia="仿宋_GB2312" w:cs="Times New Roman"/>
          <w:color w:val="auto"/>
          <w:kern w:val="2"/>
          <w:sz w:val="32"/>
          <w:szCs w:val="32"/>
          <w:highlight w:val="none"/>
          <w:lang w:val="en-US" w:eastAsia="zh-CN"/>
        </w:rPr>
        <w:t>GB/T 42062</w:t>
      </w:r>
      <w:r>
        <w:rPr>
          <w:rFonts w:hint="default" w:ascii="仿宋_GB2312" w:hAnsi="Times New Roman" w:eastAsia="仿宋_GB2312" w:cs="仿宋_GB2312"/>
          <w:color w:val="auto"/>
          <w:kern w:val="2"/>
          <w:sz w:val="32"/>
          <w:szCs w:val="32"/>
          <w:highlight w:val="none"/>
          <w:lang w:val="en-US" w:eastAsia="zh-CN"/>
        </w:rPr>
        <w:t>标准、适用的安全标准（如</w:t>
      </w:r>
      <w:r>
        <w:rPr>
          <w:rFonts w:hint="default" w:ascii="Times New Roman" w:hAnsi="Times New Roman" w:eastAsia="仿宋_GB2312" w:cs="Times New Roman"/>
          <w:color w:val="auto"/>
          <w:kern w:val="2"/>
          <w:sz w:val="32"/>
          <w:szCs w:val="32"/>
          <w:highlight w:val="none"/>
          <w:lang w:val="en-US" w:eastAsia="zh-CN"/>
        </w:rPr>
        <w:t>GB 9706.1</w:t>
      </w:r>
      <w:r>
        <w:rPr>
          <w:rFonts w:hint="default" w:ascii="仿宋_GB2312" w:hAnsi="Times New Roman" w:eastAsia="仿宋_GB2312" w:cs="仿宋_GB2312"/>
          <w:color w:val="auto"/>
          <w:kern w:val="2"/>
          <w:sz w:val="32"/>
          <w:szCs w:val="32"/>
          <w:highlight w:val="none"/>
          <w:lang w:val="en-US" w:eastAsia="zh-CN"/>
        </w:rPr>
        <w:t>）及规范性文件，结合产品自身设计特点、临床用途及使用场景，充分识别与安全有关的特征，进行风险分析、评价及控制。风险控制的方案与实施、综合剩余风险的评价可参考</w:t>
      </w:r>
      <w:r>
        <w:rPr>
          <w:rFonts w:hint="default" w:ascii="Times New Roman" w:hAnsi="Times New Roman" w:eastAsia="仿宋_GB2312" w:cs="Times New Roman"/>
          <w:color w:val="auto"/>
          <w:kern w:val="2"/>
          <w:sz w:val="32"/>
          <w:szCs w:val="32"/>
          <w:highlight w:val="none"/>
          <w:lang w:val="en-US" w:eastAsia="zh-CN"/>
        </w:rPr>
        <w:t>GB/T 42062</w:t>
      </w:r>
      <w:r>
        <w:rPr>
          <w:rFonts w:hint="default" w:ascii="仿宋_GB2312" w:hAnsi="Times New Roman" w:eastAsia="仿宋_GB2312" w:cs="仿宋_GB2312"/>
          <w:color w:val="auto"/>
          <w:kern w:val="2"/>
          <w:sz w:val="32"/>
          <w:szCs w:val="32"/>
          <w:highlight w:val="none"/>
          <w:lang w:val="en-US" w:eastAsia="zh-CN"/>
        </w:rPr>
        <w:t>标准第</w:t>
      </w:r>
      <w:r>
        <w:rPr>
          <w:rFonts w:hint="default" w:ascii="Times New Roman" w:hAnsi="Times New Roman" w:eastAsia="仿宋_GB2312" w:cs="Times New Roman"/>
          <w:color w:val="auto"/>
          <w:kern w:val="2"/>
          <w:sz w:val="32"/>
          <w:szCs w:val="32"/>
          <w:highlight w:val="none"/>
          <w:lang w:val="en-US" w:eastAsia="zh-CN"/>
        </w:rPr>
        <w:t>7</w:t>
      </w:r>
      <w:r>
        <w:rPr>
          <w:rFonts w:hint="default" w:ascii="仿宋_GB2312" w:hAnsi="Times New Roman" w:eastAsia="仿宋_GB2312" w:cs="仿宋_GB2312"/>
          <w:color w:val="auto"/>
          <w:kern w:val="2"/>
          <w:sz w:val="32"/>
          <w:szCs w:val="32"/>
          <w:highlight w:val="none"/>
          <w:lang w:val="en-US" w:eastAsia="zh-CN"/>
        </w:rPr>
        <w:t>、第</w:t>
      </w:r>
      <w:r>
        <w:rPr>
          <w:rFonts w:hint="default" w:ascii="Times New Roman" w:hAnsi="Times New Roman" w:eastAsia="仿宋_GB2312" w:cs="Times New Roman"/>
          <w:color w:val="auto"/>
          <w:kern w:val="2"/>
          <w:sz w:val="32"/>
          <w:szCs w:val="32"/>
          <w:highlight w:val="none"/>
          <w:lang w:val="en-US" w:eastAsia="zh-CN"/>
        </w:rPr>
        <w:t>8</w:t>
      </w:r>
      <w:r>
        <w:rPr>
          <w:rFonts w:hint="default" w:ascii="仿宋_GB2312" w:hAnsi="Times New Roman" w:eastAsia="仿宋_GB2312" w:cs="仿宋_GB2312"/>
          <w:color w:val="auto"/>
          <w:kern w:val="2"/>
          <w:sz w:val="32"/>
          <w:szCs w:val="32"/>
          <w:highlight w:val="none"/>
          <w:lang w:val="en-US" w:eastAsia="zh-CN"/>
        </w:rPr>
        <w:t>章的相关要求。</w:t>
      </w:r>
    </w:p>
    <w:p>
      <w:pPr>
        <w:overflowPunct/>
        <w:autoSpaceDE/>
        <w:autoSpaceDN/>
        <w:spacing w:line="240" w:lineRule="auto"/>
        <w:ind w:firstLine="640" w:firstLineChars="200"/>
        <w:outlineLvl w:val="9"/>
        <w:rPr>
          <w:rFonts w:hint="eastAsia" w:ascii="Times New Roman" w:hAnsi="Times New Roman" w:eastAsia="仿宋_GB2312" w:cs="Times New Roman"/>
          <w:color w:val="auto"/>
          <w:kern w:val="2"/>
          <w:sz w:val="32"/>
          <w:szCs w:val="20"/>
          <w:highlight w:val="none"/>
          <w:lang w:val="en-US" w:eastAsia="zh-CN" w:bidi="ar-SA"/>
        </w:rPr>
      </w:pPr>
      <w:r>
        <w:rPr>
          <w:rFonts w:hint="default" w:ascii="仿宋_GB2312" w:hAnsi="Times New Roman" w:eastAsia="仿宋_GB2312" w:cs="仿宋_GB2312"/>
          <w:color w:val="auto"/>
          <w:kern w:val="2"/>
          <w:sz w:val="32"/>
          <w:szCs w:val="32"/>
          <w:highlight w:val="none"/>
          <w:lang w:val="en-US" w:eastAsia="zh-CN"/>
        </w:rPr>
        <w:t>附表依据</w:t>
      </w:r>
      <w:r>
        <w:rPr>
          <w:rFonts w:hint="default" w:ascii="Times New Roman" w:hAnsi="Times New Roman" w:eastAsia="仿宋_GB2312" w:cs="Times New Roman"/>
          <w:color w:val="auto"/>
          <w:kern w:val="2"/>
          <w:sz w:val="32"/>
          <w:szCs w:val="32"/>
          <w:highlight w:val="none"/>
          <w:lang w:val="en-US" w:eastAsia="zh-CN"/>
        </w:rPr>
        <w:t>GB/T 42062</w:t>
      </w:r>
      <w:r>
        <w:rPr>
          <w:rFonts w:hint="default" w:ascii="仿宋_GB2312" w:hAnsi="Times New Roman" w:eastAsia="仿宋_GB2312" w:cs="仿宋_GB2312"/>
          <w:color w:val="auto"/>
          <w:kern w:val="2"/>
          <w:sz w:val="32"/>
          <w:szCs w:val="32"/>
          <w:highlight w:val="none"/>
          <w:lang w:val="en-US" w:eastAsia="zh-CN"/>
        </w:rPr>
        <w:t>列举了</w:t>
      </w:r>
      <w:r>
        <w:rPr>
          <w:rFonts w:hint="eastAsia" w:ascii="仿宋_GB2312" w:hAnsi="Times New Roman" w:eastAsia="仿宋_GB2312" w:cs="仿宋_GB2312"/>
          <w:color w:val="auto"/>
          <w:kern w:val="2"/>
          <w:sz w:val="32"/>
          <w:szCs w:val="32"/>
          <w:highlight w:val="none"/>
          <w:lang w:val="en-US" w:eastAsia="zh-CN"/>
        </w:rPr>
        <w:t>直流电药物导入设备</w:t>
      </w:r>
      <w:r>
        <w:rPr>
          <w:rFonts w:hint="default" w:ascii="仿宋_GB2312" w:hAnsi="Times New Roman" w:eastAsia="仿宋_GB2312" w:cs="仿宋_GB2312"/>
          <w:color w:val="auto"/>
          <w:kern w:val="2"/>
          <w:sz w:val="32"/>
          <w:szCs w:val="32"/>
          <w:highlight w:val="none"/>
          <w:lang w:val="en-US" w:eastAsia="zh-CN"/>
        </w:rPr>
        <w:t>有关的可能危害示例的不完全清单，以帮助判定与</w:t>
      </w:r>
      <w:r>
        <w:rPr>
          <w:rFonts w:hint="eastAsia" w:ascii="仿宋_GB2312" w:hAnsi="Times New Roman" w:eastAsia="仿宋_GB2312" w:cs="仿宋_GB2312"/>
          <w:color w:val="auto"/>
          <w:kern w:val="2"/>
          <w:sz w:val="32"/>
          <w:szCs w:val="32"/>
          <w:highlight w:val="none"/>
          <w:lang w:val="en-US" w:eastAsia="zh-CN"/>
        </w:rPr>
        <w:t>直流电药物导入设备</w:t>
      </w:r>
      <w:r>
        <w:rPr>
          <w:rFonts w:hint="default" w:ascii="仿宋_GB2312" w:hAnsi="Times New Roman" w:eastAsia="仿宋_GB2312" w:cs="仿宋_GB2312"/>
          <w:color w:val="auto"/>
          <w:kern w:val="2"/>
          <w:sz w:val="32"/>
          <w:szCs w:val="32"/>
          <w:highlight w:val="none"/>
          <w:lang w:val="en-US" w:eastAsia="zh-CN"/>
        </w:rPr>
        <w:t>有关的危害。企业还应根据自身产品特点确定其他可能危害。针对产品的各项风险，企业应采取控制措施，确保风险降到可接受的程度。</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2.医疗器械安全和性能基本原则清单</w:t>
      </w:r>
    </w:p>
    <w:p>
      <w:pPr>
        <w:keepNext w:val="0"/>
        <w:keepLines w:val="0"/>
        <w:widowControl w:val="0"/>
        <w:suppressLineNumbers w:val="0"/>
        <w:spacing w:before="0" w:beforeAutospacing="0" w:after="0" w:afterAutospacing="0" w:line="520" w:lineRule="exact"/>
        <w:ind w:left="0" w:right="0" w:firstLine="640" w:firstLineChars="200"/>
        <w:jc w:val="both"/>
        <w:rPr>
          <w:rFonts w:hint="default" w:ascii="Times New Roman" w:hAnsi="Times New Roman" w:eastAsia="仿宋_GB2312" w:cs="Times New Roman"/>
          <w:color w:val="auto"/>
          <w:kern w:val="2"/>
          <w:sz w:val="32"/>
          <w:szCs w:val="32"/>
          <w:highlight w:val="none"/>
        </w:rPr>
      </w:pPr>
      <w:r>
        <w:rPr>
          <w:rFonts w:hint="default" w:ascii="仿宋_GB2312" w:hAnsi="Times New Roman" w:eastAsia="仿宋_GB2312" w:cs="仿宋_GB2312"/>
          <w:color w:val="auto"/>
          <w:kern w:val="2"/>
          <w:sz w:val="32"/>
          <w:szCs w:val="32"/>
          <w:highlight w:val="none"/>
          <w:lang w:val="en-US" w:eastAsia="zh-CN"/>
        </w:rPr>
        <w:t>应按照《医疗器械注册申报资料要求及说明》以及《医疗器械安全和性能基本原则符合性技术指南》的要求提交《医疗器械安全和性能基本原则清单》，说明产品符合《医疗器械安全和性能基本原则清单》各项适用要求所采用的方法，以及证明其符合性的文件。对于《医疗器械安全和性能基本原则清单》中不适用的各项要求，需说明理由。</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对于包含在产品注册申报资料中的文件，应当说明其在申报资料中的具体位置；对于未包含在产品注册申报资料中的文件，应当注明该证据文件名称及其在质量管理体系文件中的编号备查。</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3.产品技术要求及检验报告</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3.1申报产品适用标准情况</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申报产品应当符合适用的强制性标准。对于强制性行业标准，若申报产品结构特征、预期用途、使用方式等与强制性标准的适用范围不一致，申请人应当提出不适用强制性标准的说明，并提供经验证的证明性资料。</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3.2产品技术要求</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产品技术要求应按照《医疗器械产品技术要求编写指导原则》相关要求的规定编制。本条款给出需要考虑的产品主要技术指标，如有其他指标，注册申请人结合相应的标准和自身的技术能力，予以明确。如不采用以下条款（包括国家标准、行业标准要求），应当说明理由。</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3.2.1产品型号/规格及其划分说明</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存在多种型号、规格的产品，应明确不同型号、规格的划分说明（推荐采用图示和/或表格的方式），表述文本较多的内容可以在附录中列明。若产品包含软件部分，应明确软件的名称、型号规格（</w:t>
      </w:r>
      <w:r>
        <w:rPr>
          <w:rFonts w:hint="eastAsia" w:eastAsia="仿宋_GB2312"/>
          <w:snapToGrid w:val="0"/>
          <w:color w:val="auto"/>
          <w:kern w:val="0"/>
          <w:sz w:val="32"/>
          <w:szCs w:val="32"/>
          <w:highlight w:val="none"/>
          <w:lang w:eastAsia="zh-CN"/>
        </w:rPr>
        <w:t>如适用</w:t>
      </w:r>
      <w:r>
        <w:rPr>
          <w:rFonts w:hint="eastAsia" w:eastAsia="仿宋_GB2312"/>
          <w:snapToGrid w:val="0"/>
          <w:color w:val="auto"/>
          <w:kern w:val="0"/>
          <w:sz w:val="32"/>
          <w:szCs w:val="32"/>
          <w:highlight w:val="none"/>
        </w:rPr>
        <w:t>）、发布版本和完整版本命名规则。</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3.2.2性能指标</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rPr>
      </w:pPr>
      <w:r>
        <w:rPr>
          <w:rFonts w:hint="eastAsia" w:eastAsia="仿宋_GB2312"/>
          <w:snapToGrid w:val="0"/>
          <w:color w:val="auto"/>
          <w:kern w:val="0"/>
          <w:sz w:val="32"/>
          <w:szCs w:val="32"/>
          <w:highlight w:val="none"/>
        </w:rPr>
        <w:t>产品性能指标及检验方法是产品检验的依据，性能指标应为可进行客观判定的成品的功能性、安全性指标。性能要求包括但不限于如下条款。</w:t>
      </w:r>
    </w:p>
    <w:p>
      <w:pPr>
        <w:overflowPunct w:val="0"/>
        <w:autoSpaceDE w:val="0"/>
        <w:autoSpaceDN w:val="0"/>
        <w:spacing w:line="520" w:lineRule="exact"/>
        <w:ind w:firstLine="640" w:firstLineChars="200"/>
        <w:outlineLvl w:val="2"/>
        <w:rPr>
          <w:rFonts w:hint="eastAsia" w:eastAsia="仿宋_GB2312"/>
          <w:snapToGrid w:val="0"/>
          <w:color w:val="auto"/>
          <w:kern w:val="0"/>
          <w:sz w:val="32"/>
          <w:szCs w:val="32"/>
          <w:highlight w:val="none"/>
          <w:lang w:val="en-US" w:eastAsia="zh-CN"/>
        </w:rPr>
      </w:pPr>
      <w:r>
        <w:rPr>
          <w:rFonts w:hint="eastAsia" w:eastAsia="仿宋_GB2312"/>
          <w:snapToGrid w:val="0"/>
          <w:color w:val="auto"/>
          <w:kern w:val="0"/>
          <w:sz w:val="32"/>
          <w:szCs w:val="32"/>
          <w:highlight w:val="none"/>
          <w:lang w:val="en-US" w:eastAsia="zh-CN"/>
        </w:rPr>
        <w:t>输出电流、输出电压、处方（如适用）的类型应加以描述。</w:t>
      </w:r>
    </w:p>
    <w:p>
      <w:pPr>
        <w:keepNext w:val="0"/>
        <w:keepLines w:val="0"/>
        <w:widowControl/>
        <w:suppressLineNumbers w:val="0"/>
        <w:spacing w:before="0" w:beforeAutospacing="0" w:after="0" w:afterAutospacing="0" w:line="520" w:lineRule="exact"/>
        <w:ind w:left="0" w:right="0" w:firstLine="640" w:firstLineChars="200"/>
        <w:jc w:val="left"/>
        <w:rPr>
          <w:color w:val="auto"/>
          <w:highlight w:val="none"/>
        </w:rPr>
      </w:pPr>
      <w:r>
        <w:rPr>
          <w:rFonts w:hint="eastAsia" w:eastAsia="仿宋_GB2312"/>
          <w:snapToGrid w:val="0"/>
          <w:color w:val="auto"/>
          <w:kern w:val="0"/>
          <w:sz w:val="32"/>
          <w:szCs w:val="32"/>
          <w:highlight w:val="none"/>
          <w:lang w:val="en-US" w:eastAsia="zh-CN"/>
        </w:rPr>
        <w:t>电极：根据使用的电极形式制定性能指标，如适用应符合YY/T 0868的要求，同时还应考虑均匀性、</w:t>
      </w:r>
      <w:r>
        <w:rPr>
          <w:rFonts w:hint="eastAsia" w:ascii="Times New Roman" w:hAnsi="Times New Roman" w:eastAsia="仿宋_GB2312" w:cs="Times New Roman"/>
          <w:color w:val="auto"/>
          <w:sz w:val="32"/>
          <w:szCs w:val="32"/>
          <w:highlight w:val="none"/>
          <w:lang w:val="en-US" w:eastAsia="zh-CN"/>
        </w:rPr>
        <w:t>连接性能、剥离强度（如适用）、加热性能（如适用）等相关要求。一次性使用的电极应制定（如适用）微生物或无菌指标，以及</w:t>
      </w:r>
      <w:r>
        <w:rPr>
          <w:rFonts w:hint="default" w:ascii="仿宋_GB2312" w:hAnsi="Times New Roman" w:eastAsia="仿宋_GB2312" w:cs="仿宋_GB2312"/>
          <w:color w:val="auto"/>
          <w:kern w:val="2"/>
          <w:sz w:val="32"/>
          <w:szCs w:val="32"/>
          <w:highlight w:val="none"/>
          <w:lang w:val="en-US" w:eastAsia="zh-CN"/>
        </w:rPr>
        <w:t>环氧乙烷残留量（</w:t>
      </w:r>
      <w:r>
        <w:rPr>
          <w:rFonts w:hint="default" w:ascii="仿宋_GB2312" w:hAnsi="Times New Roman" w:eastAsia="仿宋_GB2312" w:cs="仿宋_GB2312"/>
          <w:color w:val="auto"/>
          <w:kern w:val="2"/>
          <w:sz w:val="32"/>
          <w:szCs w:val="32"/>
          <w:highlight w:val="none"/>
          <w:lang w:eastAsia="zh-CN"/>
        </w:rPr>
        <w:t>如</w:t>
      </w:r>
      <w:r>
        <w:rPr>
          <w:rFonts w:hint="default" w:ascii="仿宋_GB2312" w:hAnsi="Times New Roman" w:eastAsia="仿宋_GB2312" w:cs="仿宋_GB2312"/>
          <w:color w:val="auto"/>
          <w:kern w:val="2"/>
          <w:sz w:val="32"/>
          <w:szCs w:val="32"/>
          <w:highlight w:val="none"/>
          <w:lang w:val="en-US" w:eastAsia="zh-CN"/>
        </w:rPr>
        <w:t>采用环氧乙烷灭菌）</w:t>
      </w:r>
      <w:r>
        <w:rPr>
          <w:rFonts w:hint="eastAsia" w:ascii="仿宋_GB2312" w:hAnsi="Times New Roman" w:eastAsia="仿宋_GB2312" w:cs="仿宋_GB2312"/>
          <w:color w:val="auto"/>
          <w:kern w:val="2"/>
          <w:sz w:val="32"/>
          <w:szCs w:val="32"/>
          <w:highlight w:val="none"/>
          <w:lang w:val="en-US" w:eastAsia="zh-CN"/>
        </w:rPr>
        <w:t>等</w:t>
      </w:r>
      <w:r>
        <w:rPr>
          <w:rFonts w:hint="default" w:ascii="仿宋_GB2312" w:hAnsi="Times New Roman" w:eastAsia="仿宋_GB2312" w:cs="仿宋_GB2312"/>
          <w:color w:val="auto"/>
          <w:kern w:val="2"/>
          <w:sz w:val="32"/>
          <w:szCs w:val="32"/>
          <w:highlight w:val="none"/>
          <w:lang w:val="en-US" w:eastAsia="zh-CN"/>
        </w:rPr>
        <w:t>。</w:t>
      </w:r>
    </w:p>
    <w:p>
      <w:pPr>
        <w:overflowPunct w:val="0"/>
        <w:spacing w:line="52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电气安全要求：通用安全应符合GB 9706.1、YY 9706.210标准的要求。</w:t>
      </w:r>
    </w:p>
    <w:p>
      <w:pPr>
        <w:overflowPunct w:val="0"/>
        <w:spacing w:line="52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电磁兼容要求：电磁兼容应符合YY 9706.102、YY 9706.210第202章的要求。</w:t>
      </w:r>
    </w:p>
    <w:p>
      <w:pPr>
        <w:pStyle w:val="5"/>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对于包含软件组件的</w:t>
      </w:r>
      <w:r>
        <w:rPr>
          <w:rFonts w:hint="eastAsia" w:ascii="Times New Roman" w:hAnsi="Times New Roman" w:eastAsia="仿宋_GB2312" w:cs="Times New Roman"/>
          <w:color w:val="auto"/>
          <w:sz w:val="32"/>
          <w:szCs w:val="20"/>
          <w:highlight w:val="none"/>
        </w:rPr>
        <w:t>直流电药物导入</w:t>
      </w:r>
      <w:r>
        <w:rPr>
          <w:rFonts w:hint="eastAsia" w:ascii="Times New Roman" w:hAnsi="Times New Roman" w:eastAsia="仿宋_GB2312" w:cs="Times New Roman"/>
          <w:color w:val="auto"/>
          <w:sz w:val="32"/>
          <w:szCs w:val="32"/>
          <w:highlight w:val="none"/>
          <w:lang w:val="en-US" w:eastAsia="zh-CN"/>
        </w:rPr>
        <w:t>产品，应参照《医疗器械软件注册审查指导原则（2022年修订版）》明确软件的性能指标。如软件的功能、使用限制、接口（如适用）、访问控制（如适用）、运行环境（如适用）、性能效率（如适用）。</w:t>
      </w:r>
    </w:p>
    <w:p>
      <w:pPr>
        <w:overflowPunct w:val="0"/>
        <w:spacing w:line="52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3.3产品检验报告</w:t>
      </w:r>
    </w:p>
    <w:p>
      <w:pPr>
        <w:overflowPunct w:val="0"/>
        <w:spacing w:line="52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可提交注册申请人出具的自检报告或委托有资质的医疗器械检验机构出具的检验报告。若提交自检报告，按照《医疗器械自检管理规定》的要求提供相关资料。</w:t>
      </w:r>
    </w:p>
    <w:p>
      <w:pPr>
        <w:overflowPunct w:val="0"/>
        <w:spacing w:line="52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依据《医疗器械注册与备案管理办法》第三十一条：“检验用产品应当能够代表申请注册或者进行备案产品的安全性和有效性。”</w:t>
      </w:r>
      <w:r>
        <w:rPr>
          <w:rFonts w:hint="eastAsia" w:ascii="Times New Roman" w:hAnsi="Times New Roman" w:eastAsia="仿宋_GB2312" w:cs="Times New Roman"/>
          <w:color w:val="auto"/>
          <w:sz w:val="32"/>
          <w:szCs w:val="20"/>
          <w:highlight w:val="none"/>
        </w:rPr>
        <w:t>直流电药物导入</w:t>
      </w:r>
      <w:r>
        <w:rPr>
          <w:rFonts w:hint="eastAsia" w:ascii="Times New Roman" w:hAnsi="Times New Roman" w:eastAsia="仿宋_GB2312" w:cs="Times New Roman"/>
          <w:color w:val="auto"/>
          <w:sz w:val="32"/>
          <w:szCs w:val="32"/>
          <w:highlight w:val="none"/>
          <w:lang w:val="en-US" w:eastAsia="zh-CN"/>
        </w:rPr>
        <w:t>设备检验产品典型性型号的选取，应依据注册单元内所有型号的差异和检验项目来决定。</w:t>
      </w:r>
    </w:p>
    <w:p>
      <w:pPr>
        <w:overflowPunct w:val="0"/>
        <w:spacing w:line="52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rPr>
        <w:t>直流电药物导入</w:t>
      </w:r>
      <w:r>
        <w:rPr>
          <w:rFonts w:hint="eastAsia" w:ascii="Times New Roman" w:hAnsi="Times New Roman" w:eastAsia="仿宋_GB2312" w:cs="Times New Roman"/>
          <w:color w:val="auto"/>
          <w:sz w:val="32"/>
          <w:szCs w:val="32"/>
          <w:highlight w:val="none"/>
          <w:lang w:val="en-US" w:eastAsia="zh-CN"/>
        </w:rPr>
        <w:t>设备进行检验时应选取注册单元中结构最复杂、功能最全面、输出模式最多且额定输出功率最大的型号（或几个型号的组合）。若电极形式不同，应分别进行检验。</w:t>
      </w:r>
    </w:p>
    <w:p>
      <w:pPr>
        <w:spacing w:line="520" w:lineRule="exact"/>
        <w:ind w:left="630" w:leftChars="300"/>
        <w:jc w:val="left"/>
        <w:outlineLvl w:val="2"/>
        <w:rPr>
          <w:rFonts w:eastAsia="仿宋_GB2312"/>
          <w:snapToGrid w:val="0"/>
          <w:color w:val="auto"/>
          <w:kern w:val="0"/>
          <w:sz w:val="32"/>
          <w:szCs w:val="32"/>
          <w:highlight w:val="none"/>
        </w:rPr>
      </w:pPr>
      <w:r>
        <w:rPr>
          <w:rFonts w:hint="eastAsia" w:eastAsia="仿宋_GB2312"/>
          <w:snapToGrid w:val="0"/>
          <w:color w:val="auto"/>
          <w:kern w:val="0"/>
          <w:sz w:val="32"/>
          <w:szCs w:val="32"/>
          <w:highlight w:val="none"/>
        </w:rPr>
        <w:t>4</w:t>
      </w:r>
      <w:r>
        <w:rPr>
          <w:rFonts w:eastAsia="仿宋_GB2312"/>
          <w:snapToGrid w:val="0"/>
          <w:color w:val="auto"/>
          <w:kern w:val="0"/>
          <w:sz w:val="32"/>
          <w:szCs w:val="32"/>
          <w:highlight w:val="none"/>
        </w:rPr>
        <w:t>.研究资料</w:t>
      </w:r>
    </w:p>
    <w:p>
      <w:pPr>
        <w:overflowPunct w:val="0"/>
        <w:spacing w:line="520" w:lineRule="exact"/>
        <w:ind w:firstLine="640" w:firstLineChars="200"/>
        <w:outlineLvl w:val="3"/>
        <w:rPr>
          <w:rFonts w:eastAsia="仿宋_GB2312"/>
          <w:color w:val="auto"/>
          <w:sz w:val="32"/>
          <w:szCs w:val="28"/>
          <w:highlight w:val="none"/>
        </w:rPr>
      </w:pPr>
      <w:r>
        <w:rPr>
          <w:rFonts w:hint="eastAsia" w:eastAsia="仿宋_GB2312"/>
          <w:snapToGrid w:val="0"/>
          <w:color w:val="auto"/>
          <w:kern w:val="0"/>
          <w:sz w:val="32"/>
          <w:szCs w:val="32"/>
          <w:highlight w:val="none"/>
        </w:rPr>
        <w:t>4</w:t>
      </w:r>
      <w:r>
        <w:rPr>
          <w:rFonts w:eastAsia="仿宋_GB2312"/>
          <w:snapToGrid w:val="0"/>
          <w:color w:val="auto"/>
          <w:kern w:val="0"/>
          <w:sz w:val="32"/>
          <w:szCs w:val="32"/>
          <w:highlight w:val="none"/>
        </w:rPr>
        <w:t>.1</w:t>
      </w:r>
      <w:r>
        <w:rPr>
          <w:rFonts w:eastAsia="仿宋_GB2312"/>
          <w:color w:val="auto"/>
          <w:sz w:val="32"/>
          <w:szCs w:val="32"/>
          <w:highlight w:val="none"/>
        </w:rPr>
        <w:t>化学和物理性能研究</w:t>
      </w:r>
    </w:p>
    <w:p>
      <w:pPr>
        <w:spacing w:line="520" w:lineRule="exact"/>
        <w:ind w:firstLine="640" w:firstLineChars="200"/>
        <w:rPr>
          <w:rFonts w:eastAsia="仿宋_GB2312"/>
          <w:color w:val="auto"/>
          <w:sz w:val="32"/>
          <w:szCs w:val="28"/>
          <w:highlight w:val="none"/>
        </w:rPr>
      </w:pPr>
      <w:r>
        <w:rPr>
          <w:rFonts w:hint="eastAsia" w:eastAsia="仿宋_GB2312"/>
          <w:color w:val="auto"/>
          <w:sz w:val="32"/>
          <w:szCs w:val="32"/>
          <w:highlight w:val="none"/>
        </w:rPr>
        <w:t>应当提供产品物理和</w:t>
      </w:r>
      <w:r>
        <w:rPr>
          <w:rFonts w:hint="eastAsia" w:eastAsia="仿宋_GB2312"/>
          <w:color w:val="auto"/>
          <w:sz w:val="32"/>
          <w:szCs w:val="32"/>
          <w:highlight w:val="none"/>
          <w:lang w:val="en-US" w:eastAsia="zh-CN"/>
        </w:rPr>
        <w:t>/</w:t>
      </w:r>
      <w:r>
        <w:rPr>
          <w:rFonts w:hint="eastAsia" w:eastAsia="仿宋_GB2312"/>
          <w:color w:val="auto"/>
          <w:sz w:val="32"/>
          <w:szCs w:val="32"/>
          <w:highlight w:val="none"/>
        </w:rPr>
        <w:t>或机械性能指标的确定依据、设计输入来源以及临床意义，所采用的标准或方法、采用的原因及理论基础。包含功能性、安全性指标以及与质量控制相关的其他指标。</w:t>
      </w:r>
    </w:p>
    <w:p>
      <w:pPr>
        <w:spacing w:line="520" w:lineRule="exact"/>
        <w:ind w:firstLine="640" w:firstLineChars="200"/>
        <w:outlineLvl w:val="3"/>
        <w:rPr>
          <w:rFonts w:hint="eastAsia" w:eastAsia="仿宋_GB2312"/>
          <w:color w:val="auto"/>
          <w:sz w:val="32"/>
          <w:szCs w:val="32"/>
          <w:highlight w:val="none"/>
        </w:rPr>
      </w:pPr>
      <w:r>
        <w:rPr>
          <w:rFonts w:hint="eastAsia" w:eastAsia="仿宋_GB2312"/>
          <w:color w:val="auto"/>
          <w:sz w:val="32"/>
          <w:szCs w:val="32"/>
          <w:highlight w:val="none"/>
        </w:rPr>
        <w:t>4.2联合使用</w:t>
      </w:r>
    </w:p>
    <w:p>
      <w:pPr>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如申报产品预期与其他医疗器械、非医疗器械产品联合使用实现同一预期用途，应当提供证明联合使用安全有效的研究资料，包括互联基本信息（连接类型、接口、协议、最低性能），联合使用风险及控制措施、联合使用上的限制，兼容性研究等。</w:t>
      </w:r>
    </w:p>
    <w:p>
      <w:pPr>
        <w:spacing w:line="520" w:lineRule="exact"/>
        <w:ind w:firstLine="640" w:firstLineChars="200"/>
        <w:outlineLvl w:val="3"/>
        <w:rPr>
          <w:rFonts w:hint="default" w:eastAsia="宋体"/>
          <w:color w:val="auto"/>
          <w:sz w:val="32"/>
          <w:szCs w:val="32"/>
          <w:highlight w:val="none"/>
          <w:lang w:val="en-US" w:eastAsia="zh-CN"/>
        </w:rPr>
      </w:pPr>
      <w:r>
        <w:rPr>
          <w:rFonts w:hint="eastAsia" w:eastAsia="仿宋_GB2312"/>
          <w:color w:val="auto"/>
          <w:sz w:val="32"/>
          <w:szCs w:val="32"/>
          <w:highlight w:val="none"/>
        </w:rPr>
        <w:t>4.3量效关系和能量安全</w:t>
      </w:r>
    </w:p>
    <w:p>
      <w:pPr>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应当提供量效关系和能量安全性研究资料，提供证明治疗参数设置的安全性、有效性、合理性，以及除预期靶组织外，能量不会对正常组织造成不可接受的伤害的研究资料。可为台架试验、离体或活体的动物试验、临床文献等一项或多项研究所获得数据的分析和总结。涉及动物试验的应按照《医疗器械动物试验研究注册审查指导原则》的相关要求开展。</w:t>
      </w:r>
    </w:p>
    <w:p>
      <w:pPr>
        <w:spacing w:line="520" w:lineRule="exact"/>
        <w:ind w:firstLine="640" w:firstLineChars="200"/>
        <w:rPr>
          <w:rFonts w:eastAsia="仿宋_GB2312"/>
          <w:color w:val="auto"/>
          <w:sz w:val="32"/>
          <w:szCs w:val="32"/>
          <w:highlight w:val="none"/>
        </w:rPr>
      </w:pPr>
      <w:r>
        <w:rPr>
          <w:rFonts w:hint="eastAsia" w:eastAsia="仿宋_GB2312"/>
          <w:color w:val="auto"/>
          <w:sz w:val="32"/>
          <w:szCs w:val="28"/>
          <w:highlight w:val="none"/>
        </w:rPr>
        <w:t>4.4</w:t>
      </w:r>
      <w:r>
        <w:rPr>
          <w:rFonts w:eastAsia="仿宋_GB2312"/>
          <w:color w:val="auto"/>
          <w:sz w:val="32"/>
          <w:szCs w:val="32"/>
          <w:highlight w:val="none"/>
        </w:rPr>
        <w:t>电气系统安全性研究</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应当提供电气安全性、机械和环境保护以及电磁兼容性的研究资料，说明适用的标准以及开展的研究。</w:t>
      </w:r>
    </w:p>
    <w:p>
      <w:pPr>
        <w:pStyle w:val="13"/>
        <w:overflowPunct w:val="0"/>
        <w:autoSpaceDE w:val="0"/>
        <w:autoSpaceDN w:val="0"/>
        <w:spacing w:line="520" w:lineRule="exact"/>
        <w:ind w:firstLine="640"/>
        <w:outlineLvl w:val="3"/>
        <w:rPr>
          <w:rFonts w:ascii="Times New Roman" w:hAnsi="Times New Roman" w:eastAsia="仿宋_GB2312"/>
          <w:snapToGrid w:val="0"/>
          <w:color w:val="auto"/>
          <w:kern w:val="0"/>
          <w:sz w:val="32"/>
          <w:szCs w:val="32"/>
          <w:highlight w:val="none"/>
        </w:rPr>
      </w:pPr>
      <w:r>
        <w:rPr>
          <w:rFonts w:hint="eastAsia" w:ascii="Times New Roman" w:hAnsi="Times New Roman" w:eastAsia="仿宋_GB2312"/>
          <w:color w:val="auto"/>
          <w:sz w:val="32"/>
          <w:szCs w:val="28"/>
          <w:highlight w:val="none"/>
        </w:rPr>
        <w:t>4.5</w:t>
      </w:r>
      <w:r>
        <w:rPr>
          <w:rFonts w:hint="eastAsia" w:ascii="Times New Roman" w:hAnsi="Times New Roman" w:eastAsia="仿宋_GB2312"/>
          <w:snapToGrid w:val="0"/>
          <w:color w:val="auto"/>
          <w:kern w:val="0"/>
          <w:sz w:val="32"/>
          <w:szCs w:val="32"/>
          <w:highlight w:val="none"/>
        </w:rPr>
        <w:t>可用性工程研究</w:t>
      </w:r>
    </w:p>
    <w:p>
      <w:pPr>
        <w:spacing w:line="520" w:lineRule="exact"/>
        <w:ind w:firstLine="640" w:firstLineChars="200"/>
        <w:rPr>
          <w:color w:val="auto"/>
          <w:highlight w:val="none"/>
        </w:rPr>
      </w:pPr>
      <w:r>
        <w:rPr>
          <w:rFonts w:hint="eastAsia" w:eastAsia="仿宋_GB2312"/>
          <w:color w:val="auto"/>
          <w:sz w:val="32"/>
          <w:szCs w:val="32"/>
          <w:highlight w:val="none"/>
        </w:rPr>
        <w:t>依据申报产品具体特性和风险程度，参考《医疗器械可用性工程注册审查指导原则》相关规定提交</w:t>
      </w:r>
      <w:r>
        <w:rPr>
          <w:rFonts w:eastAsia="仿宋_GB2312"/>
          <w:color w:val="auto"/>
          <w:sz w:val="32"/>
          <w:szCs w:val="32"/>
          <w:highlight w:val="none"/>
        </w:rPr>
        <w:t>使用错误评估报告</w:t>
      </w:r>
      <w:r>
        <w:rPr>
          <w:rFonts w:hint="eastAsia" w:eastAsia="仿宋_GB2312"/>
          <w:color w:val="auto"/>
          <w:sz w:val="32"/>
          <w:szCs w:val="32"/>
          <w:highlight w:val="none"/>
        </w:rPr>
        <w:t>资料。</w:t>
      </w:r>
    </w:p>
    <w:p>
      <w:pPr>
        <w:spacing w:line="520" w:lineRule="exact"/>
        <w:ind w:firstLine="640" w:firstLineChars="200"/>
        <w:outlineLvl w:val="3"/>
        <w:rPr>
          <w:rFonts w:eastAsia="仿宋_GB2312"/>
          <w:snapToGrid w:val="0"/>
          <w:color w:val="auto"/>
          <w:kern w:val="0"/>
          <w:sz w:val="32"/>
          <w:szCs w:val="32"/>
          <w:highlight w:val="none"/>
        </w:rPr>
      </w:pPr>
      <w:r>
        <w:rPr>
          <w:rFonts w:hint="eastAsia" w:eastAsia="仿宋_GB2312"/>
          <w:color w:val="auto"/>
          <w:sz w:val="32"/>
          <w:szCs w:val="28"/>
          <w:highlight w:val="none"/>
        </w:rPr>
        <w:t>4.6</w:t>
      </w:r>
      <w:r>
        <w:rPr>
          <w:rFonts w:hint="eastAsia" w:eastAsia="仿宋_GB2312" w:cs="仿宋_GB2312"/>
          <w:snapToGrid w:val="0"/>
          <w:color w:val="auto"/>
          <w:kern w:val="0"/>
          <w:sz w:val="32"/>
          <w:szCs w:val="32"/>
          <w:highlight w:val="none"/>
        </w:rPr>
        <w:t>软件和网络安全</w:t>
      </w:r>
      <w:r>
        <w:rPr>
          <w:rFonts w:eastAsia="仿宋_GB2312" w:cs="仿宋_GB2312"/>
          <w:snapToGrid w:val="0"/>
          <w:color w:val="auto"/>
          <w:kern w:val="0"/>
          <w:sz w:val="32"/>
          <w:szCs w:val="32"/>
          <w:highlight w:val="none"/>
        </w:rPr>
        <w:t>研究</w:t>
      </w:r>
    </w:p>
    <w:p>
      <w:pPr>
        <w:spacing w:line="600" w:lineRule="exact"/>
        <w:ind w:firstLine="640" w:firstLineChars="200"/>
        <w:rPr>
          <w:rFonts w:eastAsia="仿宋_GB2312"/>
          <w:color w:val="auto"/>
          <w:sz w:val="32"/>
          <w:szCs w:val="20"/>
          <w:highlight w:val="none"/>
        </w:rPr>
      </w:pPr>
      <w:r>
        <w:rPr>
          <w:rFonts w:hint="eastAsia" w:eastAsia="仿宋_GB2312"/>
          <w:color w:val="auto"/>
          <w:sz w:val="32"/>
          <w:szCs w:val="20"/>
          <w:highlight w:val="none"/>
        </w:rPr>
        <w:t>对于包含软件的</w:t>
      </w:r>
      <w:r>
        <w:rPr>
          <w:rFonts w:hint="eastAsia" w:ascii="Times New Roman" w:hAnsi="Times New Roman" w:eastAsia="仿宋_GB2312" w:cs="Times New Roman"/>
          <w:color w:val="auto"/>
          <w:sz w:val="32"/>
          <w:szCs w:val="20"/>
          <w:highlight w:val="none"/>
        </w:rPr>
        <w:t>直流电药物导入</w:t>
      </w:r>
      <w:r>
        <w:rPr>
          <w:rFonts w:hint="eastAsia" w:eastAsia="仿宋_GB2312"/>
          <w:color w:val="auto"/>
          <w:sz w:val="32"/>
          <w:szCs w:val="20"/>
          <w:highlight w:val="none"/>
        </w:rPr>
        <w:t>产品，注册申请人应依据《医疗器械软件注册审查指导原则》（2022年修订版）、《医疗器械网络安全注册审查指导原则》（2022年修订版）（</w:t>
      </w:r>
      <w:r>
        <w:rPr>
          <w:rFonts w:hint="eastAsia" w:eastAsia="仿宋_GB2312"/>
          <w:color w:val="auto"/>
          <w:sz w:val="32"/>
          <w:szCs w:val="20"/>
          <w:highlight w:val="none"/>
          <w:lang w:eastAsia="zh-CN"/>
        </w:rPr>
        <w:t>如适用</w:t>
      </w:r>
      <w:r>
        <w:rPr>
          <w:rFonts w:hint="eastAsia" w:eastAsia="仿宋_GB2312"/>
          <w:color w:val="auto"/>
          <w:sz w:val="32"/>
          <w:szCs w:val="20"/>
          <w:highlight w:val="none"/>
        </w:rPr>
        <w:t>）</w:t>
      </w:r>
      <w:r>
        <w:rPr>
          <w:rFonts w:hint="eastAsia" w:eastAsia="仿宋_GB2312"/>
          <w:color w:val="auto"/>
          <w:sz w:val="32"/>
          <w:szCs w:val="20"/>
          <w:highlight w:val="none"/>
          <w:lang w:val="en-US" w:eastAsia="zh-CN"/>
        </w:rPr>
        <w:t>的</w:t>
      </w:r>
      <w:r>
        <w:rPr>
          <w:rFonts w:hint="eastAsia" w:eastAsia="仿宋_GB2312"/>
          <w:color w:val="auto"/>
          <w:sz w:val="32"/>
          <w:szCs w:val="20"/>
          <w:highlight w:val="none"/>
        </w:rPr>
        <w:t>要求，</w:t>
      </w:r>
      <w:r>
        <w:rPr>
          <w:rFonts w:hint="default" w:ascii="仿宋_GB2312" w:hAnsi="Times New Roman" w:eastAsia="仿宋_GB2312" w:cs="仿宋_GB2312"/>
          <w:color w:val="auto"/>
          <w:kern w:val="2"/>
          <w:sz w:val="32"/>
          <w:szCs w:val="32"/>
          <w:highlight w:val="none"/>
          <w:lang w:val="en-US" w:eastAsia="zh-CN"/>
        </w:rPr>
        <w:t>提供自研软件研究报告</w:t>
      </w:r>
      <w:r>
        <w:rPr>
          <w:rFonts w:hint="eastAsia" w:ascii="仿宋_GB2312" w:hAnsi="Times New Roman" w:eastAsia="仿宋_GB2312" w:cs="仿宋_GB2312"/>
          <w:color w:val="auto"/>
          <w:kern w:val="2"/>
          <w:sz w:val="32"/>
          <w:szCs w:val="32"/>
          <w:highlight w:val="none"/>
          <w:lang w:val="en-US" w:eastAsia="zh-CN"/>
        </w:rPr>
        <w:t>以及</w:t>
      </w:r>
      <w:r>
        <w:rPr>
          <w:rFonts w:hint="default" w:ascii="仿宋_GB2312" w:hAnsi="Times New Roman" w:eastAsia="仿宋_GB2312" w:cs="仿宋_GB2312"/>
          <w:color w:val="auto"/>
          <w:kern w:val="2"/>
          <w:sz w:val="32"/>
          <w:szCs w:val="32"/>
          <w:highlight w:val="none"/>
          <w:lang w:val="en-US" w:eastAsia="zh-CN"/>
        </w:rPr>
        <w:t>自研软件网络安全研究报告。</w:t>
      </w:r>
    </w:p>
    <w:p>
      <w:pPr>
        <w:overflowPunct w:val="0"/>
        <w:spacing w:line="520" w:lineRule="exact"/>
        <w:ind w:firstLine="640" w:firstLineChars="200"/>
        <w:outlineLvl w:val="3"/>
        <w:rPr>
          <w:rFonts w:eastAsia="仿宋_GB2312"/>
          <w:color w:val="auto"/>
          <w:sz w:val="32"/>
          <w:szCs w:val="28"/>
          <w:highlight w:val="none"/>
        </w:rPr>
      </w:pPr>
      <w:r>
        <w:rPr>
          <w:rFonts w:hint="eastAsia" w:eastAsia="仿宋_GB2312"/>
          <w:color w:val="auto"/>
          <w:sz w:val="32"/>
          <w:szCs w:val="28"/>
          <w:highlight w:val="none"/>
        </w:rPr>
        <w:t>4.7</w:t>
      </w:r>
      <w:r>
        <w:rPr>
          <w:rFonts w:eastAsia="仿宋_GB2312"/>
          <w:color w:val="auto"/>
          <w:sz w:val="32"/>
          <w:szCs w:val="32"/>
          <w:highlight w:val="none"/>
        </w:rPr>
        <w:t>生物学特性研究</w:t>
      </w:r>
    </w:p>
    <w:p>
      <w:pPr>
        <w:spacing w:line="520" w:lineRule="exact"/>
        <w:ind w:firstLine="640" w:firstLineChars="200"/>
        <w:rPr>
          <w:rFonts w:hint="eastAsia" w:eastAsia="仿宋_GB2312"/>
          <w:snapToGrid w:val="0"/>
          <w:color w:val="auto"/>
          <w:kern w:val="0"/>
          <w:sz w:val="32"/>
          <w:szCs w:val="32"/>
          <w:highlight w:val="none"/>
        </w:rPr>
      </w:pPr>
      <w:r>
        <w:rPr>
          <w:rFonts w:hint="default" w:eastAsia="仿宋_GB2312"/>
          <w:snapToGrid w:val="0"/>
          <w:color w:val="auto"/>
          <w:kern w:val="0"/>
          <w:sz w:val="32"/>
          <w:szCs w:val="32"/>
          <w:highlight w:val="none"/>
          <w:lang w:val="en-US"/>
        </w:rPr>
        <w:t>电极直接接触患者皮肤。如果产品结构组成包含电极，则需要对电极进行生物相容性评价。生物相容性评价研究资料包括：生物相容性评价的依据和方法，产品所用材料的描述及与人体接触的性质（接触完好皮肤）和时间，实施或豁免生物学试验的理由和论证，对于现有数据或试验结果的评价。评价根据 GB / T 16886.1《医疗器械生物学评价第1部分：风险管理过程中的评价与试验》标准进行。</w:t>
      </w:r>
    </w:p>
    <w:p>
      <w:pPr>
        <w:overflowPunct w:val="0"/>
        <w:spacing w:line="520" w:lineRule="exact"/>
        <w:ind w:firstLine="640" w:firstLineChars="200"/>
        <w:outlineLvl w:val="3"/>
        <w:rPr>
          <w:rFonts w:eastAsia="仿宋_GB2312"/>
          <w:color w:val="auto"/>
          <w:sz w:val="32"/>
          <w:szCs w:val="28"/>
          <w:highlight w:val="none"/>
        </w:rPr>
      </w:pPr>
      <w:r>
        <w:rPr>
          <w:rFonts w:hint="eastAsia" w:eastAsia="仿宋_GB2312"/>
          <w:color w:val="auto"/>
          <w:sz w:val="32"/>
          <w:szCs w:val="28"/>
          <w:highlight w:val="none"/>
        </w:rPr>
        <w:t>4</w:t>
      </w:r>
      <w:r>
        <w:rPr>
          <w:rFonts w:eastAsia="仿宋_GB2312"/>
          <w:color w:val="auto"/>
          <w:sz w:val="32"/>
          <w:szCs w:val="28"/>
          <w:highlight w:val="none"/>
        </w:rPr>
        <w:t>.</w:t>
      </w:r>
      <w:r>
        <w:rPr>
          <w:rFonts w:hint="eastAsia" w:eastAsia="仿宋_GB2312"/>
          <w:color w:val="auto"/>
          <w:sz w:val="32"/>
          <w:szCs w:val="28"/>
          <w:highlight w:val="none"/>
        </w:rPr>
        <w:t>8</w:t>
      </w:r>
      <w:r>
        <w:rPr>
          <w:rFonts w:eastAsia="仿宋_GB2312"/>
          <w:color w:val="auto"/>
          <w:sz w:val="32"/>
          <w:szCs w:val="32"/>
          <w:highlight w:val="none"/>
        </w:rPr>
        <w:t>清洁、消毒研究</w:t>
      </w:r>
    </w:p>
    <w:p>
      <w:pPr>
        <w:overflowPunct w:val="0"/>
        <w:spacing w:line="520" w:lineRule="exact"/>
        <w:ind w:firstLine="640" w:firstLineChars="200"/>
        <w:rPr>
          <w:rFonts w:hint="default" w:eastAsia="仿宋_GB2312"/>
          <w:bCs/>
          <w:color w:val="auto"/>
          <w:sz w:val="32"/>
          <w:szCs w:val="32"/>
          <w:highlight w:val="none"/>
          <w:lang w:val="en-US" w:eastAsia="zh-CN"/>
        </w:rPr>
      </w:pPr>
      <w:r>
        <w:rPr>
          <w:rFonts w:eastAsia="仿宋_GB2312"/>
          <w:bCs/>
          <w:color w:val="auto"/>
          <w:sz w:val="32"/>
          <w:szCs w:val="32"/>
          <w:highlight w:val="none"/>
        </w:rPr>
        <w:t>应当明确推荐的清</w:t>
      </w:r>
      <w:r>
        <w:rPr>
          <w:rFonts w:hint="eastAsia" w:eastAsia="仿宋_GB2312"/>
          <w:bCs/>
          <w:color w:val="auto"/>
          <w:sz w:val="32"/>
          <w:szCs w:val="32"/>
          <w:highlight w:val="none"/>
        </w:rPr>
        <w:t>洁</w:t>
      </w:r>
      <w:r>
        <w:rPr>
          <w:rFonts w:eastAsia="仿宋_GB2312"/>
          <w:bCs/>
          <w:color w:val="auto"/>
          <w:sz w:val="32"/>
          <w:szCs w:val="32"/>
          <w:highlight w:val="none"/>
        </w:rPr>
        <w:t>和消毒工艺（方法和参数）、工艺的确定依据以及验证的相关研究资料。</w:t>
      </w:r>
      <w:r>
        <w:rPr>
          <w:rFonts w:hint="default" w:eastAsia="仿宋_GB2312"/>
          <w:bCs/>
          <w:color w:val="auto"/>
          <w:sz w:val="32"/>
          <w:szCs w:val="32"/>
          <w:highlight w:val="none"/>
          <w:lang w:val="en-US" w:eastAsia="zh-CN"/>
        </w:rPr>
        <w:t>例如：</w:t>
      </w:r>
    </w:p>
    <w:p>
      <w:pPr>
        <w:overflowPunct w:val="0"/>
        <w:spacing w:line="520" w:lineRule="exact"/>
        <w:ind w:firstLine="640" w:firstLineChars="200"/>
        <w:rPr>
          <w:rFonts w:hint="default" w:eastAsia="仿宋_GB2312"/>
          <w:bCs/>
          <w:color w:val="auto"/>
          <w:sz w:val="32"/>
          <w:szCs w:val="32"/>
          <w:highlight w:val="none"/>
          <w:lang w:val="en-US" w:eastAsia="zh-CN"/>
        </w:rPr>
      </w:pPr>
      <w:r>
        <w:rPr>
          <w:rFonts w:hint="eastAsia" w:eastAsia="仿宋_GB2312"/>
          <w:bCs/>
          <w:color w:val="auto"/>
          <w:sz w:val="32"/>
          <w:szCs w:val="32"/>
          <w:highlight w:val="none"/>
          <w:lang w:val="en-US" w:eastAsia="zh-CN"/>
        </w:rPr>
        <w:t>1）</w:t>
      </w:r>
      <w:r>
        <w:rPr>
          <w:rFonts w:hint="default" w:eastAsia="仿宋_GB2312"/>
          <w:bCs/>
          <w:color w:val="auto"/>
          <w:sz w:val="32"/>
          <w:szCs w:val="32"/>
          <w:highlight w:val="none"/>
          <w:lang w:val="en-US" w:eastAsia="zh-CN"/>
        </w:rPr>
        <w:t>明确与药物接触的部件的清洁方法，需验证药物残留的清除效果；</w:t>
      </w:r>
    </w:p>
    <w:p>
      <w:pPr>
        <w:overflowPunct w:val="0"/>
        <w:spacing w:line="520" w:lineRule="exact"/>
        <w:ind w:firstLine="640" w:firstLineChars="200"/>
        <w:rPr>
          <w:rFonts w:hint="default" w:eastAsia="仿宋_GB2312"/>
          <w:bCs/>
          <w:color w:val="auto"/>
          <w:sz w:val="32"/>
          <w:szCs w:val="32"/>
          <w:highlight w:val="none"/>
          <w:lang w:val="en-US" w:eastAsia="zh-CN"/>
        </w:rPr>
      </w:pPr>
      <w:r>
        <w:rPr>
          <w:rFonts w:hint="default" w:eastAsia="仿宋_GB2312"/>
          <w:bCs/>
          <w:color w:val="auto"/>
          <w:sz w:val="32"/>
          <w:szCs w:val="32"/>
          <w:highlight w:val="none"/>
          <w:lang w:val="en-US" w:eastAsia="zh-CN"/>
        </w:rPr>
        <w:t>2）针对重复使用的电极板，需明确清洁、消毒、灭菌的完整流程，以及可重复使用的次数验证；</w:t>
      </w:r>
    </w:p>
    <w:p>
      <w:pPr>
        <w:overflowPunct w:val="0"/>
        <w:spacing w:line="520" w:lineRule="exact"/>
        <w:ind w:firstLine="640" w:firstLineChars="200"/>
        <w:rPr>
          <w:rFonts w:hint="default" w:eastAsia="仿宋_GB2312"/>
          <w:bCs/>
          <w:color w:val="auto"/>
          <w:sz w:val="32"/>
          <w:szCs w:val="32"/>
          <w:highlight w:val="none"/>
          <w:lang w:val="en-US" w:eastAsia="zh-CN"/>
        </w:rPr>
      </w:pPr>
      <w:r>
        <w:rPr>
          <w:rFonts w:hint="default" w:eastAsia="仿宋_GB2312"/>
          <w:bCs/>
          <w:color w:val="auto"/>
          <w:sz w:val="32"/>
          <w:szCs w:val="32"/>
          <w:highlight w:val="none"/>
          <w:lang w:val="en-US" w:eastAsia="zh-CN"/>
        </w:rPr>
        <w:t>3）针对一次性使用的电极片，需明确灭菌方法和无菌有效期的验证要求；</w:t>
      </w:r>
    </w:p>
    <w:p>
      <w:pPr>
        <w:overflowPunct w:val="0"/>
        <w:spacing w:line="520" w:lineRule="exact"/>
        <w:ind w:firstLine="640" w:firstLineChars="200"/>
        <w:rPr>
          <w:rFonts w:eastAsia="仿宋_GB2312"/>
          <w:bCs/>
          <w:color w:val="auto"/>
          <w:sz w:val="32"/>
          <w:szCs w:val="32"/>
          <w:highlight w:val="none"/>
          <w:lang w:val="en-US"/>
        </w:rPr>
      </w:pPr>
      <w:r>
        <w:rPr>
          <w:rFonts w:hint="default" w:eastAsia="仿宋_GB2312"/>
          <w:bCs/>
          <w:color w:val="auto"/>
          <w:sz w:val="32"/>
          <w:szCs w:val="32"/>
          <w:highlight w:val="none"/>
          <w:lang w:val="en-US" w:eastAsia="zh-CN"/>
        </w:rPr>
        <w:t>4）明确清洁消毒过程对设备电气性能、材料性能的影响验证要求。</w:t>
      </w:r>
    </w:p>
    <w:p>
      <w:pPr>
        <w:overflowPunct w:val="0"/>
        <w:spacing w:line="520" w:lineRule="exact"/>
        <w:ind w:firstLine="640" w:firstLineChars="200"/>
        <w:rPr>
          <w:rFonts w:eastAsia="仿宋_GB2312"/>
          <w:bCs/>
          <w:color w:val="auto"/>
          <w:sz w:val="32"/>
          <w:szCs w:val="32"/>
          <w:highlight w:val="none"/>
          <w:lang w:val="en-US"/>
        </w:rPr>
      </w:pPr>
      <w:r>
        <w:rPr>
          <w:rFonts w:eastAsia="仿宋_GB2312"/>
          <w:bCs/>
          <w:color w:val="auto"/>
          <w:sz w:val="32"/>
          <w:szCs w:val="32"/>
          <w:highlight w:val="none"/>
          <w:lang w:val="en-US"/>
        </w:rPr>
        <w:t>4.9药物相容性研究</w:t>
      </w:r>
    </w:p>
    <w:p>
      <w:pPr>
        <w:overflowPunct w:val="0"/>
        <w:spacing w:line="520" w:lineRule="exact"/>
        <w:ind w:firstLine="640" w:firstLineChars="200"/>
        <w:rPr>
          <w:rFonts w:eastAsia="仿宋_GB2312"/>
          <w:bCs/>
          <w:color w:val="auto"/>
          <w:sz w:val="32"/>
          <w:szCs w:val="32"/>
          <w:highlight w:val="none"/>
        </w:rPr>
      </w:pPr>
      <w:r>
        <w:rPr>
          <w:rFonts w:eastAsia="仿宋_GB2312"/>
          <w:bCs/>
          <w:color w:val="auto"/>
          <w:sz w:val="32"/>
          <w:szCs w:val="32"/>
          <w:highlight w:val="none"/>
          <w:lang w:val="en-US"/>
        </w:rPr>
        <w:t>应对与药液接触的部件与药物的相容性进行研究。应明确与药液接触的部件及原材料，明确材料下是否会引起药物成分的变化。建议在资料中说明是否有不适用的药物，如与产品可接触部件材料不相容的药物等。</w:t>
      </w:r>
    </w:p>
    <w:p>
      <w:pPr>
        <w:spacing w:line="520" w:lineRule="exact"/>
        <w:ind w:firstLine="640" w:firstLineChars="200"/>
        <w:outlineLvl w:val="2"/>
        <w:rPr>
          <w:rFonts w:eastAsia="仿宋_GB2312"/>
          <w:snapToGrid w:val="0"/>
          <w:color w:val="auto"/>
          <w:kern w:val="0"/>
          <w:sz w:val="32"/>
          <w:szCs w:val="32"/>
          <w:highlight w:val="none"/>
        </w:rPr>
      </w:pPr>
      <w:r>
        <w:rPr>
          <w:rFonts w:hint="eastAsia" w:eastAsia="仿宋_GB2312"/>
          <w:snapToGrid w:val="0"/>
          <w:color w:val="auto"/>
          <w:kern w:val="0"/>
          <w:sz w:val="32"/>
          <w:szCs w:val="32"/>
          <w:highlight w:val="none"/>
        </w:rPr>
        <w:t>5</w:t>
      </w:r>
      <w:r>
        <w:rPr>
          <w:rFonts w:eastAsia="仿宋_GB2312"/>
          <w:snapToGrid w:val="0"/>
          <w:color w:val="auto"/>
          <w:kern w:val="0"/>
          <w:sz w:val="32"/>
          <w:szCs w:val="32"/>
          <w:highlight w:val="none"/>
        </w:rPr>
        <w:t>.稳定性研究</w:t>
      </w:r>
    </w:p>
    <w:p>
      <w:pPr>
        <w:spacing w:line="520" w:lineRule="exact"/>
        <w:ind w:left="630" w:leftChars="300"/>
        <w:jc w:val="left"/>
        <w:outlineLvl w:val="3"/>
        <w:rPr>
          <w:rFonts w:eastAsia="仿宋_GB2312"/>
          <w:snapToGrid w:val="0"/>
          <w:color w:val="auto"/>
          <w:kern w:val="0"/>
          <w:sz w:val="32"/>
          <w:szCs w:val="32"/>
          <w:highlight w:val="none"/>
        </w:rPr>
      </w:pPr>
      <w:r>
        <w:rPr>
          <w:rFonts w:hint="eastAsia" w:eastAsia="仿宋_GB2312"/>
          <w:snapToGrid w:val="0"/>
          <w:color w:val="auto"/>
          <w:kern w:val="0"/>
          <w:sz w:val="32"/>
          <w:szCs w:val="32"/>
          <w:highlight w:val="none"/>
        </w:rPr>
        <w:t>5</w:t>
      </w:r>
      <w:r>
        <w:rPr>
          <w:rFonts w:eastAsia="仿宋_GB2312"/>
          <w:snapToGrid w:val="0"/>
          <w:color w:val="auto"/>
          <w:kern w:val="0"/>
          <w:sz w:val="32"/>
          <w:szCs w:val="32"/>
          <w:highlight w:val="none"/>
        </w:rPr>
        <w:t>.</w:t>
      </w:r>
      <w:r>
        <w:rPr>
          <w:rFonts w:hint="eastAsia" w:eastAsia="仿宋_GB2312"/>
          <w:snapToGrid w:val="0"/>
          <w:color w:val="auto"/>
          <w:kern w:val="0"/>
          <w:sz w:val="32"/>
          <w:szCs w:val="32"/>
          <w:highlight w:val="none"/>
        </w:rPr>
        <w:t>1使用稳定性</w:t>
      </w:r>
      <w:r>
        <w:rPr>
          <w:rFonts w:eastAsia="仿宋_GB2312"/>
          <w:snapToGrid w:val="0"/>
          <w:color w:val="auto"/>
          <w:kern w:val="0"/>
          <w:sz w:val="32"/>
          <w:szCs w:val="32"/>
          <w:highlight w:val="none"/>
        </w:rPr>
        <w:t xml:space="preserve"> </w:t>
      </w:r>
    </w:p>
    <w:p>
      <w:pPr>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注册申请人需参照《有源医疗器械使用期限注册技术审查指导原则》提供产品使用稳定性的验证资料。</w:t>
      </w:r>
    </w:p>
    <w:p>
      <w:pPr>
        <w:spacing w:line="520" w:lineRule="exact"/>
        <w:ind w:firstLine="640" w:firstLineChars="200"/>
        <w:jc w:val="left"/>
        <w:outlineLvl w:val="2"/>
        <w:rPr>
          <w:rFonts w:eastAsia="仿宋_GB2312"/>
          <w:snapToGrid w:val="0"/>
          <w:color w:val="auto"/>
          <w:kern w:val="0"/>
          <w:sz w:val="32"/>
          <w:szCs w:val="32"/>
          <w:highlight w:val="none"/>
        </w:rPr>
      </w:pPr>
      <w:r>
        <w:rPr>
          <w:rFonts w:eastAsia="仿宋_GB2312"/>
          <w:color w:val="auto"/>
          <w:sz w:val="32"/>
          <w:szCs w:val="32"/>
          <w:highlight w:val="none"/>
        </w:rPr>
        <w:t>可以对该产品进行使用状态列举，完整分析出临床使用的情况，直接进行产品的老化试验研究；也可以将产品（系统）分解为不同子系统/部件进行评价，应详细分析分解关系，在此基础上通过不同的分解方式（如将产品分为关键部件及非关键部件等）确定产品的使用期限。注册申请人应根据自身产品临床应用和产品设计情况，确定出产品的关键部件和可更换部件。注册申请人应明确在预期使用条件下关键部件的使用期限，及可更换部件的定期保养维护时间和更换频次，且应提供确定使用寿命和更换频次的理论依据。若关键部件也可更换时，也应说明其定期保养维护时间和更换频次。</w:t>
      </w:r>
    </w:p>
    <w:p>
      <w:pPr>
        <w:spacing w:line="520" w:lineRule="exact"/>
        <w:ind w:firstLine="640" w:firstLineChars="200"/>
        <w:outlineLvl w:val="3"/>
        <w:rPr>
          <w:rFonts w:eastAsia="仿宋_GB2312"/>
          <w:bCs/>
          <w:color w:val="auto"/>
          <w:sz w:val="32"/>
          <w:szCs w:val="32"/>
          <w:highlight w:val="none"/>
        </w:rPr>
      </w:pPr>
      <w:r>
        <w:rPr>
          <w:rFonts w:hint="eastAsia" w:eastAsia="仿宋_GB2312"/>
          <w:bCs/>
          <w:color w:val="auto"/>
          <w:sz w:val="32"/>
          <w:szCs w:val="32"/>
          <w:highlight w:val="none"/>
        </w:rPr>
        <w:t>5.2</w:t>
      </w:r>
      <w:r>
        <w:rPr>
          <w:rFonts w:eastAsia="仿宋_GB2312"/>
          <w:bCs/>
          <w:color w:val="auto"/>
          <w:sz w:val="32"/>
          <w:szCs w:val="32"/>
          <w:highlight w:val="none"/>
        </w:rPr>
        <w:t>运输稳定性</w:t>
      </w:r>
    </w:p>
    <w:p>
      <w:pPr>
        <w:spacing w:line="520" w:lineRule="exact"/>
        <w:ind w:firstLine="640" w:firstLineChars="200"/>
        <w:rPr>
          <w:rFonts w:eastAsia="仿宋_GB2312"/>
          <w:bCs/>
          <w:color w:val="auto"/>
          <w:sz w:val="32"/>
          <w:szCs w:val="32"/>
          <w:highlight w:val="none"/>
        </w:rPr>
      </w:pPr>
      <w:r>
        <w:rPr>
          <w:rFonts w:eastAsia="仿宋_GB2312"/>
          <w:bCs/>
          <w:color w:val="auto"/>
          <w:sz w:val="32"/>
          <w:szCs w:val="32"/>
          <w:highlight w:val="none"/>
        </w:rPr>
        <w:t>应当提供运输稳定性和包装研究资料，证明在生产企业规定的运输条件下，运输过程中的环境条件（例如：震动、振动、温度和湿度的波动）不会对医疗器械的特性和性能，包括完整性和清洁度，造成不利影响。</w:t>
      </w:r>
    </w:p>
    <w:p>
      <w:pPr>
        <w:spacing w:line="520" w:lineRule="exact"/>
        <w:ind w:firstLine="640" w:firstLineChars="200"/>
        <w:jc w:val="left"/>
        <w:outlineLvl w:val="1"/>
        <w:rPr>
          <w:rFonts w:hint="eastAsia" w:ascii="楷体_GB2312" w:eastAsia="楷体_GB2312"/>
          <w:snapToGrid w:val="0"/>
          <w:color w:val="auto"/>
          <w:kern w:val="0"/>
          <w:sz w:val="32"/>
          <w:szCs w:val="32"/>
          <w:highlight w:val="none"/>
        </w:rPr>
      </w:pPr>
      <w:r>
        <w:rPr>
          <w:rFonts w:hint="eastAsia" w:ascii="楷体_GB2312" w:eastAsia="楷体_GB2312"/>
          <w:color w:val="auto"/>
          <w:sz w:val="32"/>
          <w:highlight w:val="none"/>
        </w:rPr>
        <w:t>（四）临床评价资料</w:t>
      </w:r>
    </w:p>
    <w:p>
      <w:pPr>
        <w:keepNext w:val="0"/>
        <w:keepLines w:val="0"/>
        <w:widowControl w:val="0"/>
        <w:suppressLineNumbers w:val="0"/>
        <w:adjustRightInd w:val="0"/>
        <w:spacing w:before="0" w:beforeAutospacing="0" w:after="0" w:afterAutospacing="0" w:line="520" w:lineRule="exact"/>
        <w:ind w:left="0" w:right="0" w:firstLine="640" w:firstLineChars="200"/>
        <w:jc w:val="both"/>
        <w:rPr>
          <w:rFonts w:hint="eastAsia" w:ascii="Times New Roman" w:hAnsi="Times New Roman" w:eastAsia="仿宋_GB2312" w:cs="Times New Roman"/>
          <w:b/>
          <w:bCs/>
          <w:color w:val="auto"/>
          <w:kern w:val="2"/>
          <w:sz w:val="32"/>
          <w:szCs w:val="32"/>
          <w:highlight w:val="none"/>
          <w:lang w:eastAsia="zh-CN"/>
        </w:rPr>
      </w:pPr>
      <w:r>
        <w:rPr>
          <w:rFonts w:hint="eastAsia" w:ascii="仿宋_GB2312" w:hAnsi="Times New Roman" w:eastAsia="仿宋_GB2312" w:cs="仿宋_GB2312"/>
          <w:color w:val="auto"/>
          <w:kern w:val="2"/>
          <w:sz w:val="32"/>
          <w:szCs w:val="32"/>
          <w:highlight w:val="none"/>
          <w:lang w:val="en-US" w:eastAsia="zh-CN"/>
        </w:rPr>
        <w:t>直流电药物导入</w:t>
      </w:r>
      <w:r>
        <w:rPr>
          <w:rFonts w:hint="default" w:ascii="仿宋_GB2312" w:hAnsi="Times New Roman" w:eastAsia="仿宋_GB2312" w:cs="仿宋_GB2312"/>
          <w:color w:val="auto"/>
          <w:kern w:val="2"/>
          <w:sz w:val="32"/>
          <w:szCs w:val="32"/>
          <w:highlight w:val="none"/>
          <w:lang w:val="en-US" w:eastAsia="zh-CN"/>
        </w:rPr>
        <w:t>设备不属于《免于临床评价医疗器械目录》中的产品，注册申请人应按照《医疗器械临床试验质量管理规范》《医疗器械临床评价技术指导原则》《决策是否开展医疗器械临床试验技术指导原则》《医疗器械临床评价等同性论证技术指导原则》《医疗器械注册申报临床评价报告技术指导原则》等相关要求开展申报产品的临床评价并提供临床评价资料。建议注册申请人结合申报产品的临床应用情形，风险和受益等，选择合理的临床评价路径（包括同品种临床评价路径和</w:t>
      </w:r>
      <w:r>
        <w:rPr>
          <w:rFonts w:hint="default" w:ascii="Times New Roman" w:hAnsi="Times New Roman" w:eastAsia="仿宋_GB2312" w:cs="Times New Roman"/>
          <w:color w:val="auto"/>
          <w:kern w:val="2"/>
          <w:sz w:val="32"/>
          <w:szCs w:val="32"/>
          <w:highlight w:val="none"/>
          <w:lang w:val="en-US" w:eastAsia="zh-CN"/>
        </w:rPr>
        <w:t>/</w:t>
      </w:r>
      <w:r>
        <w:rPr>
          <w:rFonts w:hint="default" w:ascii="仿宋_GB2312" w:hAnsi="Times New Roman" w:eastAsia="仿宋_GB2312" w:cs="仿宋_GB2312"/>
          <w:color w:val="auto"/>
          <w:kern w:val="2"/>
          <w:sz w:val="32"/>
          <w:szCs w:val="32"/>
          <w:highlight w:val="none"/>
          <w:lang w:val="en-US" w:eastAsia="zh-CN"/>
        </w:rPr>
        <w:t>或临床试验路径），论证其临床应用的安全有效性。</w:t>
      </w:r>
    </w:p>
    <w:p>
      <w:pPr>
        <w:keepNext/>
        <w:keepLines/>
        <w:spacing w:line="520" w:lineRule="exact"/>
        <w:ind w:left="420" w:leftChars="200"/>
        <w:jc w:val="left"/>
        <w:outlineLvl w:val="1"/>
        <w:rPr>
          <w:rFonts w:eastAsia="楷体"/>
          <w:color w:val="auto"/>
          <w:sz w:val="32"/>
          <w:highlight w:val="none"/>
        </w:rPr>
      </w:pPr>
      <w:r>
        <w:rPr>
          <w:rFonts w:eastAsia="楷体"/>
          <w:color w:val="auto"/>
          <w:sz w:val="32"/>
          <w:highlight w:val="none"/>
        </w:rPr>
        <w:t>（五）产品说明书和标签样稿</w:t>
      </w:r>
    </w:p>
    <w:p>
      <w:pPr>
        <w:overflowPunct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产品的说明书、标签应当符合《医疗器械说明书和标签管理规定》</w:t>
      </w:r>
      <w:r>
        <w:rPr>
          <w:rFonts w:hint="eastAsia" w:eastAsia="仿宋_GB2312"/>
          <w:color w:val="auto"/>
          <w:sz w:val="32"/>
          <w:szCs w:val="32"/>
          <w:highlight w:val="none"/>
        </w:rPr>
        <w:t>和其他相关法规、规范性文件、强制性标准</w:t>
      </w:r>
      <w:r>
        <w:rPr>
          <w:rFonts w:eastAsia="仿宋_GB2312"/>
          <w:color w:val="auto"/>
          <w:sz w:val="32"/>
          <w:szCs w:val="32"/>
          <w:highlight w:val="none"/>
        </w:rPr>
        <w:t>的</w:t>
      </w:r>
      <w:r>
        <w:rPr>
          <w:rFonts w:hint="eastAsia" w:eastAsia="仿宋_GB2312"/>
          <w:color w:val="auto"/>
          <w:sz w:val="32"/>
          <w:szCs w:val="32"/>
          <w:highlight w:val="none"/>
        </w:rPr>
        <w:t>要求</w:t>
      </w:r>
      <w:r>
        <w:rPr>
          <w:rFonts w:eastAsia="仿宋_GB2312"/>
          <w:color w:val="auto"/>
          <w:sz w:val="32"/>
          <w:szCs w:val="32"/>
          <w:highlight w:val="none"/>
        </w:rPr>
        <w:t>，结合产品的特点至少还应关注以下方面的内容：</w:t>
      </w:r>
    </w:p>
    <w:p>
      <w:pPr>
        <w:overflowPunct w:val="0"/>
        <w:spacing w:line="520" w:lineRule="exact"/>
        <w:ind w:firstLine="640" w:firstLineChars="200"/>
        <w:outlineLvl w:val="2"/>
        <w:rPr>
          <w:rFonts w:eastAsia="仿宋_GB2312"/>
          <w:color w:val="auto"/>
          <w:sz w:val="32"/>
          <w:szCs w:val="28"/>
          <w:highlight w:val="none"/>
          <w:u w:val="single"/>
        </w:rPr>
      </w:pPr>
      <w:r>
        <w:rPr>
          <w:rFonts w:eastAsia="仿宋_GB2312"/>
          <w:color w:val="auto"/>
          <w:sz w:val="32"/>
          <w:szCs w:val="28"/>
          <w:highlight w:val="none"/>
        </w:rPr>
        <w:t>1.产品的性能指标应符合产品标准中相关的要求。</w:t>
      </w:r>
    </w:p>
    <w:p>
      <w:pPr>
        <w:overflowPunct w:val="0"/>
        <w:spacing w:line="520" w:lineRule="exact"/>
        <w:ind w:firstLine="640" w:firstLineChars="200"/>
        <w:outlineLvl w:val="2"/>
        <w:rPr>
          <w:rFonts w:eastAsia="仿宋_GB2312"/>
          <w:color w:val="auto"/>
          <w:sz w:val="32"/>
          <w:szCs w:val="28"/>
          <w:highlight w:val="none"/>
        </w:rPr>
      </w:pPr>
      <w:r>
        <w:rPr>
          <w:rFonts w:eastAsia="仿宋_GB2312"/>
          <w:color w:val="auto"/>
          <w:sz w:val="32"/>
          <w:szCs w:val="28"/>
          <w:highlight w:val="none"/>
        </w:rPr>
        <w:t>2.如提及</w:t>
      </w:r>
      <w:r>
        <w:rPr>
          <w:rFonts w:hint="eastAsia" w:eastAsia="仿宋_GB2312"/>
          <w:color w:val="auto"/>
          <w:sz w:val="32"/>
          <w:szCs w:val="28"/>
          <w:highlight w:val="none"/>
        </w:rPr>
        <w:t>模式/参数</w:t>
      </w:r>
      <w:r>
        <w:rPr>
          <w:rFonts w:eastAsia="仿宋_GB2312"/>
          <w:color w:val="auto"/>
          <w:sz w:val="32"/>
          <w:szCs w:val="28"/>
          <w:highlight w:val="none"/>
        </w:rPr>
        <w:t>与适应证的对应关系，应</w:t>
      </w:r>
      <w:r>
        <w:rPr>
          <w:rFonts w:hint="eastAsia" w:eastAsia="仿宋_GB2312"/>
          <w:color w:val="auto"/>
          <w:sz w:val="32"/>
          <w:szCs w:val="28"/>
          <w:highlight w:val="none"/>
        </w:rPr>
        <w:t>在研究资料中</w:t>
      </w:r>
      <w:r>
        <w:rPr>
          <w:rFonts w:eastAsia="仿宋_GB2312"/>
          <w:color w:val="auto"/>
          <w:sz w:val="32"/>
          <w:szCs w:val="28"/>
          <w:highlight w:val="none"/>
        </w:rPr>
        <w:t>提供相关证明资料。</w:t>
      </w:r>
    </w:p>
    <w:p>
      <w:pPr>
        <w:overflowPunct w:val="0"/>
        <w:spacing w:line="520" w:lineRule="exact"/>
        <w:ind w:firstLine="640" w:firstLineChars="200"/>
        <w:rPr>
          <w:rFonts w:eastAsia="仿宋_GB2312"/>
          <w:color w:val="auto"/>
          <w:sz w:val="32"/>
          <w:szCs w:val="28"/>
          <w:highlight w:val="none"/>
        </w:rPr>
      </w:pPr>
      <w:r>
        <w:rPr>
          <w:rFonts w:eastAsia="仿宋_GB2312"/>
          <w:color w:val="auto"/>
          <w:sz w:val="32"/>
          <w:szCs w:val="28"/>
          <w:highlight w:val="none"/>
        </w:rPr>
        <w:t>3.禁忌</w:t>
      </w:r>
      <w:r>
        <w:rPr>
          <w:rFonts w:hint="eastAsia" w:eastAsia="仿宋_GB2312"/>
          <w:color w:val="auto"/>
          <w:sz w:val="32"/>
          <w:szCs w:val="28"/>
          <w:highlight w:val="none"/>
        </w:rPr>
        <w:t>证一般</w:t>
      </w:r>
      <w:r>
        <w:rPr>
          <w:rFonts w:eastAsia="仿宋_GB2312"/>
          <w:color w:val="auto"/>
          <w:sz w:val="32"/>
          <w:szCs w:val="28"/>
          <w:highlight w:val="none"/>
        </w:rPr>
        <w:t>应包括</w:t>
      </w:r>
      <w:r>
        <w:rPr>
          <w:rFonts w:hint="eastAsia" w:eastAsia="仿宋_GB2312"/>
          <w:color w:val="auto"/>
          <w:sz w:val="32"/>
          <w:szCs w:val="28"/>
          <w:highlight w:val="none"/>
        </w:rPr>
        <w:t>本指导原则中提到的禁忌证内容。</w:t>
      </w:r>
    </w:p>
    <w:p>
      <w:pPr>
        <w:overflowPunct w:val="0"/>
        <w:spacing w:line="520" w:lineRule="exact"/>
        <w:ind w:firstLine="640" w:firstLineChars="200"/>
        <w:rPr>
          <w:rFonts w:eastAsia="仿宋_GB2312"/>
          <w:color w:val="auto"/>
          <w:sz w:val="32"/>
          <w:szCs w:val="28"/>
          <w:highlight w:val="none"/>
        </w:rPr>
      </w:pPr>
      <w:r>
        <w:rPr>
          <w:rFonts w:hint="eastAsia" w:eastAsia="仿宋_GB2312"/>
          <w:color w:val="auto"/>
          <w:sz w:val="32"/>
          <w:szCs w:val="28"/>
          <w:highlight w:val="none"/>
        </w:rPr>
        <w:t>4.应明确产品是否可用于家庭环境。</w:t>
      </w:r>
    </w:p>
    <w:p>
      <w:pPr>
        <w:overflowPunct w:val="0"/>
        <w:spacing w:line="520" w:lineRule="exact"/>
        <w:ind w:firstLine="640" w:firstLineChars="200"/>
        <w:rPr>
          <w:rFonts w:eastAsia="仿宋_GB2312"/>
          <w:color w:val="auto"/>
          <w:sz w:val="32"/>
          <w:szCs w:val="28"/>
          <w:highlight w:val="none"/>
        </w:rPr>
      </w:pPr>
      <w:r>
        <w:rPr>
          <w:rFonts w:hint="eastAsia" w:eastAsia="仿宋_GB2312"/>
          <w:color w:val="auto"/>
          <w:sz w:val="32"/>
          <w:szCs w:val="28"/>
          <w:highlight w:val="none"/>
        </w:rPr>
        <w:t>5</w:t>
      </w:r>
      <w:r>
        <w:rPr>
          <w:rFonts w:eastAsia="仿宋_GB2312"/>
          <w:color w:val="auto"/>
          <w:sz w:val="32"/>
          <w:szCs w:val="28"/>
          <w:highlight w:val="none"/>
        </w:rPr>
        <w:t>.注意事项</w:t>
      </w:r>
      <w:r>
        <w:rPr>
          <w:rFonts w:hint="eastAsia" w:eastAsia="仿宋_GB2312"/>
          <w:color w:val="auto"/>
          <w:sz w:val="32"/>
          <w:szCs w:val="28"/>
          <w:highlight w:val="none"/>
        </w:rPr>
        <w:t>一般</w:t>
      </w:r>
      <w:r>
        <w:rPr>
          <w:rFonts w:eastAsia="仿宋_GB2312"/>
          <w:color w:val="auto"/>
          <w:sz w:val="32"/>
          <w:szCs w:val="28"/>
          <w:highlight w:val="none"/>
        </w:rPr>
        <w:t>应包括以下项目：</w:t>
      </w:r>
    </w:p>
    <w:p>
      <w:pPr>
        <w:overflowPunct w:val="0"/>
        <w:spacing w:line="520" w:lineRule="exact"/>
        <w:ind w:firstLine="640" w:firstLineChars="200"/>
        <w:outlineLvl w:val="3"/>
        <w:rPr>
          <w:rFonts w:eastAsia="仿宋_GB2312"/>
          <w:color w:val="auto"/>
          <w:sz w:val="32"/>
          <w:szCs w:val="28"/>
          <w:highlight w:val="none"/>
        </w:rPr>
      </w:pPr>
      <w:r>
        <w:rPr>
          <w:rFonts w:hint="eastAsia" w:eastAsia="仿宋_GB2312"/>
          <w:color w:val="auto"/>
          <w:sz w:val="32"/>
          <w:szCs w:val="28"/>
          <w:highlight w:val="none"/>
        </w:rPr>
        <w:t>5</w:t>
      </w:r>
      <w:r>
        <w:rPr>
          <w:rFonts w:eastAsia="仿宋_GB2312"/>
          <w:color w:val="auto"/>
          <w:sz w:val="32"/>
          <w:szCs w:val="28"/>
          <w:highlight w:val="none"/>
        </w:rPr>
        <w:t>.</w:t>
      </w:r>
      <w:r>
        <w:rPr>
          <w:rFonts w:hint="eastAsia" w:eastAsia="仿宋_GB2312"/>
          <w:color w:val="auto"/>
          <w:sz w:val="32"/>
          <w:szCs w:val="28"/>
          <w:highlight w:val="none"/>
          <w:lang w:val="en-US" w:eastAsia="zh-CN"/>
        </w:rPr>
        <w:t>1</w:t>
      </w:r>
      <w:r>
        <w:rPr>
          <w:rFonts w:eastAsia="仿宋_GB2312"/>
          <w:color w:val="auto"/>
          <w:sz w:val="32"/>
          <w:szCs w:val="28"/>
          <w:highlight w:val="none"/>
        </w:rPr>
        <w:t>电极必须与皮肤充分均匀接触，否则有灼伤危险。</w:t>
      </w:r>
    </w:p>
    <w:p>
      <w:pPr>
        <w:overflowPunct w:val="0"/>
        <w:spacing w:line="520" w:lineRule="exact"/>
        <w:ind w:firstLine="640" w:firstLineChars="200"/>
        <w:rPr>
          <w:rFonts w:eastAsia="仿宋_GB2312"/>
          <w:color w:val="auto"/>
          <w:sz w:val="32"/>
          <w:szCs w:val="28"/>
          <w:highlight w:val="none"/>
        </w:rPr>
      </w:pPr>
      <w:r>
        <w:rPr>
          <w:rFonts w:hint="eastAsia" w:eastAsia="仿宋_GB2312"/>
          <w:color w:val="auto"/>
          <w:sz w:val="32"/>
          <w:szCs w:val="28"/>
          <w:highlight w:val="none"/>
        </w:rPr>
        <w:t>5</w:t>
      </w:r>
      <w:r>
        <w:rPr>
          <w:rFonts w:eastAsia="仿宋_GB2312"/>
          <w:color w:val="auto"/>
          <w:sz w:val="32"/>
          <w:szCs w:val="28"/>
          <w:highlight w:val="none"/>
        </w:rPr>
        <w:t>.</w:t>
      </w:r>
      <w:r>
        <w:rPr>
          <w:rFonts w:hint="eastAsia" w:eastAsia="仿宋_GB2312"/>
          <w:color w:val="auto"/>
          <w:sz w:val="32"/>
          <w:szCs w:val="28"/>
          <w:highlight w:val="none"/>
          <w:lang w:val="en-US" w:eastAsia="zh-CN"/>
        </w:rPr>
        <w:t>2</w:t>
      </w:r>
      <w:r>
        <w:rPr>
          <w:rFonts w:eastAsia="仿宋_GB2312"/>
          <w:color w:val="auto"/>
          <w:sz w:val="32"/>
          <w:szCs w:val="28"/>
          <w:highlight w:val="none"/>
        </w:rPr>
        <w:t>两电极不可同时置于心脏投影区前后、左右，任何电极放置方法电流都不可以流过心脏。</w:t>
      </w:r>
    </w:p>
    <w:p>
      <w:pPr>
        <w:overflowPunct w:val="0"/>
        <w:spacing w:line="520" w:lineRule="exact"/>
        <w:ind w:firstLine="640" w:firstLineChars="200"/>
        <w:outlineLvl w:val="3"/>
        <w:rPr>
          <w:rFonts w:eastAsia="仿宋_GB2312"/>
          <w:color w:val="auto"/>
          <w:sz w:val="32"/>
          <w:szCs w:val="28"/>
          <w:highlight w:val="none"/>
        </w:rPr>
      </w:pPr>
      <w:r>
        <w:rPr>
          <w:rFonts w:hint="eastAsia" w:eastAsia="仿宋_GB2312"/>
          <w:color w:val="auto"/>
          <w:sz w:val="32"/>
          <w:szCs w:val="28"/>
          <w:highlight w:val="none"/>
        </w:rPr>
        <w:t>5</w:t>
      </w:r>
      <w:r>
        <w:rPr>
          <w:rFonts w:eastAsia="仿宋_GB2312"/>
          <w:color w:val="auto"/>
          <w:sz w:val="32"/>
          <w:szCs w:val="28"/>
          <w:highlight w:val="none"/>
        </w:rPr>
        <w:t>.</w:t>
      </w:r>
      <w:r>
        <w:rPr>
          <w:rFonts w:hint="eastAsia" w:eastAsia="仿宋_GB2312"/>
          <w:color w:val="auto"/>
          <w:sz w:val="32"/>
          <w:szCs w:val="28"/>
          <w:highlight w:val="none"/>
          <w:lang w:val="en-US" w:eastAsia="zh-CN"/>
        </w:rPr>
        <w:t>3</w:t>
      </w:r>
      <w:r>
        <w:rPr>
          <w:rFonts w:eastAsia="仿宋_GB2312"/>
          <w:color w:val="auto"/>
          <w:sz w:val="32"/>
          <w:szCs w:val="28"/>
          <w:highlight w:val="none"/>
        </w:rPr>
        <w:t>使用中如有任何不适，应立即停止治疗。</w:t>
      </w:r>
    </w:p>
    <w:p>
      <w:pPr>
        <w:overflowPunct w:val="0"/>
        <w:spacing w:line="520" w:lineRule="exact"/>
        <w:ind w:firstLine="640" w:firstLineChars="200"/>
        <w:rPr>
          <w:rFonts w:hint="default" w:eastAsia="宋体"/>
          <w:color w:val="auto"/>
          <w:sz w:val="32"/>
          <w:szCs w:val="28"/>
          <w:highlight w:val="none"/>
          <w:lang w:val="en-US" w:eastAsia="zh-CN"/>
        </w:rPr>
      </w:pPr>
      <w:r>
        <w:rPr>
          <w:rFonts w:hint="eastAsia" w:eastAsia="仿宋_GB2312"/>
          <w:color w:val="auto"/>
          <w:sz w:val="32"/>
          <w:szCs w:val="28"/>
          <w:highlight w:val="none"/>
        </w:rPr>
        <w:t>5</w:t>
      </w:r>
      <w:r>
        <w:rPr>
          <w:rFonts w:eastAsia="仿宋_GB2312"/>
          <w:color w:val="auto"/>
          <w:sz w:val="32"/>
          <w:szCs w:val="28"/>
          <w:highlight w:val="none"/>
        </w:rPr>
        <w:t>.</w:t>
      </w:r>
      <w:r>
        <w:rPr>
          <w:rFonts w:hint="eastAsia" w:eastAsia="仿宋_GB2312"/>
          <w:color w:val="auto"/>
          <w:sz w:val="32"/>
          <w:szCs w:val="28"/>
          <w:highlight w:val="none"/>
          <w:lang w:val="en-US" w:eastAsia="zh-CN"/>
        </w:rPr>
        <w:t>4</w:t>
      </w:r>
      <w:r>
        <w:rPr>
          <w:rFonts w:eastAsia="仿宋_GB2312"/>
          <w:color w:val="auto"/>
          <w:sz w:val="32"/>
          <w:szCs w:val="28"/>
          <w:highlight w:val="none"/>
        </w:rPr>
        <w:t>每次使用完毕后，</w:t>
      </w:r>
      <w:r>
        <w:rPr>
          <w:rFonts w:hint="eastAsia" w:eastAsia="仿宋_GB2312"/>
          <w:color w:val="auto"/>
          <w:sz w:val="32"/>
          <w:szCs w:val="28"/>
          <w:highlight w:val="none"/>
        </w:rPr>
        <w:t>可重复使用</w:t>
      </w:r>
      <w:r>
        <w:rPr>
          <w:rFonts w:eastAsia="仿宋_GB2312"/>
          <w:color w:val="auto"/>
          <w:sz w:val="32"/>
          <w:szCs w:val="28"/>
          <w:highlight w:val="none"/>
        </w:rPr>
        <w:t>电极与人接触部分应进行清洗消毒。</w:t>
      </w:r>
    </w:p>
    <w:p>
      <w:pPr>
        <w:overflowPunct w:val="0"/>
        <w:spacing w:line="520" w:lineRule="exact"/>
        <w:ind w:firstLine="640" w:firstLineChars="200"/>
        <w:rPr>
          <w:rFonts w:eastAsia="仿宋_GB2312"/>
          <w:color w:val="auto"/>
          <w:sz w:val="32"/>
          <w:szCs w:val="28"/>
          <w:highlight w:val="none"/>
        </w:rPr>
      </w:pPr>
      <w:r>
        <w:rPr>
          <w:rFonts w:hint="eastAsia" w:eastAsia="仿宋_GB2312"/>
          <w:color w:val="auto"/>
          <w:sz w:val="32"/>
          <w:szCs w:val="28"/>
          <w:highlight w:val="none"/>
        </w:rPr>
        <w:t>5</w:t>
      </w:r>
      <w:r>
        <w:rPr>
          <w:rFonts w:eastAsia="仿宋_GB2312"/>
          <w:color w:val="auto"/>
          <w:sz w:val="32"/>
          <w:szCs w:val="28"/>
          <w:highlight w:val="none"/>
        </w:rPr>
        <w:t>.</w:t>
      </w:r>
      <w:r>
        <w:rPr>
          <w:rFonts w:hint="eastAsia" w:eastAsia="仿宋_GB2312"/>
          <w:color w:val="auto"/>
          <w:sz w:val="32"/>
          <w:szCs w:val="28"/>
          <w:highlight w:val="none"/>
          <w:lang w:val="en-US" w:eastAsia="zh-CN"/>
        </w:rPr>
        <w:t>5</w:t>
      </w:r>
      <w:r>
        <w:rPr>
          <w:rFonts w:eastAsia="仿宋_GB2312"/>
          <w:color w:val="auto"/>
          <w:sz w:val="32"/>
          <w:szCs w:val="28"/>
          <w:highlight w:val="none"/>
        </w:rPr>
        <w:t>应明确</w:t>
      </w:r>
      <w:r>
        <w:rPr>
          <w:rFonts w:hint="eastAsia" w:eastAsia="仿宋_GB2312"/>
          <w:color w:val="auto"/>
          <w:sz w:val="32"/>
          <w:szCs w:val="28"/>
          <w:highlight w:val="none"/>
          <w:lang w:eastAsia="zh-CN"/>
        </w:rPr>
        <w:t>“</w:t>
      </w:r>
      <w:r>
        <w:rPr>
          <w:rFonts w:eastAsia="仿宋_GB2312"/>
          <w:color w:val="auto"/>
          <w:sz w:val="32"/>
          <w:szCs w:val="28"/>
          <w:highlight w:val="none"/>
        </w:rPr>
        <w:t>建议在医生指导下使用</w:t>
      </w:r>
      <w:r>
        <w:rPr>
          <w:rFonts w:hint="eastAsia" w:eastAsia="仿宋_GB2312"/>
          <w:color w:val="auto"/>
          <w:sz w:val="32"/>
          <w:szCs w:val="28"/>
          <w:highlight w:val="none"/>
          <w:lang w:eastAsia="zh-CN"/>
        </w:rPr>
        <w:t>”</w:t>
      </w:r>
      <w:r>
        <w:rPr>
          <w:rFonts w:eastAsia="仿宋_GB2312"/>
          <w:color w:val="auto"/>
          <w:sz w:val="32"/>
          <w:szCs w:val="28"/>
          <w:highlight w:val="none"/>
        </w:rPr>
        <w:t>。</w:t>
      </w:r>
    </w:p>
    <w:p>
      <w:pPr>
        <w:overflowPunct w:val="0"/>
        <w:spacing w:line="520" w:lineRule="exact"/>
        <w:ind w:firstLine="640" w:firstLineChars="200"/>
        <w:rPr>
          <w:rFonts w:eastAsia="仿宋_GB2312"/>
          <w:color w:val="auto"/>
          <w:sz w:val="32"/>
          <w:szCs w:val="28"/>
          <w:highlight w:val="none"/>
        </w:rPr>
      </w:pPr>
      <w:r>
        <w:rPr>
          <w:rFonts w:hint="eastAsia" w:eastAsia="仿宋_GB2312"/>
          <w:color w:val="auto"/>
          <w:sz w:val="32"/>
          <w:szCs w:val="28"/>
          <w:highlight w:val="none"/>
        </w:rPr>
        <w:t>5</w:t>
      </w:r>
      <w:r>
        <w:rPr>
          <w:rFonts w:eastAsia="仿宋_GB2312"/>
          <w:color w:val="auto"/>
          <w:sz w:val="32"/>
          <w:szCs w:val="28"/>
          <w:highlight w:val="none"/>
        </w:rPr>
        <w:t>.</w:t>
      </w:r>
      <w:r>
        <w:rPr>
          <w:rFonts w:hint="eastAsia" w:eastAsia="仿宋_GB2312"/>
          <w:color w:val="auto"/>
          <w:sz w:val="32"/>
          <w:szCs w:val="28"/>
          <w:highlight w:val="none"/>
          <w:lang w:val="en-US" w:eastAsia="zh-CN"/>
        </w:rPr>
        <w:t>6</w:t>
      </w:r>
      <w:r>
        <w:rPr>
          <w:rFonts w:eastAsia="仿宋_GB2312"/>
          <w:color w:val="auto"/>
          <w:sz w:val="32"/>
          <w:szCs w:val="28"/>
          <w:highlight w:val="none"/>
        </w:rPr>
        <w:t>应明确</w:t>
      </w:r>
      <w:r>
        <w:rPr>
          <w:rFonts w:hint="eastAsia" w:eastAsia="仿宋_GB2312"/>
          <w:color w:val="auto"/>
          <w:sz w:val="32"/>
          <w:szCs w:val="28"/>
          <w:highlight w:val="none"/>
          <w:lang w:eastAsia="zh-CN"/>
        </w:rPr>
        <w:t>“</w:t>
      </w:r>
      <w:r>
        <w:rPr>
          <w:rFonts w:eastAsia="仿宋_GB2312"/>
          <w:color w:val="auto"/>
          <w:sz w:val="32"/>
          <w:szCs w:val="28"/>
          <w:highlight w:val="none"/>
        </w:rPr>
        <w:t>阅读说明书后再使用</w:t>
      </w:r>
      <w:r>
        <w:rPr>
          <w:rFonts w:hint="eastAsia" w:eastAsia="仿宋_GB2312"/>
          <w:color w:val="auto"/>
          <w:sz w:val="32"/>
          <w:szCs w:val="28"/>
          <w:highlight w:val="none"/>
          <w:lang w:eastAsia="zh-CN"/>
        </w:rPr>
        <w:t>”</w:t>
      </w:r>
      <w:r>
        <w:rPr>
          <w:rFonts w:eastAsia="仿宋_GB2312"/>
          <w:color w:val="auto"/>
          <w:sz w:val="32"/>
          <w:szCs w:val="28"/>
          <w:highlight w:val="none"/>
        </w:rPr>
        <w:t>。</w:t>
      </w:r>
    </w:p>
    <w:p>
      <w:pPr>
        <w:overflowPunct w:val="0"/>
        <w:spacing w:line="520" w:lineRule="exact"/>
        <w:ind w:firstLine="640" w:firstLineChars="200"/>
        <w:rPr>
          <w:rFonts w:eastAsia="仿宋_GB2312"/>
          <w:color w:val="auto"/>
          <w:sz w:val="32"/>
          <w:szCs w:val="28"/>
          <w:highlight w:val="none"/>
        </w:rPr>
      </w:pPr>
      <w:r>
        <w:rPr>
          <w:rFonts w:hint="eastAsia" w:eastAsia="仿宋_GB2312"/>
          <w:color w:val="auto"/>
          <w:sz w:val="32"/>
          <w:szCs w:val="28"/>
          <w:highlight w:val="none"/>
        </w:rPr>
        <w:t>说明书中相关信息和说明应易于理解和使用，建议多采用图示方式予以说明。注意事项还应包含以下内容：</w:t>
      </w:r>
    </w:p>
    <w:p>
      <w:pPr>
        <w:overflowPunct w:val="0"/>
        <w:spacing w:line="520" w:lineRule="exact"/>
        <w:ind w:firstLine="640" w:firstLineChars="200"/>
        <w:rPr>
          <w:rFonts w:eastAsia="仿宋_GB2312"/>
          <w:color w:val="auto"/>
          <w:sz w:val="32"/>
          <w:szCs w:val="28"/>
          <w:highlight w:val="none"/>
        </w:rPr>
      </w:pPr>
      <w:r>
        <w:rPr>
          <w:rFonts w:hint="eastAsia" w:eastAsia="仿宋_GB2312"/>
          <w:color w:val="auto"/>
          <w:sz w:val="32"/>
          <w:szCs w:val="28"/>
          <w:highlight w:val="none"/>
        </w:rPr>
        <w:t>5</w:t>
      </w:r>
      <w:r>
        <w:rPr>
          <w:rFonts w:eastAsia="仿宋_GB2312"/>
          <w:color w:val="auto"/>
          <w:sz w:val="32"/>
          <w:szCs w:val="28"/>
          <w:highlight w:val="none"/>
        </w:rPr>
        <w:t>.</w:t>
      </w:r>
      <w:r>
        <w:rPr>
          <w:rFonts w:hint="eastAsia" w:eastAsia="仿宋_GB2312"/>
          <w:color w:val="auto"/>
          <w:sz w:val="32"/>
          <w:szCs w:val="28"/>
          <w:highlight w:val="none"/>
          <w:lang w:val="en-US" w:eastAsia="zh-CN"/>
        </w:rPr>
        <w:t>7</w:t>
      </w:r>
      <w:r>
        <w:rPr>
          <w:rFonts w:eastAsia="仿宋_GB2312"/>
          <w:color w:val="auto"/>
          <w:sz w:val="32"/>
          <w:szCs w:val="28"/>
          <w:highlight w:val="none"/>
        </w:rPr>
        <w:t>.1</w:t>
      </w:r>
      <w:r>
        <w:rPr>
          <w:rFonts w:hint="eastAsia" w:eastAsia="仿宋_GB2312"/>
          <w:color w:val="auto"/>
          <w:sz w:val="32"/>
          <w:szCs w:val="28"/>
          <w:highlight w:val="none"/>
        </w:rPr>
        <w:t>说明不适宜使用该产品的人群（如过敏体质、敏感性肌肤等）和应用部位（灼伤、水泡、伤口、感染等）。有皮肤相关疾病的患者应</w:t>
      </w:r>
      <w:r>
        <w:rPr>
          <w:rFonts w:hint="eastAsia" w:eastAsia="仿宋_GB2312"/>
          <w:color w:val="auto"/>
          <w:sz w:val="32"/>
          <w:szCs w:val="28"/>
          <w:highlight w:val="none"/>
          <w:lang w:val="en-US" w:eastAsia="zh-CN"/>
        </w:rPr>
        <w:t>由</w:t>
      </w:r>
      <w:r>
        <w:rPr>
          <w:rFonts w:hint="eastAsia" w:eastAsia="仿宋_GB2312"/>
          <w:color w:val="auto"/>
          <w:sz w:val="32"/>
          <w:szCs w:val="28"/>
          <w:highlight w:val="none"/>
        </w:rPr>
        <w:t>医生确定是否可使用该产品。</w:t>
      </w:r>
    </w:p>
    <w:p>
      <w:pPr>
        <w:overflowPunct w:val="0"/>
        <w:spacing w:line="520" w:lineRule="exact"/>
        <w:ind w:firstLine="640" w:firstLineChars="200"/>
        <w:rPr>
          <w:rFonts w:eastAsia="仿宋_GB2312"/>
          <w:color w:val="auto"/>
          <w:sz w:val="32"/>
          <w:szCs w:val="28"/>
          <w:highlight w:val="none"/>
        </w:rPr>
      </w:pPr>
      <w:r>
        <w:rPr>
          <w:rFonts w:hint="eastAsia" w:eastAsia="仿宋_GB2312"/>
          <w:color w:val="auto"/>
          <w:sz w:val="32"/>
          <w:szCs w:val="28"/>
          <w:highlight w:val="none"/>
        </w:rPr>
        <w:t>5</w:t>
      </w:r>
      <w:r>
        <w:rPr>
          <w:rFonts w:eastAsia="仿宋_GB2312"/>
          <w:color w:val="auto"/>
          <w:sz w:val="32"/>
          <w:szCs w:val="28"/>
          <w:highlight w:val="none"/>
        </w:rPr>
        <w:t>.</w:t>
      </w:r>
      <w:r>
        <w:rPr>
          <w:rFonts w:hint="eastAsia" w:eastAsia="仿宋_GB2312"/>
          <w:color w:val="auto"/>
          <w:sz w:val="32"/>
          <w:szCs w:val="28"/>
          <w:highlight w:val="none"/>
          <w:lang w:val="en-US" w:eastAsia="zh-CN"/>
        </w:rPr>
        <w:t>7</w:t>
      </w:r>
      <w:r>
        <w:rPr>
          <w:rFonts w:eastAsia="仿宋_GB2312"/>
          <w:color w:val="auto"/>
          <w:sz w:val="32"/>
          <w:szCs w:val="28"/>
          <w:highlight w:val="none"/>
        </w:rPr>
        <w:t>.2</w:t>
      </w:r>
      <w:r>
        <w:rPr>
          <w:rFonts w:hint="eastAsia" w:eastAsia="仿宋_GB2312"/>
          <w:color w:val="auto"/>
          <w:sz w:val="32"/>
          <w:szCs w:val="28"/>
          <w:highlight w:val="none"/>
        </w:rPr>
        <w:t>如果使用后出现异常或不适，应立刻停止使用并就医治疗。</w:t>
      </w:r>
    </w:p>
    <w:p>
      <w:pPr>
        <w:overflowPunct w:val="0"/>
        <w:spacing w:line="520" w:lineRule="exact"/>
        <w:ind w:firstLine="640" w:firstLineChars="200"/>
        <w:rPr>
          <w:rFonts w:eastAsia="仿宋_GB2312"/>
          <w:color w:val="auto"/>
          <w:sz w:val="32"/>
          <w:szCs w:val="28"/>
          <w:highlight w:val="none"/>
        </w:rPr>
      </w:pPr>
      <w:r>
        <w:rPr>
          <w:rFonts w:hint="eastAsia" w:eastAsia="仿宋_GB2312"/>
          <w:color w:val="auto"/>
          <w:sz w:val="32"/>
          <w:szCs w:val="28"/>
          <w:highlight w:val="none"/>
        </w:rPr>
        <w:t>5</w:t>
      </w:r>
      <w:r>
        <w:rPr>
          <w:rFonts w:eastAsia="仿宋_GB2312"/>
          <w:color w:val="auto"/>
          <w:sz w:val="32"/>
          <w:szCs w:val="28"/>
          <w:highlight w:val="none"/>
        </w:rPr>
        <w:t>.</w:t>
      </w:r>
      <w:r>
        <w:rPr>
          <w:rFonts w:hint="eastAsia" w:eastAsia="仿宋_GB2312"/>
          <w:color w:val="auto"/>
          <w:sz w:val="32"/>
          <w:szCs w:val="28"/>
          <w:highlight w:val="none"/>
          <w:lang w:val="en-US" w:eastAsia="zh-CN"/>
        </w:rPr>
        <w:t>7</w:t>
      </w:r>
      <w:r>
        <w:rPr>
          <w:rFonts w:eastAsia="仿宋_GB2312"/>
          <w:color w:val="auto"/>
          <w:sz w:val="32"/>
          <w:szCs w:val="28"/>
          <w:highlight w:val="none"/>
        </w:rPr>
        <w:t>.3</w:t>
      </w:r>
      <w:r>
        <w:rPr>
          <w:rFonts w:hint="eastAsia" w:eastAsia="仿宋_GB2312"/>
          <w:color w:val="auto"/>
          <w:sz w:val="32"/>
          <w:szCs w:val="28"/>
          <w:highlight w:val="none"/>
        </w:rPr>
        <w:t>给出完整的设备操作方法和操作流程，以及在预期环境下使用的常见风险和相关注意事项。</w:t>
      </w:r>
    </w:p>
    <w:p>
      <w:pPr>
        <w:overflowPunct w:val="0"/>
        <w:spacing w:line="520" w:lineRule="exact"/>
        <w:ind w:firstLine="640" w:firstLineChars="200"/>
        <w:rPr>
          <w:rFonts w:hint="default" w:eastAsia="仿宋_GB2312"/>
          <w:color w:val="auto"/>
          <w:sz w:val="32"/>
          <w:szCs w:val="28"/>
          <w:highlight w:val="none"/>
          <w:lang w:val="en-US" w:eastAsia="zh-CN"/>
        </w:rPr>
      </w:pPr>
      <w:r>
        <w:rPr>
          <w:rFonts w:hint="eastAsia" w:eastAsia="仿宋_GB2312"/>
          <w:color w:val="auto"/>
          <w:sz w:val="32"/>
          <w:szCs w:val="28"/>
          <w:highlight w:val="none"/>
        </w:rPr>
        <w:t>5</w:t>
      </w:r>
      <w:r>
        <w:rPr>
          <w:rFonts w:eastAsia="仿宋_GB2312"/>
          <w:color w:val="auto"/>
          <w:sz w:val="32"/>
          <w:szCs w:val="28"/>
          <w:highlight w:val="none"/>
        </w:rPr>
        <w:t>.</w:t>
      </w:r>
      <w:r>
        <w:rPr>
          <w:rFonts w:hint="eastAsia" w:eastAsia="仿宋_GB2312"/>
          <w:color w:val="auto"/>
          <w:sz w:val="32"/>
          <w:szCs w:val="28"/>
          <w:highlight w:val="none"/>
          <w:lang w:val="en-US" w:eastAsia="zh-CN"/>
        </w:rPr>
        <w:t>8</w:t>
      </w:r>
      <w:r>
        <w:rPr>
          <w:rFonts w:hint="eastAsia" w:eastAsia="仿宋_GB2312"/>
          <w:color w:val="auto"/>
          <w:sz w:val="32"/>
          <w:szCs w:val="28"/>
          <w:highlight w:val="none"/>
        </w:rPr>
        <w:t>对于内部电源设备，明确应使用指定的充电装置为设备充电，使用前应检查电池状态是否正常。</w:t>
      </w:r>
    </w:p>
    <w:p>
      <w:pPr>
        <w:spacing w:line="520" w:lineRule="exact"/>
        <w:ind w:right="-67" w:rightChars="-32" w:firstLine="640" w:firstLineChars="200"/>
        <w:outlineLvl w:val="1"/>
        <w:rPr>
          <w:rFonts w:eastAsia="楷体_GB2312"/>
          <w:color w:val="auto"/>
          <w:sz w:val="32"/>
          <w:szCs w:val="32"/>
          <w:highlight w:val="none"/>
        </w:rPr>
      </w:pPr>
      <w:r>
        <w:rPr>
          <w:rFonts w:eastAsia="楷体_GB2312"/>
          <w:color w:val="auto"/>
          <w:sz w:val="32"/>
          <w:szCs w:val="32"/>
          <w:highlight w:val="none"/>
        </w:rPr>
        <w:t>（六）质量管理体系文件</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产品的质量管理体系文件应符合《医疗器械生产质量管理规范》的要求，并按《医疗器械注册申报资料要求及说明》提交资料。</w:t>
      </w:r>
    </w:p>
    <w:p>
      <w:pPr>
        <w:tabs>
          <w:tab w:val="left" w:pos="8040"/>
        </w:tabs>
        <w:adjustRightInd w:val="0"/>
        <w:snapToGrid w:val="0"/>
        <w:spacing w:line="520" w:lineRule="exact"/>
        <w:ind w:firstLine="640" w:firstLineChars="200"/>
        <w:outlineLvl w:val="2"/>
        <w:rPr>
          <w:rFonts w:eastAsia="仿宋_GB2312"/>
          <w:color w:val="auto"/>
          <w:sz w:val="32"/>
          <w:szCs w:val="32"/>
          <w:highlight w:val="none"/>
        </w:rPr>
      </w:pPr>
      <w:r>
        <w:rPr>
          <w:rFonts w:eastAsia="仿宋_GB2312"/>
          <w:color w:val="auto"/>
          <w:sz w:val="32"/>
          <w:szCs w:val="32"/>
          <w:highlight w:val="none"/>
        </w:rPr>
        <w:t>1.生产制造信息应包含器械工作原理和总体生产工艺的简要说明。</w:t>
      </w:r>
    </w:p>
    <w:p>
      <w:pPr>
        <w:tabs>
          <w:tab w:val="left" w:pos="8040"/>
        </w:tabs>
        <w:adjustRightInd w:val="0"/>
        <w:snapToGrid w:val="0"/>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2.质量管理体系核查文件应当明确生产工艺主要控制点与项目及主要原材料、采购件的来源及质量控制方法，列明主要生产设备和检验设备（包括进货检验、过程检验、出厂最终检验所需的相关设备；在净化条件下生产的，还应当提供环境监测设备）目录，开展自检的应能满足自检需要。</w:t>
      </w:r>
    </w:p>
    <w:p>
      <w:pPr>
        <w:overflowPunct w:val="0"/>
        <w:autoSpaceDE w:val="0"/>
        <w:autoSpaceDN w:val="0"/>
        <w:spacing w:line="520" w:lineRule="exact"/>
        <w:ind w:firstLine="640" w:firstLineChars="200"/>
        <w:outlineLvl w:val="0"/>
        <w:rPr>
          <w:rFonts w:eastAsia="黑体" w:cs="仿宋_GB2312"/>
          <w:snapToGrid w:val="0"/>
          <w:color w:val="auto"/>
          <w:kern w:val="0"/>
          <w:sz w:val="32"/>
          <w:szCs w:val="32"/>
          <w:highlight w:val="none"/>
        </w:rPr>
      </w:pPr>
      <w:r>
        <w:rPr>
          <w:rFonts w:hint="eastAsia" w:eastAsia="黑体" w:cs="仿宋_GB2312"/>
          <w:snapToGrid w:val="0"/>
          <w:color w:val="auto"/>
          <w:kern w:val="0"/>
          <w:sz w:val="32"/>
          <w:szCs w:val="32"/>
          <w:highlight w:val="none"/>
        </w:rPr>
        <w:t>三</w:t>
      </w:r>
      <w:r>
        <w:rPr>
          <w:rFonts w:eastAsia="黑体" w:cs="仿宋_GB2312"/>
          <w:snapToGrid w:val="0"/>
          <w:color w:val="auto"/>
          <w:kern w:val="0"/>
          <w:sz w:val="32"/>
          <w:szCs w:val="32"/>
          <w:highlight w:val="none"/>
        </w:rPr>
        <w:t>、参考文献</w:t>
      </w:r>
    </w:p>
    <w:p>
      <w:pPr>
        <w:spacing w:line="520" w:lineRule="exact"/>
        <w:ind w:right="-67" w:rightChars="-32" w:firstLine="640" w:firstLineChars="200"/>
        <w:rPr>
          <w:rFonts w:eastAsia="仿宋_GB2312"/>
          <w:color w:val="auto"/>
          <w:sz w:val="32"/>
          <w:szCs w:val="32"/>
          <w:highlight w:val="none"/>
        </w:rPr>
      </w:pPr>
      <w:r>
        <w:rPr>
          <w:rFonts w:eastAsia="仿宋_GB2312"/>
          <w:color w:val="auto"/>
          <w:sz w:val="32"/>
          <w:szCs w:val="32"/>
          <w:highlight w:val="none"/>
        </w:rPr>
        <w:t>[1]</w:t>
      </w:r>
      <w:r>
        <w:rPr>
          <w:rFonts w:hint="eastAsia" w:eastAsia="仿宋_GB2312"/>
          <w:color w:val="auto"/>
          <w:sz w:val="32"/>
          <w:szCs w:val="32"/>
          <w:highlight w:val="none"/>
        </w:rPr>
        <w:t>中华人民共和国国务院</w:t>
      </w:r>
      <w:r>
        <w:rPr>
          <w:rFonts w:eastAsia="仿宋_GB2312"/>
          <w:color w:val="auto"/>
          <w:sz w:val="32"/>
          <w:szCs w:val="32"/>
          <w:highlight w:val="none"/>
        </w:rPr>
        <w:t>.</w:t>
      </w:r>
      <w:r>
        <w:rPr>
          <w:rFonts w:hint="eastAsia" w:eastAsia="仿宋_GB2312"/>
          <w:color w:val="auto"/>
          <w:sz w:val="32"/>
          <w:szCs w:val="32"/>
          <w:highlight w:val="none"/>
        </w:rPr>
        <w:t>医疗器械监督管理条例</w:t>
      </w:r>
      <w:r>
        <w:rPr>
          <w:rFonts w:eastAsia="仿宋_GB2312"/>
          <w:color w:val="auto"/>
          <w:sz w:val="32"/>
          <w:szCs w:val="32"/>
          <w:highlight w:val="none"/>
        </w:rPr>
        <w:t>:</w:t>
      </w:r>
      <w:r>
        <w:rPr>
          <w:rFonts w:hint="eastAsia" w:eastAsia="仿宋_GB2312"/>
          <w:color w:val="auto"/>
          <w:sz w:val="32"/>
          <w:szCs w:val="32"/>
          <w:highlight w:val="none"/>
        </w:rPr>
        <w:t>中华人民共和国国务院令第</w:t>
      </w:r>
      <w:r>
        <w:rPr>
          <w:rFonts w:eastAsia="仿宋_GB2312"/>
          <w:color w:val="auto"/>
          <w:sz w:val="32"/>
          <w:szCs w:val="32"/>
          <w:highlight w:val="none"/>
        </w:rPr>
        <w:t>739</w:t>
      </w:r>
      <w:r>
        <w:rPr>
          <w:rFonts w:hint="eastAsia" w:eastAsia="仿宋_GB2312"/>
          <w:color w:val="auto"/>
          <w:sz w:val="32"/>
          <w:szCs w:val="32"/>
          <w:highlight w:val="none"/>
        </w:rPr>
        <w:t>号</w:t>
      </w:r>
      <w:r>
        <w:rPr>
          <w:rFonts w:eastAsia="仿宋_GB2312"/>
          <w:color w:val="auto"/>
          <w:sz w:val="32"/>
          <w:szCs w:val="32"/>
          <w:highlight w:val="none"/>
        </w:rPr>
        <w:t>[Z].</w:t>
      </w:r>
    </w:p>
    <w:p>
      <w:pPr>
        <w:spacing w:line="520" w:lineRule="exact"/>
        <w:ind w:right="-67" w:rightChars="-32" w:firstLine="640" w:firstLineChars="200"/>
        <w:rPr>
          <w:rFonts w:eastAsia="仿宋_GB2312"/>
          <w:color w:val="auto"/>
          <w:sz w:val="32"/>
          <w:szCs w:val="32"/>
          <w:highlight w:val="none"/>
        </w:rPr>
      </w:pPr>
      <w:r>
        <w:rPr>
          <w:rFonts w:eastAsia="仿宋_GB2312"/>
          <w:color w:val="auto"/>
          <w:sz w:val="32"/>
          <w:szCs w:val="32"/>
          <w:highlight w:val="none"/>
        </w:rPr>
        <w:t>[2]</w:t>
      </w:r>
      <w:r>
        <w:rPr>
          <w:rFonts w:hint="eastAsia" w:eastAsia="仿宋_GB2312"/>
          <w:color w:val="auto"/>
          <w:sz w:val="32"/>
          <w:szCs w:val="32"/>
          <w:highlight w:val="none"/>
        </w:rPr>
        <w:t>国家市场监督管理总局</w:t>
      </w:r>
      <w:r>
        <w:rPr>
          <w:rFonts w:eastAsia="仿宋_GB2312"/>
          <w:color w:val="auto"/>
          <w:sz w:val="32"/>
          <w:szCs w:val="32"/>
          <w:highlight w:val="none"/>
        </w:rPr>
        <w:t>.</w:t>
      </w:r>
      <w:r>
        <w:rPr>
          <w:rFonts w:hint="eastAsia" w:eastAsia="仿宋_GB2312"/>
          <w:color w:val="auto"/>
          <w:sz w:val="32"/>
          <w:szCs w:val="32"/>
          <w:highlight w:val="none"/>
        </w:rPr>
        <w:t>医疗器械注册与备案管理办法</w:t>
      </w:r>
      <w:r>
        <w:rPr>
          <w:rFonts w:eastAsia="仿宋_GB2312"/>
          <w:color w:val="auto"/>
          <w:sz w:val="32"/>
          <w:szCs w:val="32"/>
          <w:highlight w:val="none"/>
        </w:rPr>
        <w:t>:</w:t>
      </w:r>
      <w:r>
        <w:rPr>
          <w:rFonts w:hint="eastAsia" w:eastAsia="仿宋_GB2312"/>
          <w:color w:val="auto"/>
          <w:sz w:val="32"/>
          <w:szCs w:val="32"/>
          <w:highlight w:val="none"/>
        </w:rPr>
        <w:t>国家市场监督管理总局令第</w:t>
      </w:r>
      <w:r>
        <w:rPr>
          <w:rFonts w:eastAsia="仿宋_GB2312"/>
          <w:color w:val="auto"/>
          <w:sz w:val="32"/>
          <w:szCs w:val="32"/>
          <w:highlight w:val="none"/>
        </w:rPr>
        <w:t>47</w:t>
      </w:r>
      <w:r>
        <w:rPr>
          <w:rFonts w:hint="eastAsia" w:eastAsia="仿宋_GB2312"/>
          <w:color w:val="auto"/>
          <w:sz w:val="32"/>
          <w:szCs w:val="32"/>
          <w:highlight w:val="none"/>
        </w:rPr>
        <w:t>号</w:t>
      </w:r>
      <w:r>
        <w:rPr>
          <w:rFonts w:eastAsia="仿宋_GB2312"/>
          <w:color w:val="auto"/>
          <w:sz w:val="32"/>
          <w:szCs w:val="32"/>
          <w:highlight w:val="none"/>
        </w:rPr>
        <w:t>[Z].</w:t>
      </w:r>
    </w:p>
    <w:p>
      <w:pPr>
        <w:spacing w:line="520" w:lineRule="exact"/>
        <w:ind w:right="-67" w:rightChars="-32" w:firstLine="640" w:firstLineChars="200"/>
        <w:rPr>
          <w:rFonts w:eastAsia="仿宋_GB2312"/>
          <w:color w:val="auto"/>
          <w:sz w:val="32"/>
          <w:szCs w:val="32"/>
          <w:highlight w:val="none"/>
        </w:rPr>
      </w:pPr>
      <w:r>
        <w:rPr>
          <w:rFonts w:eastAsia="仿宋_GB2312"/>
          <w:color w:val="auto"/>
          <w:sz w:val="32"/>
          <w:szCs w:val="32"/>
          <w:highlight w:val="none"/>
        </w:rPr>
        <w:t>[3]</w:t>
      </w:r>
      <w:r>
        <w:rPr>
          <w:rFonts w:hint="eastAsia" w:eastAsia="仿宋_GB2312"/>
          <w:color w:val="auto"/>
          <w:sz w:val="32"/>
          <w:szCs w:val="32"/>
          <w:highlight w:val="none"/>
        </w:rPr>
        <w:t>国家食品药品监督管理局</w:t>
      </w:r>
      <w:r>
        <w:rPr>
          <w:rFonts w:eastAsia="仿宋_GB2312"/>
          <w:color w:val="auto"/>
          <w:sz w:val="32"/>
          <w:szCs w:val="32"/>
          <w:highlight w:val="none"/>
        </w:rPr>
        <w:t>.</w:t>
      </w:r>
      <w:r>
        <w:rPr>
          <w:rFonts w:hint="eastAsia" w:eastAsia="仿宋_GB2312"/>
          <w:color w:val="auto"/>
          <w:sz w:val="32"/>
          <w:szCs w:val="32"/>
          <w:highlight w:val="none"/>
        </w:rPr>
        <w:t>医疗器械说明书和标签管理规定</w:t>
      </w:r>
      <w:r>
        <w:rPr>
          <w:rFonts w:eastAsia="仿宋_GB2312"/>
          <w:color w:val="auto"/>
          <w:sz w:val="32"/>
          <w:szCs w:val="32"/>
          <w:highlight w:val="none"/>
        </w:rPr>
        <w:t>:</w:t>
      </w:r>
      <w:r>
        <w:rPr>
          <w:rFonts w:hint="eastAsia" w:eastAsia="仿宋_GB2312"/>
          <w:color w:val="auto"/>
          <w:sz w:val="32"/>
          <w:szCs w:val="32"/>
          <w:highlight w:val="none"/>
        </w:rPr>
        <w:t>国家食品药品监督管理总局令第</w:t>
      </w:r>
      <w:r>
        <w:rPr>
          <w:rFonts w:eastAsia="仿宋_GB2312"/>
          <w:color w:val="auto"/>
          <w:sz w:val="32"/>
          <w:szCs w:val="32"/>
          <w:highlight w:val="none"/>
        </w:rPr>
        <w:t>6</w:t>
      </w:r>
      <w:r>
        <w:rPr>
          <w:rFonts w:hint="eastAsia" w:eastAsia="仿宋_GB2312"/>
          <w:color w:val="auto"/>
          <w:sz w:val="32"/>
          <w:szCs w:val="32"/>
          <w:highlight w:val="none"/>
        </w:rPr>
        <w:t>号</w:t>
      </w:r>
      <w:r>
        <w:rPr>
          <w:rFonts w:eastAsia="仿宋_GB2312"/>
          <w:color w:val="auto"/>
          <w:sz w:val="32"/>
          <w:szCs w:val="32"/>
          <w:highlight w:val="none"/>
        </w:rPr>
        <w:t>[Z].</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[4]</w:t>
      </w:r>
      <w:r>
        <w:rPr>
          <w:rFonts w:hint="eastAsia" w:eastAsia="仿宋_GB2312"/>
          <w:color w:val="auto"/>
          <w:sz w:val="32"/>
          <w:szCs w:val="32"/>
          <w:highlight w:val="none"/>
        </w:rPr>
        <w:t>国家食品药品监督管理局</w:t>
      </w:r>
      <w:r>
        <w:rPr>
          <w:rFonts w:eastAsia="仿宋_GB2312"/>
          <w:color w:val="auto"/>
          <w:sz w:val="32"/>
          <w:szCs w:val="32"/>
          <w:highlight w:val="none"/>
        </w:rPr>
        <w:t>.</w:t>
      </w:r>
      <w:r>
        <w:rPr>
          <w:rFonts w:hint="eastAsia" w:eastAsia="仿宋_GB2312"/>
          <w:color w:val="auto"/>
          <w:sz w:val="32"/>
          <w:szCs w:val="32"/>
          <w:highlight w:val="none"/>
        </w:rPr>
        <w:t>医疗器械分类规则</w:t>
      </w:r>
      <w:r>
        <w:rPr>
          <w:rFonts w:eastAsia="仿宋_GB2312"/>
          <w:color w:val="auto"/>
          <w:sz w:val="32"/>
          <w:szCs w:val="32"/>
          <w:highlight w:val="none"/>
        </w:rPr>
        <w:t>:</w:t>
      </w:r>
      <w:r>
        <w:rPr>
          <w:rFonts w:hint="eastAsia" w:eastAsia="仿宋_GB2312"/>
          <w:color w:val="auto"/>
          <w:sz w:val="32"/>
          <w:szCs w:val="32"/>
          <w:highlight w:val="none"/>
        </w:rPr>
        <w:t>国家食品药品监督管理总局令第</w:t>
      </w:r>
      <w:r>
        <w:rPr>
          <w:rFonts w:eastAsia="仿宋_GB2312"/>
          <w:color w:val="auto"/>
          <w:sz w:val="32"/>
          <w:szCs w:val="32"/>
          <w:highlight w:val="none"/>
        </w:rPr>
        <w:t>15</w:t>
      </w:r>
      <w:r>
        <w:rPr>
          <w:rFonts w:hint="eastAsia" w:eastAsia="仿宋_GB2312"/>
          <w:color w:val="auto"/>
          <w:sz w:val="32"/>
          <w:szCs w:val="32"/>
          <w:highlight w:val="none"/>
        </w:rPr>
        <w:t>号</w:t>
      </w:r>
      <w:r>
        <w:rPr>
          <w:rFonts w:eastAsia="仿宋_GB2312"/>
          <w:color w:val="auto"/>
          <w:sz w:val="32"/>
          <w:szCs w:val="32"/>
          <w:highlight w:val="none"/>
        </w:rPr>
        <w:t>[Z].</w:t>
      </w:r>
    </w:p>
    <w:p>
      <w:pPr>
        <w:spacing w:line="520" w:lineRule="exact"/>
        <w:ind w:right="-67" w:rightChars="-32" w:firstLine="640" w:firstLineChars="200"/>
        <w:rPr>
          <w:rFonts w:eastAsia="仿宋_GB2312"/>
          <w:color w:val="auto"/>
          <w:sz w:val="32"/>
          <w:szCs w:val="32"/>
          <w:highlight w:val="none"/>
        </w:rPr>
      </w:pPr>
      <w:r>
        <w:rPr>
          <w:rFonts w:eastAsia="仿宋_GB2312"/>
          <w:color w:val="auto"/>
          <w:sz w:val="32"/>
          <w:szCs w:val="32"/>
          <w:highlight w:val="none"/>
        </w:rPr>
        <w:t>[5]</w:t>
      </w:r>
      <w:r>
        <w:rPr>
          <w:rFonts w:hint="eastAsia" w:eastAsia="仿宋_GB2312"/>
          <w:color w:val="auto"/>
          <w:sz w:val="32"/>
          <w:szCs w:val="28"/>
          <w:highlight w:val="none"/>
        </w:rPr>
        <w:t>国家食品药品监督管理局</w:t>
      </w:r>
      <w:r>
        <w:rPr>
          <w:rFonts w:eastAsia="仿宋_GB2312"/>
          <w:color w:val="auto"/>
          <w:sz w:val="32"/>
          <w:szCs w:val="32"/>
          <w:highlight w:val="none"/>
        </w:rPr>
        <w:t>.</w:t>
      </w:r>
      <w:r>
        <w:rPr>
          <w:rFonts w:hint="eastAsia" w:eastAsia="仿宋_GB2312"/>
          <w:color w:val="auto"/>
          <w:sz w:val="32"/>
          <w:szCs w:val="32"/>
          <w:highlight w:val="none"/>
        </w:rPr>
        <w:t>医疗器械通用名称命名规则</w:t>
      </w:r>
      <w:r>
        <w:rPr>
          <w:rFonts w:eastAsia="仿宋_GB2312"/>
          <w:color w:val="auto"/>
          <w:sz w:val="32"/>
          <w:szCs w:val="32"/>
          <w:highlight w:val="none"/>
        </w:rPr>
        <w:t>:</w:t>
      </w:r>
      <w:r>
        <w:rPr>
          <w:rFonts w:hint="eastAsia" w:eastAsia="仿宋_GB2312"/>
          <w:color w:val="auto"/>
          <w:sz w:val="32"/>
          <w:szCs w:val="28"/>
          <w:highlight w:val="none"/>
        </w:rPr>
        <w:t>国家食品药品监督管理总局令第</w:t>
      </w:r>
      <w:r>
        <w:rPr>
          <w:rFonts w:eastAsia="仿宋_GB2312"/>
          <w:color w:val="auto"/>
          <w:sz w:val="32"/>
          <w:szCs w:val="28"/>
          <w:highlight w:val="none"/>
        </w:rPr>
        <w:t>19</w:t>
      </w:r>
      <w:r>
        <w:rPr>
          <w:rFonts w:hint="eastAsia" w:eastAsia="仿宋_GB2312"/>
          <w:color w:val="auto"/>
          <w:sz w:val="32"/>
          <w:szCs w:val="28"/>
          <w:highlight w:val="none"/>
        </w:rPr>
        <w:t>号</w:t>
      </w:r>
      <w:r>
        <w:rPr>
          <w:rFonts w:eastAsia="仿宋_GB2312"/>
          <w:color w:val="auto"/>
          <w:sz w:val="32"/>
          <w:szCs w:val="32"/>
          <w:highlight w:val="none"/>
        </w:rPr>
        <w:t>[Z].</w:t>
      </w:r>
    </w:p>
    <w:p>
      <w:pPr>
        <w:spacing w:line="520" w:lineRule="exact"/>
        <w:ind w:right="-67" w:rightChars="-32" w:firstLine="640" w:firstLineChars="200"/>
        <w:rPr>
          <w:rFonts w:eastAsia="仿宋_GB2312"/>
          <w:color w:val="auto"/>
          <w:sz w:val="32"/>
          <w:szCs w:val="32"/>
          <w:highlight w:val="none"/>
        </w:rPr>
      </w:pPr>
      <w:r>
        <w:rPr>
          <w:rFonts w:eastAsia="仿宋_GB2312"/>
          <w:color w:val="auto"/>
          <w:sz w:val="32"/>
          <w:szCs w:val="32"/>
          <w:highlight w:val="none"/>
        </w:rPr>
        <w:t>[6]</w:t>
      </w:r>
      <w:r>
        <w:rPr>
          <w:rFonts w:hint="eastAsia" w:eastAsia="仿宋_GB2312"/>
          <w:color w:val="auto"/>
          <w:sz w:val="32"/>
          <w:szCs w:val="32"/>
          <w:highlight w:val="none"/>
        </w:rPr>
        <w:t>国家食品药品监督管理局</w:t>
      </w:r>
      <w:r>
        <w:rPr>
          <w:rFonts w:eastAsia="仿宋_GB2312"/>
          <w:color w:val="auto"/>
          <w:sz w:val="32"/>
          <w:szCs w:val="32"/>
          <w:highlight w:val="none"/>
        </w:rPr>
        <w:t>.</w:t>
      </w:r>
      <w:r>
        <w:rPr>
          <w:rFonts w:hint="eastAsia" w:eastAsia="仿宋_GB2312"/>
          <w:color w:val="auto"/>
          <w:sz w:val="32"/>
          <w:szCs w:val="32"/>
          <w:highlight w:val="none"/>
        </w:rPr>
        <w:t>医疗器械分类目录</w:t>
      </w:r>
      <w:r>
        <w:rPr>
          <w:rFonts w:eastAsia="仿宋_GB2312"/>
          <w:color w:val="auto"/>
          <w:sz w:val="32"/>
          <w:szCs w:val="32"/>
          <w:highlight w:val="none"/>
        </w:rPr>
        <w:t>:</w:t>
      </w:r>
      <w:r>
        <w:rPr>
          <w:rFonts w:hint="eastAsia" w:eastAsia="仿宋_GB2312"/>
          <w:color w:val="auto"/>
          <w:sz w:val="32"/>
          <w:szCs w:val="32"/>
          <w:highlight w:val="none"/>
        </w:rPr>
        <w:t>国家食品药品监督管理总局公告</w:t>
      </w:r>
      <w:r>
        <w:rPr>
          <w:rFonts w:eastAsia="仿宋_GB2312"/>
          <w:color w:val="auto"/>
          <w:sz w:val="32"/>
          <w:szCs w:val="32"/>
          <w:highlight w:val="none"/>
        </w:rPr>
        <w:t>2017</w:t>
      </w:r>
      <w:r>
        <w:rPr>
          <w:rFonts w:hint="eastAsia" w:eastAsia="仿宋_GB2312"/>
          <w:color w:val="auto"/>
          <w:sz w:val="32"/>
          <w:szCs w:val="32"/>
          <w:highlight w:val="none"/>
        </w:rPr>
        <w:t>年第</w:t>
      </w:r>
      <w:r>
        <w:rPr>
          <w:rFonts w:eastAsia="仿宋_GB2312"/>
          <w:color w:val="auto"/>
          <w:sz w:val="32"/>
          <w:szCs w:val="32"/>
          <w:highlight w:val="none"/>
        </w:rPr>
        <w:t>104</w:t>
      </w:r>
      <w:r>
        <w:rPr>
          <w:rFonts w:hint="eastAsia" w:eastAsia="仿宋_GB2312"/>
          <w:color w:val="auto"/>
          <w:sz w:val="32"/>
          <w:szCs w:val="32"/>
          <w:highlight w:val="none"/>
        </w:rPr>
        <w:t>号</w:t>
      </w:r>
      <w:r>
        <w:rPr>
          <w:rFonts w:eastAsia="仿宋_GB2312"/>
          <w:color w:val="auto"/>
          <w:sz w:val="32"/>
          <w:szCs w:val="32"/>
          <w:highlight w:val="none"/>
        </w:rPr>
        <w:t>[Z].</w:t>
      </w:r>
    </w:p>
    <w:p>
      <w:pPr>
        <w:spacing w:line="520" w:lineRule="exact"/>
        <w:ind w:right="-67" w:rightChars="-32" w:firstLine="640" w:firstLineChars="200"/>
        <w:rPr>
          <w:rFonts w:eastAsia="仿宋_GB2312"/>
          <w:color w:val="auto"/>
          <w:sz w:val="32"/>
          <w:szCs w:val="32"/>
          <w:highlight w:val="none"/>
        </w:rPr>
      </w:pPr>
      <w:r>
        <w:rPr>
          <w:rFonts w:eastAsia="仿宋_GB2312"/>
          <w:color w:val="auto"/>
          <w:sz w:val="32"/>
          <w:szCs w:val="32"/>
          <w:highlight w:val="none"/>
        </w:rPr>
        <w:t>[7]</w:t>
      </w:r>
      <w:r>
        <w:rPr>
          <w:rFonts w:hint="eastAsia" w:eastAsia="仿宋_GB2312"/>
          <w:color w:val="auto"/>
          <w:sz w:val="32"/>
          <w:szCs w:val="32"/>
          <w:highlight w:val="none"/>
        </w:rPr>
        <w:t>国家药品监督管理局</w:t>
      </w:r>
      <w:r>
        <w:rPr>
          <w:rFonts w:eastAsia="仿宋_GB2312"/>
          <w:color w:val="auto"/>
          <w:sz w:val="32"/>
          <w:szCs w:val="32"/>
          <w:highlight w:val="none"/>
        </w:rPr>
        <w:t>.</w:t>
      </w:r>
      <w:r>
        <w:rPr>
          <w:rFonts w:hint="eastAsia" w:eastAsia="微软雅黑"/>
          <w:color w:val="auto"/>
          <w:highlight w:val="none"/>
          <w:shd w:val="clear" w:color="auto" w:fill="FFFFFF"/>
        </w:rPr>
        <w:t xml:space="preserve"> </w:t>
      </w:r>
      <w:r>
        <w:rPr>
          <w:rFonts w:hint="eastAsia" w:eastAsia="仿宋_GB2312"/>
          <w:color w:val="auto"/>
          <w:sz w:val="32"/>
          <w:szCs w:val="32"/>
          <w:highlight w:val="none"/>
        </w:rPr>
        <w:t>物理治疗器械通用名称命名指导原则国家药品监督管理局通告2022年第26号</w:t>
      </w:r>
      <w:r>
        <w:rPr>
          <w:rFonts w:eastAsia="仿宋_GB2312"/>
          <w:color w:val="auto"/>
          <w:sz w:val="32"/>
          <w:szCs w:val="32"/>
          <w:highlight w:val="none"/>
        </w:rPr>
        <w:t>[Z].</w:t>
      </w:r>
    </w:p>
    <w:p>
      <w:pPr>
        <w:spacing w:line="520" w:lineRule="exact"/>
        <w:ind w:right="-67" w:rightChars="-32" w:firstLine="640" w:firstLineChars="200"/>
        <w:rPr>
          <w:rFonts w:eastAsia="仿宋_GB2312"/>
          <w:color w:val="auto"/>
          <w:sz w:val="32"/>
          <w:szCs w:val="32"/>
          <w:highlight w:val="none"/>
        </w:rPr>
      </w:pPr>
      <w:r>
        <w:rPr>
          <w:rFonts w:eastAsia="仿宋_GB2312"/>
          <w:color w:val="auto"/>
          <w:sz w:val="32"/>
          <w:szCs w:val="32"/>
          <w:highlight w:val="none"/>
        </w:rPr>
        <w:t>[8]</w:t>
      </w:r>
      <w:r>
        <w:rPr>
          <w:rFonts w:hint="eastAsia" w:eastAsia="仿宋_GB2312"/>
          <w:color w:val="auto"/>
          <w:sz w:val="32"/>
          <w:szCs w:val="32"/>
          <w:highlight w:val="none"/>
        </w:rPr>
        <w:t>国家药品监督管理局</w:t>
      </w:r>
      <w:r>
        <w:rPr>
          <w:rFonts w:eastAsia="仿宋_GB2312"/>
          <w:color w:val="auto"/>
          <w:sz w:val="32"/>
          <w:szCs w:val="32"/>
          <w:highlight w:val="none"/>
        </w:rPr>
        <w:t>.</w:t>
      </w:r>
      <w:r>
        <w:rPr>
          <w:rFonts w:hint="eastAsia" w:eastAsia="仿宋_GB2312"/>
          <w:color w:val="auto"/>
          <w:sz w:val="32"/>
          <w:szCs w:val="32"/>
          <w:highlight w:val="none"/>
        </w:rPr>
        <w:t>医疗器械注册申报资料要求及说明</w:t>
      </w:r>
      <w:r>
        <w:rPr>
          <w:rFonts w:eastAsia="仿宋_GB2312"/>
          <w:color w:val="auto"/>
          <w:sz w:val="32"/>
          <w:szCs w:val="32"/>
          <w:highlight w:val="none"/>
        </w:rPr>
        <w:t>:</w:t>
      </w:r>
      <w:r>
        <w:rPr>
          <w:rFonts w:hint="eastAsia" w:eastAsia="仿宋_GB2312"/>
          <w:color w:val="auto"/>
          <w:sz w:val="32"/>
          <w:szCs w:val="32"/>
          <w:highlight w:val="none"/>
        </w:rPr>
        <w:t>国家药监局公告</w:t>
      </w:r>
      <w:r>
        <w:rPr>
          <w:rFonts w:eastAsia="仿宋_GB2312"/>
          <w:color w:val="auto"/>
          <w:sz w:val="32"/>
          <w:szCs w:val="32"/>
          <w:highlight w:val="none"/>
        </w:rPr>
        <w:t>2021</w:t>
      </w:r>
      <w:r>
        <w:rPr>
          <w:rFonts w:hint="eastAsia" w:eastAsia="仿宋_GB2312"/>
          <w:color w:val="auto"/>
          <w:sz w:val="32"/>
          <w:szCs w:val="32"/>
          <w:highlight w:val="none"/>
        </w:rPr>
        <w:t>年第</w:t>
      </w:r>
      <w:r>
        <w:rPr>
          <w:rFonts w:eastAsia="仿宋_GB2312"/>
          <w:color w:val="auto"/>
          <w:sz w:val="32"/>
          <w:szCs w:val="32"/>
          <w:highlight w:val="none"/>
        </w:rPr>
        <w:t>121</w:t>
      </w:r>
      <w:r>
        <w:rPr>
          <w:rFonts w:hint="eastAsia" w:eastAsia="仿宋_GB2312"/>
          <w:color w:val="auto"/>
          <w:sz w:val="32"/>
          <w:szCs w:val="32"/>
          <w:highlight w:val="none"/>
        </w:rPr>
        <w:t>号</w:t>
      </w:r>
      <w:r>
        <w:rPr>
          <w:rFonts w:eastAsia="仿宋_GB2312"/>
          <w:color w:val="auto"/>
          <w:sz w:val="32"/>
          <w:szCs w:val="32"/>
          <w:highlight w:val="none"/>
        </w:rPr>
        <w:t>[Z].</w:t>
      </w:r>
    </w:p>
    <w:p>
      <w:pPr>
        <w:spacing w:line="520" w:lineRule="exact"/>
        <w:ind w:right="-67" w:rightChars="-32" w:firstLine="640" w:firstLineChars="200"/>
        <w:rPr>
          <w:rFonts w:eastAsia="仿宋_GB2312"/>
          <w:color w:val="auto"/>
          <w:sz w:val="32"/>
          <w:szCs w:val="32"/>
          <w:highlight w:val="none"/>
        </w:rPr>
      </w:pPr>
      <w:r>
        <w:rPr>
          <w:rFonts w:eastAsia="仿宋_GB2312"/>
          <w:color w:val="auto"/>
          <w:sz w:val="32"/>
          <w:szCs w:val="32"/>
          <w:highlight w:val="none"/>
        </w:rPr>
        <w:t>[9]</w:t>
      </w:r>
      <w:r>
        <w:rPr>
          <w:rFonts w:hint="eastAsia" w:eastAsia="仿宋_GB2312"/>
          <w:color w:val="auto"/>
          <w:sz w:val="32"/>
          <w:szCs w:val="32"/>
          <w:highlight w:val="none"/>
        </w:rPr>
        <w:t>国家食品药品监督管理局</w:t>
      </w:r>
      <w:r>
        <w:rPr>
          <w:rFonts w:eastAsia="仿宋_GB2312"/>
          <w:color w:val="auto"/>
          <w:sz w:val="32"/>
          <w:szCs w:val="32"/>
          <w:highlight w:val="none"/>
        </w:rPr>
        <w:t>.</w:t>
      </w:r>
      <w:r>
        <w:rPr>
          <w:rFonts w:hint="eastAsia" w:eastAsia="仿宋_GB2312"/>
          <w:color w:val="auto"/>
          <w:sz w:val="32"/>
          <w:szCs w:val="32"/>
          <w:highlight w:val="none"/>
        </w:rPr>
        <w:t>医疗器械注册单元划分指导原则</w:t>
      </w:r>
      <w:r>
        <w:rPr>
          <w:rFonts w:eastAsia="仿宋_GB2312"/>
          <w:color w:val="auto"/>
          <w:sz w:val="32"/>
          <w:szCs w:val="32"/>
          <w:highlight w:val="none"/>
        </w:rPr>
        <w:t>:</w:t>
      </w:r>
      <w:r>
        <w:rPr>
          <w:rFonts w:hint="eastAsia" w:eastAsia="仿宋_GB2312"/>
          <w:color w:val="auto"/>
          <w:sz w:val="32"/>
          <w:szCs w:val="32"/>
          <w:highlight w:val="none"/>
        </w:rPr>
        <w:t>总局通告</w:t>
      </w:r>
      <w:r>
        <w:rPr>
          <w:rFonts w:eastAsia="仿宋_GB2312"/>
          <w:color w:val="auto"/>
          <w:sz w:val="32"/>
          <w:szCs w:val="32"/>
          <w:highlight w:val="none"/>
        </w:rPr>
        <w:t>2017</w:t>
      </w:r>
      <w:r>
        <w:rPr>
          <w:rFonts w:hint="eastAsia" w:eastAsia="仿宋_GB2312"/>
          <w:color w:val="auto"/>
          <w:sz w:val="32"/>
          <w:szCs w:val="32"/>
          <w:highlight w:val="none"/>
        </w:rPr>
        <w:t>年第</w:t>
      </w:r>
      <w:r>
        <w:rPr>
          <w:rFonts w:eastAsia="仿宋_GB2312"/>
          <w:color w:val="auto"/>
          <w:sz w:val="32"/>
          <w:szCs w:val="32"/>
          <w:highlight w:val="none"/>
        </w:rPr>
        <w:t>187</w:t>
      </w:r>
      <w:r>
        <w:rPr>
          <w:rFonts w:hint="eastAsia" w:eastAsia="仿宋_GB2312"/>
          <w:color w:val="auto"/>
          <w:sz w:val="32"/>
          <w:szCs w:val="32"/>
          <w:highlight w:val="none"/>
        </w:rPr>
        <w:t>号</w:t>
      </w:r>
      <w:r>
        <w:rPr>
          <w:rFonts w:eastAsia="仿宋_GB2312"/>
          <w:color w:val="auto"/>
          <w:sz w:val="32"/>
          <w:szCs w:val="32"/>
          <w:highlight w:val="none"/>
        </w:rPr>
        <w:t>[Z].</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[10]</w:t>
      </w:r>
      <w:r>
        <w:rPr>
          <w:rFonts w:hint="eastAsia" w:eastAsia="仿宋_GB2312"/>
          <w:color w:val="auto"/>
          <w:sz w:val="32"/>
          <w:szCs w:val="32"/>
          <w:highlight w:val="none"/>
        </w:rPr>
        <w:t>国家药品监督管理局</w:t>
      </w:r>
      <w:r>
        <w:rPr>
          <w:rFonts w:eastAsia="仿宋_GB2312"/>
          <w:color w:val="auto"/>
          <w:sz w:val="32"/>
          <w:szCs w:val="32"/>
          <w:highlight w:val="none"/>
        </w:rPr>
        <w:t>.</w:t>
      </w:r>
      <w:r>
        <w:rPr>
          <w:rFonts w:hint="eastAsia" w:eastAsia="仿宋_GB2312"/>
          <w:color w:val="auto"/>
          <w:sz w:val="32"/>
          <w:szCs w:val="32"/>
          <w:highlight w:val="none"/>
        </w:rPr>
        <w:t>有源医疗器械使用期限注册技术审查指导原则</w:t>
      </w:r>
      <w:r>
        <w:rPr>
          <w:rFonts w:eastAsia="仿宋_GB2312"/>
          <w:color w:val="auto"/>
          <w:sz w:val="32"/>
          <w:szCs w:val="32"/>
          <w:highlight w:val="none"/>
        </w:rPr>
        <w:t>:</w:t>
      </w:r>
      <w:r>
        <w:rPr>
          <w:rFonts w:hint="eastAsia" w:eastAsia="仿宋_GB2312"/>
          <w:color w:val="auto"/>
          <w:sz w:val="32"/>
          <w:szCs w:val="32"/>
          <w:highlight w:val="none"/>
        </w:rPr>
        <w:t>国家药品监督管理局通告</w:t>
      </w:r>
      <w:r>
        <w:rPr>
          <w:rFonts w:eastAsia="仿宋_GB2312"/>
          <w:color w:val="auto"/>
          <w:sz w:val="32"/>
          <w:szCs w:val="32"/>
          <w:highlight w:val="none"/>
        </w:rPr>
        <w:t>2019</w:t>
      </w:r>
      <w:r>
        <w:rPr>
          <w:rFonts w:hint="eastAsia" w:eastAsia="仿宋_GB2312"/>
          <w:color w:val="auto"/>
          <w:sz w:val="32"/>
          <w:szCs w:val="32"/>
          <w:highlight w:val="none"/>
        </w:rPr>
        <w:t>年第</w:t>
      </w:r>
      <w:r>
        <w:rPr>
          <w:rFonts w:eastAsia="仿宋_GB2312"/>
          <w:color w:val="auto"/>
          <w:sz w:val="32"/>
          <w:szCs w:val="32"/>
          <w:highlight w:val="none"/>
        </w:rPr>
        <w:t>23</w:t>
      </w:r>
      <w:r>
        <w:rPr>
          <w:rFonts w:hint="eastAsia" w:eastAsia="仿宋_GB2312"/>
          <w:color w:val="auto"/>
          <w:sz w:val="32"/>
          <w:szCs w:val="32"/>
          <w:highlight w:val="none"/>
        </w:rPr>
        <w:t>号</w:t>
      </w:r>
      <w:r>
        <w:rPr>
          <w:rFonts w:eastAsia="仿宋_GB2312"/>
          <w:color w:val="auto"/>
          <w:sz w:val="32"/>
          <w:szCs w:val="32"/>
          <w:highlight w:val="none"/>
        </w:rPr>
        <w:t>[Z].</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[11]</w:t>
      </w:r>
      <w:r>
        <w:rPr>
          <w:rFonts w:hint="eastAsia" w:eastAsia="仿宋_GB2312"/>
          <w:color w:val="auto"/>
          <w:kern w:val="0"/>
          <w:sz w:val="32"/>
          <w:szCs w:val="32"/>
          <w:highlight w:val="none"/>
        </w:rPr>
        <w:t>国家药品监督管理局医疗器械审评中心</w:t>
      </w:r>
      <w:r>
        <w:rPr>
          <w:rFonts w:eastAsia="仿宋_GB2312"/>
          <w:color w:val="auto"/>
          <w:kern w:val="0"/>
          <w:sz w:val="32"/>
          <w:szCs w:val="32"/>
          <w:highlight w:val="none"/>
        </w:rPr>
        <w:t>.</w:t>
      </w:r>
      <w:r>
        <w:rPr>
          <w:rFonts w:hint="eastAsia" w:eastAsia="仿宋_GB2312"/>
          <w:color w:val="auto"/>
          <w:kern w:val="0"/>
          <w:sz w:val="32"/>
          <w:szCs w:val="32"/>
          <w:highlight w:val="none"/>
        </w:rPr>
        <w:t>医疗器械软件注册审查指导原则</w:t>
      </w:r>
      <w:r>
        <w:rPr>
          <w:rFonts w:eastAsia="仿宋_GB2312"/>
          <w:color w:val="auto"/>
          <w:kern w:val="0"/>
          <w:sz w:val="32"/>
          <w:szCs w:val="32"/>
          <w:highlight w:val="none"/>
        </w:rPr>
        <w:t>(2022</w:t>
      </w:r>
      <w:r>
        <w:rPr>
          <w:rFonts w:hint="eastAsia" w:eastAsia="仿宋_GB2312"/>
          <w:color w:val="auto"/>
          <w:kern w:val="0"/>
          <w:sz w:val="32"/>
          <w:szCs w:val="32"/>
          <w:highlight w:val="none"/>
        </w:rPr>
        <w:t>年修订版</w:t>
      </w:r>
      <w:r>
        <w:rPr>
          <w:rFonts w:eastAsia="仿宋_GB2312"/>
          <w:color w:val="auto"/>
          <w:kern w:val="0"/>
          <w:sz w:val="32"/>
          <w:szCs w:val="32"/>
          <w:highlight w:val="none"/>
        </w:rPr>
        <w:t>):</w:t>
      </w:r>
      <w:r>
        <w:rPr>
          <w:rFonts w:hint="eastAsia" w:eastAsia="仿宋_GB2312"/>
          <w:color w:val="auto"/>
          <w:kern w:val="0"/>
          <w:sz w:val="32"/>
          <w:szCs w:val="32"/>
          <w:highlight w:val="none"/>
        </w:rPr>
        <w:t>国家药监局器审中心通告</w:t>
      </w:r>
      <w:r>
        <w:rPr>
          <w:rFonts w:eastAsia="仿宋_GB2312"/>
          <w:color w:val="auto"/>
          <w:kern w:val="0"/>
          <w:sz w:val="32"/>
          <w:szCs w:val="32"/>
          <w:highlight w:val="none"/>
        </w:rPr>
        <w:t>2022</w:t>
      </w:r>
      <w:r>
        <w:rPr>
          <w:rFonts w:hint="eastAsia" w:eastAsia="仿宋_GB2312"/>
          <w:color w:val="auto"/>
          <w:kern w:val="0"/>
          <w:sz w:val="32"/>
          <w:szCs w:val="32"/>
          <w:highlight w:val="none"/>
        </w:rPr>
        <w:t>年第</w:t>
      </w:r>
      <w:r>
        <w:rPr>
          <w:rFonts w:eastAsia="仿宋_GB2312"/>
          <w:color w:val="auto"/>
          <w:kern w:val="0"/>
          <w:sz w:val="32"/>
          <w:szCs w:val="32"/>
          <w:highlight w:val="none"/>
        </w:rPr>
        <w:t>9</w:t>
      </w:r>
      <w:r>
        <w:rPr>
          <w:rFonts w:hint="eastAsia" w:eastAsia="仿宋_GB2312"/>
          <w:color w:val="auto"/>
          <w:kern w:val="0"/>
          <w:sz w:val="32"/>
          <w:szCs w:val="32"/>
          <w:highlight w:val="none"/>
        </w:rPr>
        <w:t>号</w:t>
      </w:r>
      <w:r>
        <w:rPr>
          <w:rFonts w:eastAsia="仿宋_GB2312"/>
          <w:color w:val="auto"/>
          <w:sz w:val="32"/>
          <w:szCs w:val="32"/>
          <w:highlight w:val="none"/>
        </w:rPr>
        <w:t>[Z].</w:t>
      </w:r>
    </w:p>
    <w:p>
      <w:pPr>
        <w:spacing w:line="520" w:lineRule="exact"/>
        <w:ind w:right="-67" w:rightChars="-32" w:firstLine="640" w:firstLineChars="200"/>
        <w:rPr>
          <w:rFonts w:eastAsia="仿宋_GB2312"/>
          <w:color w:val="auto"/>
          <w:sz w:val="32"/>
          <w:szCs w:val="32"/>
          <w:highlight w:val="none"/>
        </w:rPr>
      </w:pPr>
      <w:r>
        <w:rPr>
          <w:rFonts w:eastAsia="仿宋_GB2312"/>
          <w:color w:val="auto"/>
          <w:sz w:val="32"/>
          <w:szCs w:val="32"/>
          <w:highlight w:val="none"/>
        </w:rPr>
        <w:t>[12]</w:t>
      </w:r>
      <w:r>
        <w:rPr>
          <w:rFonts w:hint="eastAsia" w:eastAsia="仿宋_GB2312"/>
          <w:color w:val="auto"/>
          <w:sz w:val="32"/>
          <w:szCs w:val="32"/>
          <w:highlight w:val="none"/>
        </w:rPr>
        <w:t>国家药品监督管理局</w:t>
      </w:r>
      <w:r>
        <w:rPr>
          <w:rFonts w:eastAsia="仿宋_GB2312"/>
          <w:color w:val="auto"/>
          <w:sz w:val="32"/>
          <w:szCs w:val="32"/>
          <w:highlight w:val="none"/>
        </w:rPr>
        <w:t>.</w:t>
      </w:r>
      <w:r>
        <w:rPr>
          <w:rFonts w:hint="eastAsia" w:eastAsia="仿宋_GB2312"/>
          <w:color w:val="auto"/>
          <w:sz w:val="32"/>
          <w:szCs w:val="32"/>
          <w:highlight w:val="none"/>
        </w:rPr>
        <w:t>列入免于临床评价医疗器械目录产品对比说明技术指导原则</w:t>
      </w:r>
      <w:r>
        <w:rPr>
          <w:rFonts w:eastAsia="仿宋_GB2312"/>
          <w:color w:val="auto"/>
          <w:sz w:val="32"/>
          <w:szCs w:val="32"/>
          <w:highlight w:val="none"/>
        </w:rPr>
        <w:t>:</w:t>
      </w:r>
      <w:r>
        <w:rPr>
          <w:rFonts w:hint="eastAsia" w:eastAsia="仿宋_GB2312"/>
          <w:color w:val="auto"/>
          <w:sz w:val="32"/>
          <w:szCs w:val="32"/>
          <w:highlight w:val="none"/>
        </w:rPr>
        <w:t>国家药监局通告</w:t>
      </w:r>
      <w:r>
        <w:rPr>
          <w:rFonts w:eastAsia="仿宋_GB2312"/>
          <w:color w:val="auto"/>
          <w:sz w:val="32"/>
          <w:szCs w:val="32"/>
          <w:highlight w:val="none"/>
        </w:rPr>
        <w:t>2021</w:t>
      </w:r>
      <w:r>
        <w:rPr>
          <w:rFonts w:hint="eastAsia" w:eastAsia="仿宋_GB2312"/>
          <w:color w:val="auto"/>
          <w:sz w:val="32"/>
          <w:szCs w:val="32"/>
          <w:highlight w:val="none"/>
        </w:rPr>
        <w:t>年第</w:t>
      </w:r>
      <w:r>
        <w:rPr>
          <w:rFonts w:eastAsia="仿宋_GB2312"/>
          <w:color w:val="auto"/>
          <w:sz w:val="32"/>
          <w:szCs w:val="32"/>
          <w:highlight w:val="none"/>
        </w:rPr>
        <w:t>73</w:t>
      </w:r>
      <w:r>
        <w:rPr>
          <w:rFonts w:hint="eastAsia" w:eastAsia="仿宋_GB2312"/>
          <w:color w:val="auto"/>
          <w:sz w:val="32"/>
          <w:szCs w:val="32"/>
          <w:highlight w:val="none"/>
        </w:rPr>
        <w:t>号</w:t>
      </w:r>
      <w:r>
        <w:rPr>
          <w:rFonts w:eastAsia="仿宋_GB2312"/>
          <w:color w:val="auto"/>
          <w:sz w:val="32"/>
          <w:szCs w:val="32"/>
          <w:highlight w:val="none"/>
        </w:rPr>
        <w:t>[Z].</w:t>
      </w:r>
    </w:p>
    <w:p>
      <w:pPr>
        <w:spacing w:line="520" w:lineRule="exact"/>
        <w:ind w:right="-67" w:rightChars="-32" w:firstLine="640" w:firstLineChars="200"/>
        <w:rPr>
          <w:rFonts w:eastAsia="仿宋_GB2312"/>
          <w:color w:val="auto"/>
          <w:sz w:val="32"/>
          <w:szCs w:val="32"/>
          <w:highlight w:val="none"/>
        </w:rPr>
      </w:pPr>
      <w:r>
        <w:rPr>
          <w:rFonts w:eastAsia="仿宋_GB2312"/>
          <w:color w:val="auto"/>
          <w:sz w:val="32"/>
          <w:szCs w:val="32"/>
          <w:highlight w:val="none"/>
        </w:rPr>
        <w:t>[13]</w:t>
      </w:r>
      <w:r>
        <w:rPr>
          <w:rFonts w:hint="eastAsia" w:eastAsia="仿宋_GB2312"/>
          <w:color w:val="auto"/>
          <w:sz w:val="32"/>
          <w:szCs w:val="32"/>
          <w:highlight w:val="none"/>
        </w:rPr>
        <w:t>国家药品监督管理局</w:t>
      </w:r>
      <w:r>
        <w:rPr>
          <w:rFonts w:eastAsia="仿宋_GB2312"/>
          <w:color w:val="auto"/>
          <w:sz w:val="32"/>
          <w:szCs w:val="32"/>
          <w:highlight w:val="none"/>
        </w:rPr>
        <w:t>.</w:t>
      </w:r>
      <w:r>
        <w:rPr>
          <w:rFonts w:hint="eastAsia" w:eastAsia="仿宋_GB2312"/>
          <w:color w:val="auto"/>
          <w:sz w:val="32"/>
          <w:szCs w:val="32"/>
          <w:highlight w:val="none"/>
        </w:rPr>
        <w:t>免于临床评价医疗器械目录：国家药监局通告2023年第33号</w:t>
      </w:r>
      <w:r>
        <w:rPr>
          <w:rFonts w:eastAsia="仿宋_GB2312"/>
          <w:color w:val="auto"/>
          <w:sz w:val="32"/>
          <w:szCs w:val="32"/>
          <w:highlight w:val="none"/>
        </w:rPr>
        <w:t>[Z].</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[14]</w:t>
      </w:r>
      <w:r>
        <w:rPr>
          <w:rFonts w:hint="eastAsia" w:eastAsia="仿宋_GB2312"/>
          <w:color w:val="auto"/>
          <w:sz w:val="32"/>
          <w:szCs w:val="32"/>
          <w:highlight w:val="none"/>
        </w:rPr>
        <w:t>国家食品药品监督管理局.医疗器械临床评价技术指导原则：国家食品药品监督管理总局通告2021年第73号[Z].</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[15]</w:t>
      </w:r>
      <w:r>
        <w:rPr>
          <w:rFonts w:hint="eastAsia" w:eastAsia="仿宋_GB2312"/>
          <w:color w:val="auto"/>
          <w:sz w:val="32"/>
          <w:szCs w:val="32"/>
          <w:highlight w:val="none"/>
        </w:rPr>
        <w:t>国家食品药品监督管理局.医疗器械生物学评价和审查指南:国家食品药品监督管理局通知2007年345号[Z]</w:t>
      </w:r>
      <w:r>
        <w:rPr>
          <w:rFonts w:eastAsia="仿宋_GB2312"/>
          <w:color w:val="auto"/>
          <w:sz w:val="32"/>
          <w:szCs w:val="32"/>
          <w:highlight w:val="none"/>
        </w:rPr>
        <w:t>.</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[1</w:t>
      </w:r>
      <w:r>
        <w:rPr>
          <w:rFonts w:hint="eastAsia" w:eastAsia="仿宋_GB2312"/>
          <w:color w:val="auto"/>
          <w:sz w:val="32"/>
          <w:szCs w:val="32"/>
          <w:highlight w:val="none"/>
        </w:rPr>
        <w:t>6</w:t>
      </w:r>
      <w:r>
        <w:rPr>
          <w:rFonts w:eastAsia="仿宋_GB2312"/>
          <w:color w:val="auto"/>
          <w:sz w:val="32"/>
          <w:szCs w:val="32"/>
          <w:highlight w:val="none"/>
        </w:rPr>
        <w:t>]</w:t>
      </w:r>
      <w:r>
        <w:rPr>
          <w:rFonts w:hint="eastAsia" w:eastAsia="仿宋_GB2312"/>
          <w:color w:val="auto"/>
          <w:sz w:val="32"/>
          <w:szCs w:val="32"/>
          <w:highlight w:val="none"/>
        </w:rPr>
        <w:t>国家药品监督管理局</w:t>
      </w:r>
      <w:r>
        <w:rPr>
          <w:rFonts w:eastAsia="仿宋_GB2312"/>
          <w:color w:val="auto"/>
          <w:sz w:val="32"/>
          <w:szCs w:val="32"/>
          <w:highlight w:val="none"/>
        </w:rPr>
        <w:t>.</w:t>
      </w:r>
      <w:r>
        <w:rPr>
          <w:rFonts w:hint="eastAsia" w:eastAsia="仿宋_GB2312"/>
          <w:color w:val="auto"/>
          <w:sz w:val="32"/>
          <w:szCs w:val="32"/>
          <w:highlight w:val="none"/>
        </w:rPr>
        <w:t>医疗器械产品技术要求编写指导原则</w:t>
      </w:r>
      <w:r>
        <w:rPr>
          <w:rFonts w:eastAsia="仿宋_GB2312"/>
          <w:color w:val="auto"/>
          <w:sz w:val="32"/>
          <w:szCs w:val="32"/>
          <w:highlight w:val="none"/>
        </w:rPr>
        <w:t>:</w:t>
      </w:r>
      <w:r>
        <w:rPr>
          <w:rFonts w:hint="eastAsia" w:eastAsia="仿宋_GB2312"/>
          <w:color w:val="auto"/>
          <w:sz w:val="32"/>
          <w:szCs w:val="32"/>
          <w:highlight w:val="none"/>
        </w:rPr>
        <w:t>国家药监局公告</w:t>
      </w:r>
      <w:r>
        <w:rPr>
          <w:rFonts w:eastAsia="仿宋_GB2312"/>
          <w:color w:val="auto"/>
          <w:sz w:val="32"/>
          <w:szCs w:val="32"/>
          <w:highlight w:val="none"/>
        </w:rPr>
        <w:t>2022</w:t>
      </w:r>
      <w:r>
        <w:rPr>
          <w:rFonts w:hint="eastAsia" w:eastAsia="仿宋_GB2312"/>
          <w:color w:val="auto"/>
          <w:sz w:val="32"/>
          <w:szCs w:val="32"/>
          <w:highlight w:val="none"/>
        </w:rPr>
        <w:t>年第</w:t>
      </w:r>
      <w:r>
        <w:rPr>
          <w:rFonts w:eastAsia="仿宋_GB2312"/>
          <w:color w:val="auto"/>
          <w:sz w:val="32"/>
          <w:szCs w:val="32"/>
          <w:highlight w:val="none"/>
        </w:rPr>
        <w:t>8</w:t>
      </w:r>
      <w:r>
        <w:rPr>
          <w:rFonts w:hint="eastAsia" w:eastAsia="仿宋_GB2312"/>
          <w:color w:val="auto"/>
          <w:sz w:val="32"/>
          <w:szCs w:val="32"/>
          <w:highlight w:val="none"/>
        </w:rPr>
        <w:t>号</w:t>
      </w:r>
      <w:r>
        <w:rPr>
          <w:rFonts w:eastAsia="仿宋_GB2312"/>
          <w:color w:val="auto"/>
          <w:sz w:val="32"/>
          <w:szCs w:val="32"/>
          <w:highlight w:val="none"/>
        </w:rPr>
        <w:t>[Z].</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[1</w:t>
      </w:r>
      <w:r>
        <w:rPr>
          <w:rFonts w:hint="eastAsia" w:eastAsia="仿宋_GB2312"/>
          <w:color w:val="auto"/>
          <w:sz w:val="32"/>
          <w:szCs w:val="32"/>
          <w:highlight w:val="none"/>
        </w:rPr>
        <w:t>7</w:t>
      </w:r>
      <w:r>
        <w:rPr>
          <w:rFonts w:eastAsia="仿宋_GB2312"/>
          <w:color w:val="auto"/>
          <w:sz w:val="32"/>
          <w:szCs w:val="32"/>
          <w:highlight w:val="none"/>
        </w:rPr>
        <w:t>]GB/T 16886.1</w:t>
      </w:r>
      <w:r>
        <w:rPr>
          <w:rFonts w:hint="eastAsia" w:eastAsia="仿宋_GB2312"/>
          <w:color w:val="auto"/>
          <w:sz w:val="32"/>
          <w:szCs w:val="32"/>
          <w:highlight w:val="none"/>
        </w:rPr>
        <w:t>-2022</w:t>
      </w:r>
      <w:r>
        <w:rPr>
          <w:rFonts w:eastAsia="仿宋_GB2312"/>
          <w:color w:val="auto"/>
          <w:sz w:val="32"/>
          <w:szCs w:val="32"/>
          <w:highlight w:val="none"/>
        </w:rPr>
        <w:t>,</w:t>
      </w:r>
      <w:r>
        <w:rPr>
          <w:rFonts w:hint="eastAsia" w:eastAsia="仿宋_GB2312"/>
          <w:color w:val="auto"/>
          <w:sz w:val="32"/>
          <w:szCs w:val="32"/>
          <w:highlight w:val="none"/>
        </w:rPr>
        <w:t>医疗器械生物学评价第</w:t>
      </w:r>
      <w:r>
        <w:rPr>
          <w:rFonts w:eastAsia="仿宋_GB2312"/>
          <w:color w:val="auto"/>
          <w:sz w:val="32"/>
          <w:szCs w:val="32"/>
          <w:highlight w:val="none"/>
        </w:rPr>
        <w:t>1</w:t>
      </w:r>
      <w:r>
        <w:rPr>
          <w:rFonts w:hint="eastAsia" w:eastAsia="仿宋_GB2312"/>
          <w:color w:val="auto"/>
          <w:sz w:val="32"/>
          <w:szCs w:val="32"/>
          <w:highlight w:val="none"/>
        </w:rPr>
        <w:t>部分：风险管理过程中的评价与试验</w:t>
      </w:r>
      <w:r>
        <w:rPr>
          <w:rFonts w:eastAsia="仿宋_GB2312"/>
          <w:color w:val="auto"/>
          <w:sz w:val="32"/>
          <w:szCs w:val="32"/>
          <w:highlight w:val="none"/>
        </w:rPr>
        <w:t>[S].</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[1</w:t>
      </w:r>
      <w:r>
        <w:rPr>
          <w:rFonts w:hint="eastAsia" w:eastAsia="仿宋_GB2312"/>
          <w:color w:val="auto"/>
          <w:sz w:val="32"/>
          <w:szCs w:val="32"/>
          <w:highlight w:val="none"/>
        </w:rPr>
        <w:t>8</w:t>
      </w:r>
      <w:r>
        <w:rPr>
          <w:rFonts w:eastAsia="仿宋_GB2312"/>
          <w:color w:val="auto"/>
          <w:sz w:val="32"/>
          <w:szCs w:val="32"/>
          <w:highlight w:val="none"/>
        </w:rPr>
        <w:t>]GB/T 42062</w:t>
      </w:r>
      <w:r>
        <w:rPr>
          <w:rFonts w:hint="eastAsia" w:eastAsia="仿宋_GB2312"/>
          <w:color w:val="auto"/>
          <w:sz w:val="32"/>
          <w:szCs w:val="32"/>
          <w:highlight w:val="none"/>
        </w:rPr>
        <w:t>-2022</w:t>
      </w:r>
      <w:r>
        <w:rPr>
          <w:rFonts w:eastAsia="仿宋_GB2312"/>
          <w:color w:val="auto"/>
          <w:sz w:val="32"/>
          <w:szCs w:val="32"/>
          <w:highlight w:val="none"/>
        </w:rPr>
        <w:t>,</w:t>
      </w:r>
      <w:r>
        <w:rPr>
          <w:rFonts w:hint="eastAsia" w:eastAsia="仿宋_GB2312"/>
          <w:color w:val="auto"/>
          <w:sz w:val="32"/>
          <w:szCs w:val="32"/>
          <w:highlight w:val="none"/>
        </w:rPr>
        <w:t>医疗器械风险管理对医疗器械的应用</w:t>
      </w:r>
      <w:r>
        <w:rPr>
          <w:rFonts w:eastAsia="仿宋_GB2312"/>
          <w:color w:val="auto"/>
          <w:sz w:val="32"/>
          <w:szCs w:val="32"/>
          <w:highlight w:val="none"/>
        </w:rPr>
        <w:t>[S].</w:t>
      </w:r>
    </w:p>
    <w:p>
      <w:pPr>
        <w:pStyle w:val="12"/>
        <w:rPr>
          <w:color w:val="auto"/>
          <w:highlight w:val="none"/>
        </w:rPr>
      </w:pP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[19]GB 9706.1</w:t>
      </w:r>
      <w:r>
        <w:rPr>
          <w:rFonts w:hint="eastAsia" w:eastAsia="仿宋_GB2312"/>
          <w:color w:val="auto"/>
          <w:sz w:val="32"/>
          <w:szCs w:val="32"/>
          <w:highlight w:val="none"/>
        </w:rPr>
        <w:t>-2020</w:t>
      </w:r>
      <w:r>
        <w:rPr>
          <w:rFonts w:eastAsia="仿宋_GB2312"/>
          <w:color w:val="auto"/>
          <w:sz w:val="32"/>
          <w:szCs w:val="32"/>
          <w:highlight w:val="none"/>
        </w:rPr>
        <w:t>,</w:t>
      </w:r>
      <w:r>
        <w:rPr>
          <w:rFonts w:hint="eastAsia" w:eastAsia="仿宋_GB2312"/>
          <w:color w:val="auto"/>
          <w:sz w:val="32"/>
          <w:szCs w:val="32"/>
          <w:highlight w:val="none"/>
        </w:rPr>
        <w:t>医用电气设备</w:t>
      </w:r>
      <w:r>
        <w:rPr>
          <w:rFonts w:eastAsia="仿宋_GB2312"/>
          <w:color w:val="auto"/>
          <w:sz w:val="32"/>
          <w:szCs w:val="32"/>
          <w:highlight w:val="none"/>
        </w:rPr>
        <w:t xml:space="preserve"> </w:t>
      </w:r>
      <w:r>
        <w:rPr>
          <w:rFonts w:hint="eastAsia" w:eastAsia="仿宋_GB2312"/>
          <w:color w:val="auto"/>
          <w:sz w:val="32"/>
          <w:szCs w:val="32"/>
          <w:highlight w:val="none"/>
        </w:rPr>
        <w:t>第</w:t>
      </w:r>
      <w:r>
        <w:rPr>
          <w:rFonts w:eastAsia="仿宋_GB2312"/>
          <w:color w:val="auto"/>
          <w:sz w:val="32"/>
          <w:szCs w:val="32"/>
          <w:highlight w:val="none"/>
        </w:rPr>
        <w:t>1</w:t>
      </w:r>
      <w:r>
        <w:rPr>
          <w:rFonts w:hint="eastAsia" w:eastAsia="仿宋_GB2312"/>
          <w:color w:val="auto"/>
          <w:sz w:val="32"/>
          <w:szCs w:val="32"/>
          <w:highlight w:val="none"/>
        </w:rPr>
        <w:t>部分：基本安全和基本性能的通用要求</w:t>
      </w:r>
      <w:r>
        <w:rPr>
          <w:rFonts w:eastAsia="仿宋_GB2312"/>
          <w:color w:val="auto"/>
          <w:sz w:val="32"/>
          <w:szCs w:val="32"/>
          <w:highlight w:val="none"/>
        </w:rPr>
        <w:t>[S].</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[20]</w:t>
      </w:r>
      <w:r>
        <w:rPr>
          <w:rFonts w:hint="eastAsia" w:eastAsia="仿宋_GB2312"/>
          <w:color w:val="auto"/>
          <w:sz w:val="32"/>
          <w:szCs w:val="32"/>
          <w:highlight w:val="none"/>
        </w:rPr>
        <w:t>YY 9706.102,用电气设备 第1-2部分：基本安全和基本性能的通用要求 并列标准：电磁兼容 要求和试验[S].</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[2</w:t>
      </w:r>
      <w:r>
        <w:rPr>
          <w:rFonts w:hint="eastAsia" w:eastAsia="仿宋_GB2312"/>
          <w:color w:val="auto"/>
          <w:sz w:val="32"/>
          <w:szCs w:val="32"/>
          <w:highlight w:val="none"/>
        </w:rPr>
        <w:t>1</w:t>
      </w:r>
      <w:r>
        <w:rPr>
          <w:rFonts w:eastAsia="仿宋_GB2312"/>
          <w:color w:val="auto"/>
          <w:sz w:val="32"/>
          <w:szCs w:val="32"/>
          <w:highlight w:val="none"/>
        </w:rPr>
        <w:t>]</w:t>
      </w:r>
      <w:r>
        <w:rPr>
          <w:rFonts w:hint="eastAsia" w:eastAsia="仿宋_GB2312"/>
          <w:color w:val="auto"/>
          <w:sz w:val="32"/>
          <w:szCs w:val="32"/>
          <w:highlight w:val="none"/>
        </w:rPr>
        <w:t>YY9706.210-2021,医用电气设备 第2部分：神经和肌肉刺激器安全专用要求</w:t>
      </w:r>
      <w:r>
        <w:rPr>
          <w:rFonts w:eastAsia="仿宋_GB2312"/>
          <w:color w:val="auto"/>
          <w:sz w:val="32"/>
          <w:szCs w:val="32"/>
          <w:highlight w:val="none"/>
        </w:rPr>
        <w:t>[S].</w:t>
      </w:r>
    </w:p>
    <w:p>
      <w:pPr>
        <w:spacing w:line="520" w:lineRule="exact"/>
        <w:ind w:firstLine="640" w:firstLineChars="200"/>
        <w:rPr>
          <w:color w:val="auto"/>
          <w:highlight w:val="none"/>
        </w:rPr>
      </w:pPr>
      <w:r>
        <w:rPr>
          <w:rFonts w:eastAsia="仿宋_GB2312"/>
          <w:color w:val="auto"/>
          <w:sz w:val="32"/>
          <w:szCs w:val="32"/>
          <w:highlight w:val="none"/>
        </w:rPr>
        <w:t>[2</w:t>
      </w:r>
      <w:r>
        <w:rPr>
          <w:rFonts w:hint="eastAsia" w:eastAsia="仿宋_GB2312"/>
          <w:color w:val="auto"/>
          <w:sz w:val="32"/>
          <w:szCs w:val="32"/>
          <w:highlight w:val="none"/>
        </w:rPr>
        <w:t>2</w:t>
      </w:r>
      <w:r>
        <w:rPr>
          <w:rFonts w:eastAsia="仿宋_GB2312"/>
          <w:color w:val="auto"/>
          <w:sz w:val="32"/>
          <w:szCs w:val="32"/>
          <w:highlight w:val="none"/>
        </w:rPr>
        <w:t>]YY 9706.111</w:t>
      </w:r>
      <w:r>
        <w:rPr>
          <w:rFonts w:hint="eastAsia" w:eastAsia="仿宋_GB2312"/>
          <w:color w:val="auto"/>
          <w:sz w:val="32"/>
          <w:szCs w:val="32"/>
          <w:highlight w:val="none"/>
        </w:rPr>
        <w:t>-2021</w:t>
      </w:r>
      <w:r>
        <w:rPr>
          <w:rFonts w:eastAsia="仿宋_GB2312"/>
          <w:color w:val="auto"/>
          <w:sz w:val="32"/>
          <w:szCs w:val="32"/>
          <w:highlight w:val="none"/>
        </w:rPr>
        <w:t>,</w:t>
      </w:r>
      <w:r>
        <w:rPr>
          <w:rFonts w:hint="eastAsia" w:eastAsia="仿宋_GB2312"/>
          <w:color w:val="auto"/>
          <w:sz w:val="32"/>
          <w:szCs w:val="32"/>
          <w:highlight w:val="none"/>
        </w:rPr>
        <w:t>医用电气设备</w:t>
      </w:r>
      <w:r>
        <w:rPr>
          <w:rFonts w:eastAsia="仿宋_GB2312"/>
          <w:color w:val="auto"/>
          <w:sz w:val="32"/>
          <w:szCs w:val="32"/>
          <w:highlight w:val="none"/>
        </w:rPr>
        <w:t xml:space="preserve"> </w:t>
      </w:r>
      <w:r>
        <w:rPr>
          <w:rFonts w:hint="eastAsia" w:eastAsia="仿宋_GB2312"/>
          <w:color w:val="auto"/>
          <w:sz w:val="32"/>
          <w:szCs w:val="32"/>
          <w:highlight w:val="none"/>
        </w:rPr>
        <w:t>第</w:t>
      </w:r>
      <w:r>
        <w:rPr>
          <w:rFonts w:eastAsia="仿宋_GB2312"/>
          <w:color w:val="auto"/>
          <w:sz w:val="32"/>
          <w:szCs w:val="32"/>
          <w:highlight w:val="none"/>
        </w:rPr>
        <w:t>1-11</w:t>
      </w:r>
      <w:r>
        <w:rPr>
          <w:rFonts w:hint="eastAsia" w:eastAsia="仿宋_GB2312"/>
          <w:color w:val="auto"/>
          <w:sz w:val="32"/>
          <w:szCs w:val="32"/>
          <w:highlight w:val="none"/>
        </w:rPr>
        <w:t>部分：基本安全和基本性能的通用要求</w:t>
      </w:r>
      <w:r>
        <w:rPr>
          <w:rFonts w:eastAsia="仿宋_GB2312"/>
          <w:color w:val="auto"/>
          <w:sz w:val="32"/>
          <w:szCs w:val="32"/>
          <w:highlight w:val="none"/>
        </w:rPr>
        <w:t xml:space="preserve"> </w:t>
      </w:r>
      <w:r>
        <w:rPr>
          <w:rFonts w:hint="eastAsia" w:eastAsia="仿宋_GB2312"/>
          <w:color w:val="auto"/>
          <w:sz w:val="32"/>
          <w:szCs w:val="32"/>
          <w:highlight w:val="none"/>
        </w:rPr>
        <w:t>并列标准：在家庭护理环境中使用的医用电气设备和医用电气系统的要求</w:t>
      </w:r>
      <w:r>
        <w:rPr>
          <w:rFonts w:eastAsia="仿宋_GB2312"/>
          <w:color w:val="auto"/>
          <w:sz w:val="32"/>
          <w:szCs w:val="32"/>
          <w:highlight w:val="none"/>
        </w:rPr>
        <w:t>[S].</w:t>
      </w:r>
    </w:p>
    <w:p>
      <w:pPr>
        <w:spacing w:line="520" w:lineRule="exact"/>
        <w:ind w:firstLine="640" w:firstLineChars="200"/>
        <w:rPr>
          <w:rFonts w:eastAsia="仿宋_GB2312"/>
          <w:color w:val="auto"/>
          <w:sz w:val="32"/>
          <w:szCs w:val="32"/>
          <w:highlight w:val="none"/>
        </w:rPr>
      </w:pPr>
      <w:r>
        <w:rPr>
          <w:rFonts w:eastAsia="仿宋_GB2312"/>
          <w:color w:val="auto"/>
          <w:sz w:val="32"/>
          <w:szCs w:val="32"/>
          <w:highlight w:val="none"/>
        </w:rPr>
        <w:t>[2</w:t>
      </w:r>
      <w:r>
        <w:rPr>
          <w:rFonts w:hint="eastAsia" w:eastAsia="仿宋_GB2312"/>
          <w:color w:val="auto"/>
          <w:sz w:val="32"/>
          <w:szCs w:val="32"/>
          <w:highlight w:val="none"/>
        </w:rPr>
        <w:t>3</w:t>
      </w:r>
      <w:r>
        <w:rPr>
          <w:rFonts w:eastAsia="仿宋_GB2312"/>
          <w:color w:val="auto"/>
          <w:sz w:val="32"/>
          <w:szCs w:val="32"/>
          <w:highlight w:val="none"/>
        </w:rPr>
        <w:t>]GB/T 14710</w:t>
      </w:r>
      <w:r>
        <w:rPr>
          <w:rFonts w:hint="eastAsia" w:eastAsia="仿宋_GB2312"/>
          <w:color w:val="auto"/>
          <w:sz w:val="32"/>
          <w:szCs w:val="32"/>
          <w:highlight w:val="none"/>
        </w:rPr>
        <w:t>-2009</w:t>
      </w:r>
      <w:r>
        <w:rPr>
          <w:rFonts w:eastAsia="仿宋_GB2312"/>
          <w:color w:val="auto"/>
          <w:sz w:val="32"/>
          <w:szCs w:val="32"/>
          <w:highlight w:val="none"/>
        </w:rPr>
        <w:t>,</w:t>
      </w:r>
      <w:r>
        <w:rPr>
          <w:rFonts w:hint="eastAsia" w:eastAsia="仿宋_GB2312"/>
          <w:color w:val="auto"/>
          <w:sz w:val="32"/>
          <w:szCs w:val="32"/>
          <w:highlight w:val="none"/>
        </w:rPr>
        <w:t>医用电器环境要求及试验方法</w:t>
      </w:r>
      <w:r>
        <w:rPr>
          <w:rFonts w:eastAsia="仿宋_GB2312"/>
          <w:color w:val="auto"/>
          <w:sz w:val="32"/>
          <w:szCs w:val="32"/>
          <w:highlight w:val="none"/>
        </w:rPr>
        <w:t>[S].</w:t>
      </w:r>
    </w:p>
    <w:p>
      <w:pPr>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[24]GB/T 16886.5,医疗器械生物学评价 第5部分：体外细胞毒性试验[S].</w:t>
      </w:r>
    </w:p>
    <w:p>
      <w:pPr>
        <w:spacing w:line="52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[25]GB/T 16886.10,医疗器械生物学评价 第10部分：刺激与皮肤致敏试验[S].</w:t>
      </w:r>
    </w:p>
    <w:p>
      <w:pPr>
        <w:widowControl/>
        <w:spacing w:line="520" w:lineRule="exact"/>
        <w:ind w:firstLine="640" w:firstLineChars="200"/>
        <w:jc w:val="left"/>
        <w:rPr>
          <w:rFonts w:hint="eastAsia" w:ascii="Calibri" w:hAnsi="Calibri" w:eastAsia="仿宋_GB2312" w:cs="宋体"/>
          <w:color w:val="auto"/>
          <w:sz w:val="32"/>
          <w:szCs w:val="32"/>
          <w:highlight w:val="none"/>
        </w:rPr>
      </w:pPr>
      <w:r>
        <w:rPr>
          <w:rFonts w:hint="eastAsia" w:ascii="Calibri" w:hAnsi="Calibri" w:eastAsia="仿宋_GB2312" w:cs="宋体"/>
          <w:color w:val="auto"/>
          <w:sz w:val="32"/>
          <w:szCs w:val="32"/>
          <w:highlight w:val="none"/>
        </w:rPr>
        <w:t>[</w:t>
      </w:r>
      <w:r>
        <w:rPr>
          <w:rFonts w:hint="eastAsia" w:ascii="Calibri" w:hAnsi="Calibri" w:eastAsia="仿宋_GB2312" w:cs="宋体"/>
          <w:color w:val="auto"/>
          <w:sz w:val="32"/>
          <w:szCs w:val="32"/>
          <w:highlight w:val="none"/>
          <w:lang w:val="en-US" w:eastAsia="zh-CN"/>
        </w:rPr>
        <w:t>26</w:t>
      </w:r>
      <w:r>
        <w:rPr>
          <w:rFonts w:hint="eastAsia" w:ascii="Calibri" w:hAnsi="Calibri" w:eastAsia="仿宋_GB2312" w:cs="宋体"/>
          <w:color w:val="auto"/>
          <w:sz w:val="32"/>
          <w:szCs w:val="32"/>
          <w:highlight w:val="none"/>
        </w:rPr>
        <w:t>]乔志恒。物理治疗学全书 [M]. 北京：人民卫生出版社，2000.</w:t>
      </w:r>
    </w:p>
    <w:p>
      <w:pPr>
        <w:widowControl/>
        <w:spacing w:line="520" w:lineRule="exact"/>
        <w:ind w:firstLine="640" w:firstLineChars="200"/>
        <w:jc w:val="left"/>
        <w:rPr>
          <w:rFonts w:hint="eastAsia" w:ascii="Calibri" w:hAnsi="Calibri" w:eastAsia="仿宋_GB2312" w:cs="宋体"/>
          <w:color w:val="auto"/>
          <w:sz w:val="32"/>
          <w:szCs w:val="32"/>
          <w:highlight w:val="none"/>
        </w:rPr>
      </w:pPr>
      <w:r>
        <w:rPr>
          <w:rFonts w:hint="eastAsia" w:ascii="Calibri" w:hAnsi="Calibri" w:eastAsia="仿宋_GB2312" w:cs="宋体"/>
          <w:color w:val="auto"/>
          <w:sz w:val="32"/>
          <w:szCs w:val="32"/>
          <w:highlight w:val="none"/>
        </w:rPr>
        <w:t>[</w:t>
      </w:r>
      <w:r>
        <w:rPr>
          <w:rFonts w:hint="eastAsia" w:ascii="Calibri" w:hAnsi="Calibri" w:eastAsia="仿宋_GB2312" w:cs="宋体"/>
          <w:color w:val="auto"/>
          <w:sz w:val="32"/>
          <w:szCs w:val="32"/>
          <w:highlight w:val="none"/>
          <w:lang w:val="en-US" w:eastAsia="zh-CN"/>
        </w:rPr>
        <w:t>27</w:t>
      </w:r>
      <w:r>
        <w:rPr>
          <w:rFonts w:hint="eastAsia" w:ascii="Calibri" w:hAnsi="Calibri" w:eastAsia="仿宋_GB2312" w:cs="宋体"/>
          <w:color w:val="auto"/>
          <w:sz w:val="32"/>
          <w:szCs w:val="32"/>
          <w:highlight w:val="none"/>
        </w:rPr>
        <w:t>] 张维杰。物理因子治疗技术 [M]. 武汉：华中科技大学出版社，2012.</w:t>
      </w:r>
    </w:p>
    <w:p>
      <w:pPr>
        <w:widowControl/>
        <w:spacing w:line="520" w:lineRule="exact"/>
        <w:ind w:firstLine="640" w:firstLineChars="200"/>
        <w:jc w:val="left"/>
        <w:rPr>
          <w:rFonts w:hint="eastAsia" w:ascii="Calibri" w:hAnsi="Calibri" w:eastAsia="仿宋_GB2312" w:cs="宋体"/>
          <w:color w:val="auto"/>
          <w:sz w:val="32"/>
          <w:szCs w:val="32"/>
          <w:highlight w:val="none"/>
        </w:rPr>
      </w:pPr>
    </w:p>
    <w:p>
      <w:pPr>
        <w:spacing w:line="520" w:lineRule="exac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附表</w:t>
      </w:r>
    </w:p>
    <w:p>
      <w:pPr>
        <w:pStyle w:val="12"/>
        <w:rPr>
          <w:color w:val="auto"/>
          <w:highlight w:val="none"/>
        </w:rPr>
      </w:pPr>
    </w:p>
    <w:p>
      <w:pPr>
        <w:pStyle w:val="12"/>
        <w:adjustRightInd/>
        <w:snapToGrid/>
        <w:spacing w:line="520" w:lineRule="exact"/>
        <w:jc w:val="center"/>
        <w:rPr>
          <w:rFonts w:ascii="Arial" w:hAnsi="Arial" w:eastAsia="黑体"/>
          <w:color w:val="auto"/>
          <w:sz w:val="32"/>
          <w:szCs w:val="18"/>
          <w:highlight w:val="none"/>
        </w:rPr>
      </w:pPr>
      <w:r>
        <w:rPr>
          <w:rFonts w:hint="eastAsia" w:ascii="Arial" w:hAnsi="Arial" w:eastAsia="黑体"/>
          <w:color w:val="auto"/>
          <w:sz w:val="32"/>
          <w:szCs w:val="18"/>
          <w:highlight w:val="none"/>
        </w:rPr>
        <w:t>产品常见的风险要素及</w:t>
      </w:r>
      <w:r>
        <w:rPr>
          <w:rFonts w:ascii="Arial" w:hAnsi="Arial" w:eastAsia="黑体"/>
          <w:color w:val="auto"/>
          <w:sz w:val="32"/>
          <w:szCs w:val="18"/>
          <w:highlight w:val="none"/>
        </w:rPr>
        <w:t>示例</w:t>
      </w:r>
    </w:p>
    <w:tbl>
      <w:tblPr>
        <w:tblStyle w:val="9"/>
        <w:tblW w:w="8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71"/>
        <w:gridCol w:w="1071"/>
        <w:gridCol w:w="3262"/>
        <w:gridCol w:w="29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0" w:hRule="atLeast"/>
          <w:tblHeader/>
        </w:trPr>
        <w:tc>
          <w:tcPr>
            <w:tcW w:w="2142" w:type="dxa"/>
            <w:gridSpan w:val="2"/>
            <w:vAlign w:val="center"/>
          </w:tcPr>
          <w:p>
            <w:pPr>
              <w:spacing w:line="400" w:lineRule="exact"/>
              <w:jc w:val="center"/>
              <w:rPr>
                <w:rFonts w:eastAsia="黑体"/>
                <w:color w:val="auto"/>
                <w:sz w:val="28"/>
                <w:highlight w:val="none"/>
              </w:rPr>
            </w:pPr>
            <w:r>
              <w:rPr>
                <w:rFonts w:hint="eastAsia" w:eastAsia="黑体"/>
                <w:color w:val="auto"/>
                <w:sz w:val="28"/>
                <w:highlight w:val="none"/>
              </w:rPr>
              <w:t>危险（源）分类</w:t>
            </w:r>
          </w:p>
        </w:tc>
        <w:tc>
          <w:tcPr>
            <w:tcW w:w="3262" w:type="dxa"/>
            <w:vAlign w:val="center"/>
          </w:tcPr>
          <w:p>
            <w:pPr>
              <w:spacing w:line="400" w:lineRule="exact"/>
              <w:jc w:val="center"/>
              <w:rPr>
                <w:rFonts w:eastAsia="黑体"/>
                <w:color w:val="auto"/>
                <w:sz w:val="28"/>
                <w:highlight w:val="none"/>
              </w:rPr>
            </w:pPr>
            <w:r>
              <w:rPr>
                <w:rFonts w:hint="eastAsia" w:eastAsia="黑体"/>
                <w:color w:val="auto"/>
                <w:sz w:val="28"/>
                <w:highlight w:val="none"/>
              </w:rPr>
              <w:t>可能的原因</w:t>
            </w:r>
          </w:p>
        </w:tc>
        <w:tc>
          <w:tcPr>
            <w:tcW w:w="2910" w:type="dxa"/>
            <w:vAlign w:val="center"/>
          </w:tcPr>
          <w:p>
            <w:pPr>
              <w:spacing w:line="400" w:lineRule="exact"/>
              <w:jc w:val="center"/>
              <w:rPr>
                <w:rFonts w:eastAsia="黑体"/>
                <w:color w:val="auto"/>
                <w:sz w:val="28"/>
                <w:highlight w:val="none"/>
              </w:rPr>
            </w:pPr>
            <w:r>
              <w:rPr>
                <w:rFonts w:hint="eastAsia" w:eastAsia="黑体"/>
                <w:color w:val="auto"/>
                <w:sz w:val="28"/>
                <w:highlight w:val="none"/>
              </w:rPr>
              <w:t>造成的后果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restart"/>
            <w:vAlign w:val="center"/>
          </w:tcPr>
          <w:p>
            <w:pPr>
              <w:snapToGrid w:val="0"/>
              <w:spacing w:line="400" w:lineRule="exact"/>
              <w:rPr>
                <w:rFonts w:eastAsia="仿宋_GB2312"/>
                <w:color w:val="auto"/>
                <w:sz w:val="28"/>
                <w:szCs w:val="28"/>
                <w:highlight w:val="none"/>
              </w:rPr>
            </w:pPr>
            <w:r>
              <w:rPr>
                <w:rFonts w:hint="eastAsia" w:eastAsia="仿宋_GB2312"/>
                <w:color w:val="auto"/>
                <w:sz w:val="28"/>
                <w:szCs w:val="28"/>
                <w:highlight w:val="none"/>
              </w:rPr>
              <w:t>能量危险</w:t>
            </w:r>
          </w:p>
        </w:tc>
        <w:tc>
          <w:tcPr>
            <w:tcW w:w="1071" w:type="dxa"/>
            <w:vMerge w:val="restart"/>
            <w:vAlign w:val="center"/>
          </w:tcPr>
          <w:p>
            <w:pPr>
              <w:snapToGrid w:val="0"/>
              <w:spacing w:line="400" w:lineRule="exact"/>
              <w:rPr>
                <w:rFonts w:eastAsia="仿宋_GB2312"/>
                <w:color w:val="auto"/>
                <w:sz w:val="28"/>
                <w:szCs w:val="28"/>
                <w:highlight w:val="none"/>
              </w:rPr>
            </w:pPr>
            <w:r>
              <w:rPr>
                <w:rFonts w:eastAsia="仿宋_GB2312"/>
                <w:color w:val="auto"/>
                <w:sz w:val="28"/>
                <w:szCs w:val="28"/>
                <w:highlight w:val="none"/>
              </w:rPr>
              <w:t>电磁能</w:t>
            </w:r>
          </w:p>
        </w:tc>
        <w:tc>
          <w:tcPr>
            <w:tcW w:w="3262" w:type="dxa"/>
            <w:vAlign w:val="center"/>
          </w:tcPr>
          <w:p>
            <w:pPr>
              <w:snapToGrid w:val="0"/>
              <w:spacing w:line="400" w:lineRule="exact"/>
              <w:rPr>
                <w:rFonts w:eastAsia="仿宋_GB2312"/>
                <w:color w:val="auto"/>
                <w:sz w:val="28"/>
                <w:szCs w:val="28"/>
                <w:highlight w:val="none"/>
              </w:rPr>
            </w:pPr>
            <w:r>
              <w:rPr>
                <w:rFonts w:eastAsia="仿宋_GB2312"/>
                <w:color w:val="auto"/>
                <w:sz w:val="28"/>
                <w:szCs w:val="28"/>
                <w:highlight w:val="none"/>
              </w:rPr>
              <w:t>可触及金属、外壳、应用部分等与带电部分隔离/保护不够，电介质强度不够</w:t>
            </w:r>
            <w:r>
              <w:rPr>
                <w:rFonts w:hint="eastAsia" w:eastAsia="仿宋_GB2312"/>
                <w:color w:val="auto"/>
                <w:sz w:val="28"/>
                <w:szCs w:val="28"/>
                <w:highlight w:val="none"/>
              </w:rPr>
              <w:t>。</w:t>
            </w:r>
          </w:p>
        </w:tc>
        <w:tc>
          <w:tcPr>
            <w:tcW w:w="2910"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可能对使用者或患者造成电击危害等</w:t>
            </w:r>
            <w:r>
              <w:rPr>
                <w:rFonts w:hint="eastAsia" w:eastAsia="仿宋_GB2312"/>
                <w:color w:val="auto"/>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color w:val="auto"/>
                <w:sz w:val="28"/>
                <w:szCs w:val="28"/>
                <w:highlight w:val="none"/>
              </w:rPr>
            </w:pPr>
          </w:p>
        </w:tc>
        <w:tc>
          <w:tcPr>
            <w:tcW w:w="1071" w:type="dxa"/>
            <w:vMerge w:val="continue"/>
          </w:tcPr>
          <w:p>
            <w:pPr>
              <w:snapToGrid w:val="0"/>
              <w:spacing w:line="400" w:lineRule="exact"/>
              <w:rPr>
                <w:rFonts w:eastAsia="仿宋_GB2312"/>
                <w:color w:val="auto"/>
                <w:sz w:val="28"/>
                <w:szCs w:val="28"/>
                <w:highlight w:val="none"/>
              </w:rPr>
            </w:pPr>
          </w:p>
        </w:tc>
        <w:tc>
          <w:tcPr>
            <w:tcW w:w="3262"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产品外壳、应用部分绝缘/隔离不够</w:t>
            </w:r>
            <w:r>
              <w:rPr>
                <w:rFonts w:hint="eastAsia" w:eastAsia="仿宋_GB2312"/>
                <w:color w:val="auto"/>
                <w:sz w:val="28"/>
                <w:szCs w:val="28"/>
                <w:highlight w:val="none"/>
              </w:rPr>
              <w:t>。</w:t>
            </w:r>
          </w:p>
        </w:tc>
        <w:tc>
          <w:tcPr>
            <w:tcW w:w="2910"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可能引起过量漏电流伤害使用者或患者等</w:t>
            </w:r>
            <w:r>
              <w:rPr>
                <w:rFonts w:hint="eastAsia" w:eastAsia="仿宋_GB2312"/>
                <w:color w:val="auto"/>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color w:val="auto"/>
                <w:sz w:val="28"/>
                <w:szCs w:val="28"/>
                <w:highlight w:val="none"/>
              </w:rPr>
            </w:pPr>
          </w:p>
        </w:tc>
        <w:tc>
          <w:tcPr>
            <w:tcW w:w="1071" w:type="dxa"/>
            <w:vMerge w:val="continue"/>
          </w:tcPr>
          <w:p>
            <w:pPr>
              <w:snapToGrid w:val="0"/>
              <w:spacing w:line="400" w:lineRule="exact"/>
              <w:rPr>
                <w:rFonts w:eastAsia="仿宋_GB2312"/>
                <w:color w:val="auto"/>
                <w:sz w:val="28"/>
                <w:szCs w:val="28"/>
                <w:highlight w:val="none"/>
              </w:rPr>
            </w:pPr>
          </w:p>
        </w:tc>
        <w:tc>
          <w:tcPr>
            <w:tcW w:w="3262"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抗电磁干扰能力差</w:t>
            </w:r>
            <w:r>
              <w:rPr>
                <w:rFonts w:hint="eastAsia" w:eastAsia="仿宋_GB2312"/>
                <w:color w:val="auto"/>
                <w:sz w:val="28"/>
                <w:szCs w:val="28"/>
                <w:highlight w:val="none"/>
              </w:rPr>
              <w:t>。</w:t>
            </w:r>
          </w:p>
        </w:tc>
        <w:tc>
          <w:tcPr>
            <w:tcW w:w="2910" w:type="dxa"/>
          </w:tcPr>
          <w:p>
            <w:pPr>
              <w:snapToGrid w:val="0"/>
              <w:spacing w:line="400" w:lineRule="exact"/>
              <w:rPr>
                <w:rFonts w:eastAsia="仿宋_GB2312"/>
                <w:color w:val="auto"/>
                <w:sz w:val="28"/>
                <w:szCs w:val="28"/>
                <w:highlight w:val="none"/>
              </w:rPr>
            </w:pPr>
            <w:r>
              <w:rPr>
                <w:rFonts w:hint="eastAsia" w:eastAsia="仿宋_GB2312"/>
                <w:color w:val="auto"/>
                <w:sz w:val="28"/>
                <w:szCs w:val="28"/>
                <w:highlight w:val="none"/>
              </w:rPr>
              <w:t>可能引起</w:t>
            </w:r>
            <w:r>
              <w:rPr>
                <w:rFonts w:eastAsia="仿宋_GB2312"/>
                <w:color w:val="auto"/>
                <w:sz w:val="28"/>
                <w:szCs w:val="28"/>
                <w:highlight w:val="none"/>
              </w:rPr>
              <w:t>特定环境下工作不正常，或干扰其他设备正常工作等</w:t>
            </w:r>
            <w:r>
              <w:rPr>
                <w:rFonts w:hint="eastAsia" w:eastAsia="仿宋_GB2312"/>
                <w:color w:val="auto"/>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color w:val="auto"/>
                <w:sz w:val="28"/>
                <w:szCs w:val="28"/>
                <w:highlight w:val="none"/>
              </w:rPr>
            </w:pPr>
          </w:p>
        </w:tc>
        <w:tc>
          <w:tcPr>
            <w:tcW w:w="1071" w:type="dxa"/>
            <w:vMerge w:val="restart"/>
          </w:tcPr>
          <w:p>
            <w:pPr>
              <w:snapToGrid w:val="0"/>
              <w:spacing w:line="400" w:lineRule="exact"/>
              <w:rPr>
                <w:rFonts w:eastAsia="仿宋_GB2312"/>
                <w:color w:val="auto"/>
                <w:sz w:val="28"/>
                <w:szCs w:val="28"/>
                <w:highlight w:val="none"/>
              </w:rPr>
            </w:pPr>
            <w:r>
              <w:rPr>
                <w:rFonts w:eastAsia="仿宋_GB2312"/>
                <w:color w:val="auto"/>
                <w:sz w:val="28"/>
                <w:szCs w:val="28"/>
                <w:highlight w:val="none"/>
              </w:rPr>
              <w:t>热能</w:t>
            </w:r>
          </w:p>
        </w:tc>
        <w:tc>
          <w:tcPr>
            <w:tcW w:w="3262" w:type="dxa"/>
            <w:vAlign w:val="center"/>
          </w:tcPr>
          <w:p>
            <w:pPr>
              <w:snapToGrid w:val="0"/>
              <w:spacing w:line="400" w:lineRule="exact"/>
              <w:rPr>
                <w:rFonts w:eastAsia="仿宋_GB2312"/>
                <w:color w:val="auto"/>
                <w:sz w:val="28"/>
                <w:szCs w:val="28"/>
                <w:highlight w:val="none"/>
              </w:rPr>
            </w:pPr>
            <w:r>
              <w:rPr>
                <w:rStyle w:val="14"/>
                <w:rFonts w:eastAsia="仿宋_GB2312"/>
                <w:color w:val="auto"/>
                <w:sz w:val="28"/>
                <w:szCs w:val="28"/>
                <w:highlight w:val="none"/>
              </w:rPr>
              <w:t>皮肤电极表面温升</w:t>
            </w:r>
            <w:r>
              <w:rPr>
                <w:rStyle w:val="14"/>
                <w:rFonts w:hint="eastAsia" w:eastAsia="仿宋_GB2312"/>
                <w:color w:val="auto"/>
                <w:sz w:val="28"/>
                <w:szCs w:val="28"/>
                <w:highlight w:val="none"/>
              </w:rPr>
              <w:t>。</w:t>
            </w:r>
          </w:p>
        </w:tc>
        <w:tc>
          <w:tcPr>
            <w:tcW w:w="2910"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可能引起使用者或患者烫伤</w:t>
            </w:r>
            <w:r>
              <w:rPr>
                <w:rFonts w:hint="eastAsia" w:eastAsia="仿宋_GB2312"/>
                <w:color w:val="auto"/>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color w:val="auto"/>
                <w:sz w:val="28"/>
                <w:szCs w:val="28"/>
                <w:highlight w:val="none"/>
              </w:rPr>
            </w:pPr>
          </w:p>
        </w:tc>
        <w:tc>
          <w:tcPr>
            <w:tcW w:w="1071" w:type="dxa"/>
            <w:vMerge w:val="continue"/>
          </w:tcPr>
          <w:p>
            <w:pPr>
              <w:snapToGrid w:val="0"/>
              <w:spacing w:line="400" w:lineRule="exact"/>
              <w:rPr>
                <w:rFonts w:eastAsia="仿宋_GB2312"/>
                <w:color w:val="auto"/>
                <w:sz w:val="28"/>
                <w:szCs w:val="28"/>
                <w:highlight w:val="none"/>
              </w:rPr>
            </w:pPr>
          </w:p>
        </w:tc>
        <w:tc>
          <w:tcPr>
            <w:tcW w:w="3262" w:type="dxa"/>
          </w:tcPr>
          <w:p>
            <w:pPr>
              <w:snapToGrid w:val="0"/>
              <w:spacing w:line="400" w:lineRule="exact"/>
              <w:rPr>
                <w:rFonts w:eastAsia="仿宋_GB2312"/>
                <w:color w:val="auto"/>
                <w:sz w:val="28"/>
                <w:szCs w:val="28"/>
                <w:highlight w:val="none"/>
              </w:rPr>
            </w:pPr>
            <w:r>
              <w:rPr>
                <w:rStyle w:val="14"/>
                <w:rFonts w:eastAsia="仿宋_GB2312"/>
                <w:color w:val="auto"/>
                <w:sz w:val="28"/>
                <w:szCs w:val="28"/>
                <w:highlight w:val="none"/>
              </w:rPr>
              <w:t>电灼、电流密度</w:t>
            </w:r>
            <w:r>
              <w:rPr>
                <w:rStyle w:val="14"/>
                <w:rFonts w:hint="eastAsia" w:eastAsia="仿宋_GB2312"/>
                <w:color w:val="auto"/>
                <w:sz w:val="28"/>
                <w:szCs w:val="28"/>
                <w:highlight w:val="none"/>
              </w:rPr>
              <w:t>设置不合理</w:t>
            </w:r>
            <w:r>
              <w:rPr>
                <w:rStyle w:val="14"/>
                <w:rFonts w:eastAsia="仿宋_GB2312"/>
                <w:color w:val="auto"/>
                <w:sz w:val="28"/>
                <w:szCs w:val="28"/>
                <w:highlight w:val="none"/>
              </w:rPr>
              <w:t>（电极面积、输出强度）</w:t>
            </w:r>
          </w:p>
        </w:tc>
        <w:tc>
          <w:tcPr>
            <w:tcW w:w="2910"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可能使接触部位的皮肤烫伤等</w:t>
            </w:r>
            <w:r>
              <w:rPr>
                <w:rFonts w:hint="eastAsia" w:eastAsia="仿宋_GB2312"/>
                <w:color w:val="auto"/>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8" w:hRule="atLeast"/>
        </w:trPr>
        <w:tc>
          <w:tcPr>
            <w:tcW w:w="1071" w:type="dxa"/>
            <w:vMerge w:val="continue"/>
          </w:tcPr>
          <w:p>
            <w:pPr>
              <w:snapToGrid w:val="0"/>
              <w:spacing w:line="400" w:lineRule="exact"/>
              <w:rPr>
                <w:rFonts w:eastAsia="仿宋_GB2312"/>
                <w:color w:val="auto"/>
                <w:sz w:val="28"/>
                <w:szCs w:val="28"/>
                <w:highlight w:val="none"/>
              </w:rPr>
            </w:pPr>
          </w:p>
        </w:tc>
        <w:tc>
          <w:tcPr>
            <w:tcW w:w="1071" w:type="dxa"/>
            <w:vMerge w:val="restart"/>
          </w:tcPr>
          <w:p>
            <w:pPr>
              <w:snapToGrid w:val="0"/>
              <w:spacing w:line="400" w:lineRule="exact"/>
              <w:rPr>
                <w:rFonts w:eastAsia="仿宋_GB2312"/>
                <w:color w:val="auto"/>
                <w:sz w:val="28"/>
                <w:szCs w:val="28"/>
                <w:highlight w:val="none"/>
              </w:rPr>
            </w:pPr>
            <w:r>
              <w:rPr>
                <w:rFonts w:eastAsia="仿宋_GB2312"/>
                <w:color w:val="auto"/>
                <w:sz w:val="28"/>
                <w:szCs w:val="28"/>
                <w:highlight w:val="none"/>
              </w:rPr>
              <w:t>机械能</w:t>
            </w:r>
          </w:p>
        </w:tc>
        <w:tc>
          <w:tcPr>
            <w:tcW w:w="3262"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产品外壳机械强度和刚度不足，产品面、角、边粗糙等</w:t>
            </w:r>
            <w:r>
              <w:rPr>
                <w:rFonts w:hint="eastAsia" w:eastAsia="仿宋_GB2312"/>
                <w:color w:val="auto"/>
                <w:sz w:val="28"/>
                <w:szCs w:val="28"/>
                <w:highlight w:val="none"/>
              </w:rPr>
              <w:t>。</w:t>
            </w:r>
          </w:p>
        </w:tc>
        <w:tc>
          <w:tcPr>
            <w:tcW w:w="2910" w:type="dxa"/>
          </w:tcPr>
          <w:p>
            <w:pPr>
              <w:snapToGrid w:val="0"/>
              <w:spacing w:line="400" w:lineRule="exact"/>
              <w:rPr>
                <w:rFonts w:eastAsia="仿宋_GB2312"/>
                <w:color w:val="auto"/>
                <w:sz w:val="28"/>
                <w:szCs w:val="28"/>
                <w:highlight w:val="none"/>
              </w:rPr>
            </w:pPr>
            <w:r>
              <w:rPr>
                <w:rFonts w:hint="eastAsia" w:eastAsia="仿宋_GB2312"/>
                <w:color w:val="auto"/>
                <w:sz w:val="28"/>
                <w:szCs w:val="28"/>
                <w:highlight w:val="none"/>
              </w:rPr>
              <w:t>人员划伤。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8" w:hRule="atLeast"/>
        </w:trPr>
        <w:tc>
          <w:tcPr>
            <w:tcW w:w="1071" w:type="dxa"/>
            <w:vMerge w:val="continue"/>
          </w:tcPr>
          <w:p>
            <w:pPr>
              <w:snapToGrid w:val="0"/>
              <w:spacing w:line="400" w:lineRule="exact"/>
              <w:rPr>
                <w:rFonts w:eastAsia="仿宋_GB2312"/>
                <w:color w:val="auto"/>
                <w:sz w:val="28"/>
                <w:szCs w:val="28"/>
                <w:highlight w:val="none"/>
              </w:rPr>
            </w:pPr>
          </w:p>
        </w:tc>
        <w:tc>
          <w:tcPr>
            <w:tcW w:w="1071" w:type="dxa"/>
            <w:vMerge w:val="continue"/>
          </w:tcPr>
          <w:p>
            <w:pPr>
              <w:snapToGrid w:val="0"/>
              <w:spacing w:line="400" w:lineRule="exact"/>
              <w:rPr>
                <w:rFonts w:eastAsia="仿宋_GB2312"/>
                <w:color w:val="auto"/>
                <w:sz w:val="28"/>
                <w:szCs w:val="28"/>
                <w:highlight w:val="none"/>
              </w:rPr>
            </w:pPr>
          </w:p>
        </w:tc>
        <w:tc>
          <w:tcPr>
            <w:tcW w:w="3262"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坠落/悬挂导致机械部件松动导致元器件损坏等</w:t>
            </w:r>
            <w:r>
              <w:rPr>
                <w:rFonts w:hint="eastAsia" w:eastAsia="仿宋_GB2312"/>
                <w:color w:val="auto"/>
                <w:sz w:val="28"/>
                <w:szCs w:val="28"/>
                <w:highlight w:val="none"/>
              </w:rPr>
              <w:t>。</w:t>
            </w:r>
          </w:p>
        </w:tc>
        <w:tc>
          <w:tcPr>
            <w:tcW w:w="2910" w:type="dxa"/>
          </w:tcPr>
          <w:p>
            <w:pPr>
              <w:snapToGrid w:val="0"/>
              <w:spacing w:line="400" w:lineRule="exact"/>
              <w:rPr>
                <w:rFonts w:eastAsia="仿宋_GB2312"/>
                <w:color w:val="auto"/>
                <w:sz w:val="28"/>
                <w:szCs w:val="28"/>
                <w:highlight w:val="none"/>
              </w:rPr>
            </w:pPr>
            <w:r>
              <w:rPr>
                <w:rFonts w:hint="eastAsia" w:eastAsia="仿宋_GB2312"/>
                <w:color w:val="auto"/>
                <w:sz w:val="28"/>
                <w:szCs w:val="28"/>
                <w:highlight w:val="none"/>
              </w:rPr>
              <w:t>仪器不能正常工作。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restart"/>
          </w:tcPr>
          <w:p>
            <w:pPr>
              <w:snapToGrid w:val="0"/>
              <w:spacing w:line="400" w:lineRule="exact"/>
              <w:rPr>
                <w:rFonts w:eastAsia="仿宋_GB2312"/>
                <w:color w:val="auto"/>
                <w:sz w:val="28"/>
                <w:szCs w:val="28"/>
                <w:highlight w:val="none"/>
              </w:rPr>
            </w:pPr>
          </w:p>
          <w:p>
            <w:pPr>
              <w:snapToGrid w:val="0"/>
              <w:spacing w:line="400" w:lineRule="exact"/>
              <w:rPr>
                <w:rFonts w:eastAsia="仿宋_GB2312"/>
                <w:color w:val="auto"/>
                <w:sz w:val="28"/>
                <w:szCs w:val="28"/>
                <w:highlight w:val="none"/>
              </w:rPr>
            </w:pPr>
          </w:p>
          <w:p>
            <w:pPr>
              <w:snapToGrid w:val="0"/>
              <w:spacing w:line="400" w:lineRule="exact"/>
              <w:rPr>
                <w:rFonts w:eastAsia="仿宋_GB2312"/>
                <w:color w:val="auto"/>
                <w:sz w:val="28"/>
                <w:szCs w:val="28"/>
                <w:highlight w:val="none"/>
              </w:rPr>
            </w:pPr>
            <w:r>
              <w:rPr>
                <w:rFonts w:hint="eastAsia" w:eastAsia="仿宋_GB2312"/>
                <w:color w:val="auto"/>
                <w:sz w:val="28"/>
                <w:szCs w:val="28"/>
                <w:highlight w:val="none"/>
              </w:rPr>
              <w:t>生物学和化学危害</w:t>
            </w:r>
          </w:p>
        </w:tc>
        <w:tc>
          <w:tcPr>
            <w:tcW w:w="1071"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生物学</w:t>
            </w:r>
          </w:p>
        </w:tc>
        <w:tc>
          <w:tcPr>
            <w:tcW w:w="3262" w:type="dxa"/>
            <w:vAlign w:val="center"/>
          </w:tcPr>
          <w:p>
            <w:pPr>
              <w:snapToGrid w:val="0"/>
              <w:spacing w:line="400" w:lineRule="exact"/>
              <w:rPr>
                <w:rFonts w:eastAsia="仿宋_GB2312"/>
                <w:color w:val="auto"/>
                <w:sz w:val="28"/>
                <w:szCs w:val="28"/>
                <w:highlight w:val="none"/>
              </w:rPr>
            </w:pPr>
            <w:r>
              <w:rPr>
                <w:rFonts w:eastAsia="仿宋_GB2312"/>
                <w:color w:val="auto"/>
                <w:sz w:val="28"/>
                <w:szCs w:val="28"/>
                <w:highlight w:val="none"/>
              </w:rPr>
              <w:t>产品清洁或消毒不完全</w:t>
            </w:r>
            <w:r>
              <w:rPr>
                <w:rFonts w:hint="eastAsia" w:eastAsia="仿宋_GB2312"/>
                <w:color w:val="auto"/>
                <w:sz w:val="28"/>
                <w:szCs w:val="28"/>
                <w:highlight w:val="none"/>
              </w:rPr>
              <w:t>.</w:t>
            </w:r>
          </w:p>
        </w:tc>
        <w:tc>
          <w:tcPr>
            <w:tcW w:w="2910"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可能会使患者再次或交叉感染等</w:t>
            </w:r>
            <w:r>
              <w:rPr>
                <w:rFonts w:hint="eastAsia" w:eastAsia="仿宋_GB2312"/>
                <w:color w:val="auto"/>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color w:val="auto"/>
                <w:sz w:val="28"/>
                <w:szCs w:val="28"/>
                <w:highlight w:val="none"/>
              </w:rPr>
            </w:pPr>
          </w:p>
        </w:tc>
        <w:tc>
          <w:tcPr>
            <w:tcW w:w="1071"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化学</w:t>
            </w:r>
          </w:p>
        </w:tc>
        <w:tc>
          <w:tcPr>
            <w:tcW w:w="3262" w:type="dxa"/>
            <w:vAlign w:val="center"/>
          </w:tcPr>
          <w:p>
            <w:pPr>
              <w:snapToGrid w:val="0"/>
              <w:spacing w:line="400" w:lineRule="exact"/>
              <w:rPr>
                <w:rFonts w:eastAsia="仿宋_GB2312"/>
                <w:color w:val="auto"/>
                <w:sz w:val="28"/>
                <w:szCs w:val="28"/>
                <w:highlight w:val="none"/>
              </w:rPr>
            </w:pPr>
            <w:r>
              <w:rPr>
                <w:rFonts w:eastAsia="仿宋_GB2312"/>
                <w:color w:val="auto"/>
                <w:sz w:val="28"/>
                <w:szCs w:val="28"/>
                <w:highlight w:val="none"/>
              </w:rPr>
              <w:t>在外来物质中，如使用清洗剂或消毒剂的残留物、污染物等</w:t>
            </w:r>
            <w:r>
              <w:rPr>
                <w:rFonts w:hint="eastAsia" w:eastAsia="仿宋_GB2312"/>
                <w:color w:val="auto"/>
                <w:sz w:val="28"/>
                <w:szCs w:val="28"/>
                <w:highlight w:val="none"/>
              </w:rPr>
              <w:t>；</w:t>
            </w:r>
            <w:r>
              <w:rPr>
                <w:rFonts w:eastAsia="仿宋_GB2312"/>
                <w:color w:val="auto"/>
                <w:sz w:val="28"/>
                <w:szCs w:val="28"/>
                <w:highlight w:val="none"/>
              </w:rPr>
              <w:t>长时间不使用的电池未经取出</w:t>
            </w:r>
            <w:r>
              <w:rPr>
                <w:rFonts w:hint="eastAsia" w:eastAsia="仿宋_GB2312"/>
                <w:color w:val="auto"/>
                <w:sz w:val="28"/>
                <w:szCs w:val="28"/>
                <w:highlight w:val="none"/>
              </w:rPr>
              <w:t>。</w:t>
            </w:r>
          </w:p>
        </w:tc>
        <w:tc>
          <w:tcPr>
            <w:tcW w:w="2910" w:type="dxa"/>
          </w:tcPr>
          <w:p>
            <w:pPr>
              <w:snapToGrid w:val="0"/>
              <w:spacing w:line="400" w:lineRule="exact"/>
              <w:rPr>
                <w:rFonts w:eastAsia="仿宋_GB2312"/>
                <w:color w:val="auto"/>
                <w:sz w:val="28"/>
                <w:szCs w:val="28"/>
                <w:highlight w:val="none"/>
              </w:rPr>
            </w:pPr>
            <w:r>
              <w:rPr>
                <w:rFonts w:hint="eastAsia" w:eastAsia="仿宋_GB2312"/>
                <w:color w:val="auto"/>
                <w:sz w:val="28"/>
                <w:szCs w:val="28"/>
                <w:highlight w:val="none"/>
              </w:rPr>
              <w:t>可能会造成患者化学危害。</w:t>
            </w:r>
          </w:p>
          <w:p>
            <w:pPr>
              <w:snapToGrid w:val="0"/>
              <w:spacing w:line="400" w:lineRule="exact"/>
              <w:rPr>
                <w:rFonts w:eastAsia="仿宋_GB2312"/>
                <w:color w:val="auto"/>
                <w:sz w:val="28"/>
                <w:szCs w:val="28"/>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42" w:hRule="atLeast"/>
        </w:trPr>
        <w:tc>
          <w:tcPr>
            <w:tcW w:w="1071" w:type="dxa"/>
            <w:vMerge w:val="continue"/>
          </w:tcPr>
          <w:p>
            <w:pPr>
              <w:snapToGrid w:val="0"/>
              <w:spacing w:line="400" w:lineRule="exact"/>
              <w:rPr>
                <w:rFonts w:eastAsia="仿宋_GB2312"/>
                <w:color w:val="auto"/>
                <w:sz w:val="28"/>
                <w:szCs w:val="28"/>
                <w:highlight w:val="none"/>
              </w:rPr>
            </w:pPr>
          </w:p>
        </w:tc>
        <w:tc>
          <w:tcPr>
            <w:tcW w:w="1071"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生物</w:t>
            </w:r>
          </w:p>
          <w:p>
            <w:pPr>
              <w:snapToGrid w:val="0"/>
              <w:spacing w:line="400" w:lineRule="exact"/>
              <w:rPr>
                <w:rFonts w:eastAsia="仿宋_GB2312"/>
                <w:color w:val="auto"/>
                <w:sz w:val="28"/>
                <w:szCs w:val="28"/>
                <w:highlight w:val="none"/>
              </w:rPr>
            </w:pPr>
            <w:r>
              <w:rPr>
                <w:rFonts w:eastAsia="仿宋_GB2312"/>
                <w:color w:val="auto"/>
                <w:sz w:val="28"/>
                <w:szCs w:val="28"/>
                <w:highlight w:val="none"/>
              </w:rPr>
              <w:t>相容性</w:t>
            </w:r>
          </w:p>
        </w:tc>
        <w:tc>
          <w:tcPr>
            <w:tcW w:w="3262" w:type="dxa"/>
            <w:vAlign w:val="center"/>
          </w:tcPr>
          <w:p>
            <w:pPr>
              <w:snapToGrid w:val="0"/>
              <w:spacing w:line="400" w:lineRule="exact"/>
              <w:rPr>
                <w:rFonts w:eastAsia="仿宋_GB2312"/>
                <w:color w:val="auto"/>
                <w:sz w:val="28"/>
                <w:szCs w:val="28"/>
                <w:highlight w:val="none"/>
              </w:rPr>
            </w:pPr>
            <w:r>
              <w:rPr>
                <w:rFonts w:eastAsia="仿宋_GB2312"/>
                <w:color w:val="auto"/>
                <w:sz w:val="28"/>
                <w:szCs w:val="28"/>
                <w:highlight w:val="none"/>
              </w:rPr>
              <w:t>与患者接触材料的化学成分的毒性</w:t>
            </w:r>
            <w:r>
              <w:rPr>
                <w:rFonts w:hint="eastAsia" w:eastAsia="仿宋_GB2312"/>
                <w:color w:val="auto"/>
                <w:sz w:val="28"/>
                <w:szCs w:val="28"/>
                <w:highlight w:val="none"/>
              </w:rPr>
              <w:t>。</w:t>
            </w:r>
          </w:p>
        </w:tc>
        <w:tc>
          <w:tcPr>
            <w:tcW w:w="2910" w:type="dxa"/>
          </w:tcPr>
          <w:p>
            <w:pPr>
              <w:snapToGrid w:val="0"/>
              <w:spacing w:line="400" w:lineRule="exact"/>
              <w:rPr>
                <w:rFonts w:eastAsia="仿宋_GB2312"/>
                <w:color w:val="auto"/>
                <w:sz w:val="28"/>
                <w:szCs w:val="28"/>
                <w:highlight w:val="none"/>
              </w:rPr>
            </w:pPr>
            <w:r>
              <w:rPr>
                <w:rFonts w:hint="eastAsia" w:eastAsia="仿宋_GB2312"/>
                <w:color w:val="auto"/>
                <w:sz w:val="28"/>
                <w:szCs w:val="28"/>
                <w:highlight w:val="none"/>
              </w:rPr>
              <w:t>可能会</w:t>
            </w:r>
            <w:r>
              <w:rPr>
                <w:rFonts w:eastAsia="仿宋_GB2312"/>
                <w:color w:val="auto"/>
                <w:sz w:val="28"/>
                <w:szCs w:val="28"/>
                <w:highlight w:val="none"/>
              </w:rPr>
              <w:t>引起细胞毒性、迟发致敏反应、皮肤刺激反应等</w:t>
            </w:r>
            <w:r>
              <w:rPr>
                <w:rFonts w:hint="eastAsia" w:eastAsia="仿宋_GB2312"/>
                <w:color w:val="auto"/>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restart"/>
          </w:tcPr>
          <w:p>
            <w:pPr>
              <w:snapToGrid w:val="0"/>
              <w:spacing w:line="400" w:lineRule="exact"/>
              <w:rPr>
                <w:rFonts w:eastAsia="仿宋_GB2312"/>
                <w:color w:val="auto"/>
                <w:sz w:val="28"/>
                <w:szCs w:val="28"/>
                <w:highlight w:val="none"/>
              </w:rPr>
            </w:pPr>
            <w:r>
              <w:rPr>
                <w:rFonts w:hint="eastAsia" w:eastAsia="仿宋_GB2312"/>
                <w:color w:val="auto"/>
                <w:sz w:val="28"/>
                <w:szCs w:val="28"/>
                <w:highlight w:val="none"/>
              </w:rPr>
              <w:t>操作危害</w:t>
            </w:r>
          </w:p>
        </w:tc>
        <w:tc>
          <w:tcPr>
            <w:tcW w:w="1071"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功能</w:t>
            </w:r>
          </w:p>
        </w:tc>
        <w:tc>
          <w:tcPr>
            <w:tcW w:w="3262" w:type="dxa"/>
            <w:vAlign w:val="center"/>
          </w:tcPr>
          <w:p>
            <w:pPr>
              <w:snapToGrid w:val="0"/>
              <w:spacing w:line="400" w:lineRule="exact"/>
              <w:rPr>
                <w:rFonts w:eastAsia="仿宋_GB2312"/>
                <w:color w:val="auto"/>
                <w:sz w:val="28"/>
                <w:szCs w:val="28"/>
                <w:highlight w:val="none"/>
              </w:rPr>
            </w:pPr>
            <w:r>
              <w:rPr>
                <w:rFonts w:eastAsia="仿宋_GB2312"/>
                <w:color w:val="auto"/>
                <w:sz w:val="28"/>
                <w:szCs w:val="28"/>
                <w:highlight w:val="none"/>
              </w:rPr>
              <w:t>不正确或不适当的输出或功能</w:t>
            </w:r>
            <w:r>
              <w:rPr>
                <w:rFonts w:hint="eastAsia" w:eastAsia="仿宋_GB2312"/>
                <w:color w:val="auto"/>
                <w:sz w:val="28"/>
                <w:szCs w:val="28"/>
                <w:highlight w:val="none"/>
              </w:rPr>
              <w:t>。</w:t>
            </w:r>
          </w:p>
          <w:p>
            <w:pPr>
              <w:snapToGrid w:val="0"/>
              <w:spacing w:line="400" w:lineRule="exact"/>
              <w:rPr>
                <w:rFonts w:hint="eastAsia" w:eastAsia="仿宋_GB2312"/>
                <w:color w:val="auto"/>
                <w:sz w:val="28"/>
                <w:szCs w:val="28"/>
                <w:highlight w:val="none"/>
              </w:rPr>
            </w:pPr>
            <w:r>
              <w:rPr>
                <w:rFonts w:eastAsia="仿宋_GB2312"/>
                <w:color w:val="auto"/>
                <w:sz w:val="28"/>
                <w:szCs w:val="28"/>
                <w:highlight w:val="none"/>
              </w:rPr>
              <w:t>错误的数据转换</w:t>
            </w:r>
            <w:r>
              <w:rPr>
                <w:rFonts w:hint="eastAsia" w:eastAsia="仿宋_GB2312"/>
                <w:color w:val="auto"/>
                <w:sz w:val="28"/>
                <w:szCs w:val="28"/>
                <w:highlight w:val="none"/>
              </w:rPr>
              <w:t>。</w:t>
            </w:r>
          </w:p>
        </w:tc>
        <w:tc>
          <w:tcPr>
            <w:tcW w:w="2910"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功能丧失或变坏</w:t>
            </w:r>
            <w:r>
              <w:rPr>
                <w:rFonts w:hint="eastAsia" w:eastAsia="仿宋_GB2312"/>
                <w:color w:val="auto"/>
                <w:sz w:val="28"/>
                <w:szCs w:val="28"/>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c>
          <w:tcPr>
            <w:tcW w:w="1071" w:type="dxa"/>
            <w:vMerge w:val="continue"/>
          </w:tcPr>
          <w:p>
            <w:pPr>
              <w:snapToGrid w:val="0"/>
              <w:spacing w:line="400" w:lineRule="exact"/>
              <w:rPr>
                <w:rFonts w:eastAsia="仿宋_GB2312"/>
                <w:color w:val="auto"/>
                <w:sz w:val="28"/>
                <w:szCs w:val="28"/>
                <w:highlight w:val="none"/>
              </w:rPr>
            </w:pPr>
          </w:p>
        </w:tc>
        <w:tc>
          <w:tcPr>
            <w:tcW w:w="1071"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使用错误</w:t>
            </w:r>
          </w:p>
        </w:tc>
        <w:tc>
          <w:tcPr>
            <w:tcW w:w="3262" w:type="dxa"/>
            <w:vAlign w:val="center"/>
          </w:tcPr>
          <w:p>
            <w:pPr>
              <w:snapToGrid w:val="0"/>
              <w:spacing w:line="400" w:lineRule="exact"/>
              <w:rPr>
                <w:rFonts w:eastAsia="仿宋_GB2312"/>
                <w:color w:val="auto"/>
                <w:sz w:val="28"/>
                <w:szCs w:val="28"/>
                <w:highlight w:val="none"/>
              </w:rPr>
            </w:pPr>
            <w:r>
              <w:rPr>
                <w:rFonts w:eastAsia="仿宋_GB2312"/>
                <w:color w:val="auto"/>
                <w:sz w:val="28"/>
                <w:szCs w:val="28"/>
                <w:highlight w:val="none"/>
              </w:rPr>
              <w:t>不遵守规则，缺乏知识，违反常规等，使得日常使用、维护未按规定进行，</w:t>
            </w:r>
          </w:p>
        </w:tc>
        <w:tc>
          <w:tcPr>
            <w:tcW w:w="2910" w:type="dxa"/>
          </w:tcPr>
          <w:p>
            <w:pPr>
              <w:snapToGrid w:val="0"/>
              <w:spacing w:line="400" w:lineRule="exact"/>
              <w:rPr>
                <w:rFonts w:eastAsia="仿宋_GB2312"/>
                <w:color w:val="auto"/>
                <w:sz w:val="28"/>
                <w:szCs w:val="28"/>
                <w:highlight w:val="none"/>
              </w:rPr>
            </w:pPr>
            <w:r>
              <w:rPr>
                <w:rFonts w:eastAsia="仿宋_GB2312"/>
                <w:color w:val="auto"/>
                <w:sz w:val="28"/>
                <w:szCs w:val="28"/>
                <w:highlight w:val="none"/>
              </w:rPr>
              <w:t>可能导致产品偏离正常使用状态</w:t>
            </w:r>
            <w:r>
              <w:rPr>
                <w:rFonts w:hint="eastAsia" w:eastAsia="仿宋_GB2312"/>
                <w:color w:val="auto"/>
                <w:sz w:val="28"/>
                <w:szCs w:val="28"/>
                <w:highlight w:val="none"/>
              </w:rPr>
              <w:t>。</w:t>
            </w:r>
          </w:p>
        </w:tc>
      </w:tr>
    </w:tbl>
    <w:p>
      <w:pPr>
        <w:pStyle w:val="12"/>
        <w:jc w:val="both"/>
        <w:rPr>
          <w:rFonts w:hint="eastAsia"/>
          <w:color w:val="auto"/>
          <w:highlight w:val="none"/>
        </w:rPr>
      </w:pPr>
    </w:p>
    <w:p>
      <w:pPr>
        <w:rPr>
          <w:color w:val="auto"/>
          <w:highlight w:val="none"/>
        </w:rPr>
      </w:pPr>
    </w:p>
    <w:sectPr>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Emoji icon"/>
    <w:panose1 w:val="05000000000000000000"/>
    <w:charset w:val="02"/>
    <w:family w:val="auto"/>
    <w:pitch w:val="default"/>
    <w:sig w:usb0="00000000" w:usb1="00000000" w:usb2="00000000" w:usb3="00000000" w:csb0="80000000" w:csb1="00000000"/>
  </w:font>
  <w:font w:name="Arial">
    <w:altName w:val="微软雅黑"/>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微软雅黑"/>
    <w:panose1 w:val="02070309020205020404"/>
    <w:charset w:val="01"/>
    <w:family w:val="modern"/>
    <w:pitch w:val="default"/>
    <w:sig w:usb0="E0002AFF" w:usb1="C0007843" w:usb2="00000009" w:usb3="00000000" w:csb0="400001FF" w:csb1="FFFF0000"/>
  </w:font>
  <w:font w:name="Symbol">
    <w:altName w:val="Emoji icon"/>
    <w:panose1 w:val="05050102010706020507"/>
    <w:charset w:val="02"/>
    <w:family w:val="roman"/>
    <w:pitch w:val="default"/>
    <w:sig w:usb0="00000000" w:usb1="00000000" w:usb2="00000000" w:usb3="00000000" w:csb0="80000000" w:csb1="00000000"/>
  </w:font>
  <w:font w:name="HarmonyOS Sans SC Light">
    <w:panose1 w:val="00000400000000000000"/>
    <w:charset w:val="86"/>
    <w:family w:val="auto"/>
    <w:pitch w:val="default"/>
    <w:sig w:usb0="00000001" w:usb1="08000000" w:usb2="00000016" w:usb3="00000000" w:csb0="00040001"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Tahoma">
    <w:altName w:val="微软雅黑"/>
    <w:panose1 w:val="020B0604030000040204"/>
    <w:charset w:val="00"/>
    <w:family w:val="auto"/>
    <w:pitch w:val="default"/>
    <w:sig w:usb0="00000000" w:usb1="00000000"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DejaVu Sans">
    <w:altName w:val="HarmonyOS Sans SC Ligh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BF7DC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rPr>
  </w:style>
  <w:style w:type="paragraph" w:styleId="3">
    <w:name w:val="heading 2"/>
    <w:basedOn w:val="1"/>
    <w:next w:val="1"/>
    <w:qFormat/>
    <w:uiPriority w:val="0"/>
    <w:pPr>
      <w:spacing w:before="0" w:beforeAutospacing="1" w:after="0" w:afterAutospacing="1"/>
      <w:jc w:val="left"/>
    </w:pPr>
    <w:rPr>
      <w:rFonts w:hint="eastAsia" w:ascii="宋体" w:hAnsi="宋体" w:eastAsia="宋体" w:cs="宋体"/>
      <w:b/>
      <w:bCs/>
      <w:kern w:val="0"/>
      <w:sz w:val="36"/>
      <w:szCs w:val="36"/>
      <w:lang w:val="en-US" w:eastAsia="zh-CN"/>
    </w:rPr>
  </w:style>
  <w:style w:type="paragraph" w:styleId="4">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character" w:default="1" w:styleId="10">
    <w:name w:val="Default Paragraph Font"/>
    <w:qFormat/>
    <w:uiPriority w:val="0"/>
  </w:style>
  <w:style w:type="table" w:default="1" w:styleId="8">
    <w:name w:val="Normal Table"/>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paragraph" w:styleId="1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13">
    <w:name w:val="List Paragraph"/>
    <w:basedOn w:val="1"/>
    <w:qFormat/>
    <w:uiPriority w:val="34"/>
    <w:pPr>
      <w:ind w:firstLine="420" w:firstLineChars="200"/>
    </w:pPr>
    <w:rPr>
      <w:rFonts w:ascii="Calibri" w:hAnsi="Calibri"/>
      <w:szCs w:val="22"/>
    </w:rPr>
  </w:style>
  <w:style w:type="character" w:customStyle="1" w:styleId="14">
    <w:name w:val="f101"/>
    <w:qFormat/>
    <w:uiPriority w:val="0"/>
    <w:rPr>
      <w:sz w:val="24"/>
      <w:szCs w:val="24"/>
    </w:rPr>
  </w:style>
  <w:style w:type="paragraph" w:customStyle="1" w:styleId="15">
    <w:name w:val="纯文本1"/>
    <w:basedOn w:val="1"/>
    <w:qFormat/>
    <w:uiPriority w:val="0"/>
    <w:rPr>
      <w:rFonts w:ascii="宋体" w:hAnsi="宋体" w:eastAsia="仿宋_GB2312"/>
      <w:kern w:val="0"/>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8386</Words>
  <Characters>8975</Characters>
  <Paragraphs>262</Paragraphs>
  <TotalTime>6</TotalTime>
  <ScaleCrop>false</ScaleCrop>
  <LinksUpToDate>false</LinksUpToDate>
  <CharactersWithSpaces>9020</CharactersWithSpaces>
  <Application>WPS Office_12.8.2.14769_F1E327BC-269C-435d-A152-05C5408002CA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2026-07-27T10:28:00Z</dcterms:created>
  <dc:creator>lenovo</dc:creator>
  <cp:lastModifiedBy>d+d</cp:lastModifiedBy>
  <dcterms:modified xsi:type="dcterms:W3CDTF">2026-07-27T10:41:30Z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2052-12.8.2.14769</vt:lpwstr>
  </property>
  <property fmtid="{D5CDD505-2E9C-101B-9397-08002B2CF9AE}" pid="3" name="KSOTemplateDocerSaveRecord">
    <vt:lpwstr>eyJoZGlkIjoiODVkODljNWExNGY4NTBmYTQ5NWQ4NDNlMjkyYzIyYzQiLCJ1c2VySWQiOiI3MjUyODU2MzEifQ==</vt:lpwstr>
  </property>
  <property fmtid="{D5CDD505-2E9C-101B-9397-08002B2CF9AE}" pid="4" name="ICV">
    <vt:lpwstr>09687A477145E22E5AC5666AFE4565F2_43</vt:lpwstr>
  </property>
</Properties>
</file>