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83CF60">
      <w:pPr>
        <w:spacing w:line="560" w:lineRule="exact"/>
        <w:jc w:val="center"/>
        <w:rPr>
          <w:rFonts w:hint="eastAsia" w:eastAsia="方正小标宋简体"/>
          <w:bCs/>
          <w:sz w:val="44"/>
          <w:szCs w:val="44"/>
          <w:highlight w:val="none"/>
        </w:rPr>
      </w:pPr>
      <w:r>
        <w:rPr>
          <w:rFonts w:hint="eastAsia" w:eastAsia="方正小标宋简体"/>
          <w:bCs/>
          <w:sz w:val="44"/>
          <w:szCs w:val="44"/>
          <w:highlight w:val="none"/>
        </w:rPr>
        <w:t>图像扫描仪器注册审查指导原则</w:t>
      </w:r>
    </w:p>
    <w:p w14:paraId="54129785">
      <w:pPr>
        <w:spacing w:line="560" w:lineRule="exact"/>
        <w:jc w:val="center"/>
        <w:rPr>
          <w:rFonts w:eastAsia="方正小标宋简体"/>
          <w:bCs/>
          <w:sz w:val="44"/>
          <w:szCs w:val="44"/>
          <w:highlight w:val="none"/>
        </w:rPr>
      </w:pPr>
      <w:r>
        <w:rPr>
          <w:rFonts w:hint="eastAsia" w:eastAsia="方正小标宋简体"/>
          <w:bCs/>
          <w:sz w:val="44"/>
          <w:szCs w:val="44"/>
          <w:highlight w:val="none"/>
        </w:rPr>
        <w:t>（征求意见稿）</w:t>
      </w:r>
    </w:p>
    <w:p w14:paraId="0EB59120">
      <w:pPr>
        <w:spacing w:line="480" w:lineRule="exact"/>
        <w:ind w:right="-67" w:rightChars="-32"/>
        <w:jc w:val="center"/>
        <w:rPr>
          <w:rFonts w:eastAsia="方正小标宋简体"/>
          <w:bCs/>
          <w:sz w:val="44"/>
          <w:szCs w:val="44"/>
          <w:highlight w:val="none"/>
        </w:rPr>
      </w:pPr>
    </w:p>
    <w:p w14:paraId="417B8D15">
      <w:pPr>
        <w:spacing w:line="530" w:lineRule="exact"/>
        <w:ind w:firstLine="640" w:firstLineChars="200"/>
        <w:rPr>
          <w:rFonts w:eastAsia="仿宋_GB2312"/>
          <w:sz w:val="32"/>
          <w:szCs w:val="32"/>
          <w:highlight w:val="none"/>
        </w:rPr>
      </w:pPr>
      <w:r>
        <w:rPr>
          <w:rFonts w:eastAsia="仿宋_GB2312"/>
          <w:sz w:val="32"/>
          <w:szCs w:val="32"/>
          <w:highlight w:val="none"/>
        </w:rPr>
        <w:t>本指导原则旨在指导注册申请人对第二类</w:t>
      </w:r>
      <w:r>
        <w:rPr>
          <w:rFonts w:hint="eastAsia" w:eastAsia="仿宋_GB2312"/>
          <w:sz w:val="32"/>
          <w:szCs w:val="32"/>
          <w:highlight w:val="none"/>
        </w:rPr>
        <w:t>图像扫描仪器</w:t>
      </w:r>
      <w:r>
        <w:rPr>
          <w:rFonts w:eastAsia="仿宋_GB2312"/>
          <w:sz w:val="32"/>
          <w:szCs w:val="32"/>
          <w:highlight w:val="none"/>
        </w:rPr>
        <w:t>注册申报资料的准备及撰写，同时也为技术审评部门审评注册申报资料提供参考。</w:t>
      </w:r>
    </w:p>
    <w:p w14:paraId="10A1DC78">
      <w:pPr>
        <w:spacing w:line="530" w:lineRule="exact"/>
        <w:ind w:firstLine="640" w:firstLineChars="200"/>
        <w:rPr>
          <w:rFonts w:eastAsia="仿宋_GB2312"/>
          <w:sz w:val="32"/>
          <w:szCs w:val="32"/>
          <w:highlight w:val="none"/>
        </w:rPr>
      </w:pPr>
      <w:r>
        <w:rPr>
          <w:rFonts w:eastAsia="仿宋_GB2312"/>
          <w:sz w:val="32"/>
          <w:szCs w:val="32"/>
          <w:highlight w:val="none"/>
        </w:rPr>
        <w:t>本指导原则是对</w:t>
      </w:r>
      <w:r>
        <w:rPr>
          <w:rFonts w:hint="eastAsia" w:eastAsia="仿宋_GB2312"/>
          <w:sz w:val="32"/>
          <w:szCs w:val="32"/>
          <w:highlight w:val="none"/>
        </w:rPr>
        <w:t>图像扫描仪器</w:t>
      </w:r>
      <w:r>
        <w:rPr>
          <w:rFonts w:eastAsia="仿宋_GB2312"/>
          <w:sz w:val="32"/>
          <w:szCs w:val="32"/>
          <w:highlight w:val="none"/>
        </w:rPr>
        <w:t>的一般要求，申请人应依据产品的具体特性确定其中内容是否适用，若不适用，需具体阐述理由及相应的科学依据，并依据产品的具体特性对注册申报资料的内容进行充实和细化。</w:t>
      </w:r>
    </w:p>
    <w:p w14:paraId="0A8CCFD4">
      <w:pPr>
        <w:spacing w:line="530" w:lineRule="exact"/>
        <w:ind w:firstLine="640" w:firstLineChars="200"/>
        <w:rPr>
          <w:rFonts w:eastAsia="仿宋_GB2312"/>
          <w:sz w:val="32"/>
          <w:szCs w:val="32"/>
          <w:highlight w:val="none"/>
        </w:rPr>
      </w:pPr>
      <w:r>
        <w:rPr>
          <w:rFonts w:eastAsia="仿宋_GB2312"/>
          <w:sz w:val="32"/>
          <w:szCs w:val="32"/>
          <w:highlight w:val="none"/>
        </w:rPr>
        <w:t>本指导原则是供申请人和审查人员使用的指导文件，不涉及注册审批等行政事项，亦不作为法规强制执行，如有能够满足法规要求的其他方法，也可以采用，但应提供详细的研究资料和验证资料。应在遵循相关法规的前提下使用本指导原则。</w:t>
      </w:r>
    </w:p>
    <w:p w14:paraId="4773CDD8">
      <w:pPr>
        <w:spacing w:line="530" w:lineRule="exact"/>
        <w:ind w:firstLine="640" w:firstLineChars="200"/>
        <w:rPr>
          <w:rFonts w:eastAsia="仿宋_GB2312"/>
          <w:sz w:val="32"/>
          <w:szCs w:val="32"/>
          <w:highlight w:val="none"/>
        </w:rPr>
      </w:pPr>
      <w:r>
        <w:rPr>
          <w:rFonts w:eastAsia="仿宋_GB2312"/>
          <w:sz w:val="32"/>
          <w:szCs w:val="32"/>
          <w:highlight w:val="none"/>
        </w:rPr>
        <w:t>本指导原则是在现行法规、标准体系及当前认知水平下制定的，随着法规、标准体系的不断完善和科学技术的不断发展，本指导原则相关内容也将适时进行调整。</w:t>
      </w:r>
    </w:p>
    <w:p w14:paraId="68F6BAE0">
      <w:pPr>
        <w:spacing w:line="480" w:lineRule="exact"/>
        <w:ind w:right="-67" w:rightChars="-32" w:firstLine="640" w:firstLineChars="200"/>
        <w:rPr>
          <w:rFonts w:eastAsia="黑体"/>
          <w:sz w:val="32"/>
          <w:szCs w:val="32"/>
          <w:highlight w:val="none"/>
        </w:rPr>
      </w:pPr>
      <w:r>
        <w:rPr>
          <w:rFonts w:eastAsia="黑体"/>
          <w:sz w:val="32"/>
          <w:szCs w:val="32"/>
          <w:highlight w:val="none"/>
        </w:rPr>
        <w:t>一、</w:t>
      </w:r>
      <w:r>
        <w:rPr>
          <w:rFonts w:hint="eastAsia" w:eastAsia="黑体"/>
          <w:sz w:val="32"/>
          <w:szCs w:val="32"/>
          <w:highlight w:val="none"/>
        </w:rPr>
        <w:t>适用范围</w:t>
      </w:r>
    </w:p>
    <w:p w14:paraId="56DBFCD3">
      <w:pPr>
        <w:spacing w:line="520" w:lineRule="exact"/>
        <w:ind w:firstLine="640" w:firstLineChars="200"/>
        <w:rPr>
          <w:rFonts w:eastAsia="仿宋_GB2312"/>
          <w:sz w:val="32"/>
          <w:highlight w:val="none"/>
        </w:rPr>
      </w:pPr>
      <w:r>
        <w:rPr>
          <w:rFonts w:eastAsia="仿宋_GB2312"/>
          <w:sz w:val="32"/>
          <w:highlight w:val="none"/>
        </w:rPr>
        <w:t>本指导原则适用于</w:t>
      </w:r>
      <w:r>
        <w:rPr>
          <w:rFonts w:hint="eastAsia" w:eastAsia="仿宋_GB2312"/>
          <w:sz w:val="32"/>
          <w:szCs w:val="32"/>
          <w:highlight w:val="none"/>
        </w:rPr>
        <w:t>图像扫描仪器</w:t>
      </w:r>
      <w:r>
        <w:rPr>
          <w:rFonts w:eastAsia="仿宋_GB2312"/>
          <w:sz w:val="32"/>
          <w:highlight w:val="none"/>
        </w:rPr>
        <w:t>，</w:t>
      </w:r>
      <w:r>
        <w:rPr>
          <w:rFonts w:eastAsia="仿宋_GB2312"/>
          <w:sz w:val="32"/>
          <w:szCs w:val="32"/>
          <w:highlight w:val="none"/>
        </w:rPr>
        <w:t>根据《医疗器械分类目录》，该类设备</w:t>
      </w:r>
      <w:r>
        <w:rPr>
          <w:rFonts w:eastAsia="仿宋_GB2312"/>
          <w:sz w:val="32"/>
          <w:highlight w:val="none"/>
        </w:rPr>
        <w:t>按第二类医疗器械管理，涵盖分类编码为</w:t>
      </w:r>
      <w:r>
        <w:rPr>
          <w:rFonts w:hint="eastAsia" w:eastAsia="仿宋_GB2312"/>
          <w:sz w:val="32"/>
          <w:highlight w:val="none"/>
        </w:rPr>
        <w:t>22</w:t>
      </w:r>
      <w:r>
        <w:rPr>
          <w:rFonts w:eastAsia="仿宋_GB2312"/>
          <w:sz w:val="32"/>
          <w:highlight w:val="none"/>
        </w:rPr>
        <w:t>-</w:t>
      </w:r>
      <w:r>
        <w:rPr>
          <w:rFonts w:hint="eastAsia" w:eastAsia="仿宋_GB2312"/>
          <w:sz w:val="32"/>
          <w:highlight w:val="none"/>
        </w:rPr>
        <w:t>07-02</w:t>
      </w:r>
      <w:r>
        <w:rPr>
          <w:rFonts w:eastAsia="仿宋_GB2312"/>
          <w:sz w:val="32"/>
          <w:highlight w:val="none"/>
        </w:rPr>
        <w:t>的适用产品</w:t>
      </w:r>
      <w:r>
        <w:rPr>
          <w:rFonts w:hint="eastAsia" w:eastAsia="仿宋_GB2312"/>
          <w:sz w:val="32"/>
          <w:highlight w:val="none"/>
        </w:rPr>
        <w:t>。</w:t>
      </w:r>
    </w:p>
    <w:p w14:paraId="553CC428">
      <w:pPr>
        <w:spacing w:line="480" w:lineRule="exact"/>
        <w:ind w:right="-67" w:rightChars="-32" w:firstLine="640" w:firstLineChars="200"/>
        <w:rPr>
          <w:rFonts w:eastAsia="仿宋_GB2312"/>
          <w:sz w:val="32"/>
          <w:szCs w:val="32"/>
          <w:highlight w:val="none"/>
        </w:rPr>
      </w:pPr>
      <w:r>
        <w:rPr>
          <w:rFonts w:hint="eastAsia" w:eastAsia="黑体"/>
          <w:sz w:val="32"/>
          <w:szCs w:val="32"/>
          <w:highlight w:val="none"/>
        </w:rPr>
        <w:t>二</w:t>
      </w:r>
      <w:r>
        <w:rPr>
          <w:rFonts w:eastAsia="黑体"/>
          <w:sz w:val="32"/>
          <w:szCs w:val="32"/>
          <w:highlight w:val="none"/>
        </w:rPr>
        <w:t>、</w:t>
      </w:r>
      <w:r>
        <w:rPr>
          <w:rFonts w:hint="eastAsia" w:eastAsia="黑体"/>
          <w:sz w:val="32"/>
          <w:szCs w:val="32"/>
          <w:highlight w:val="none"/>
        </w:rPr>
        <w:t>注册审查要点</w:t>
      </w:r>
    </w:p>
    <w:p w14:paraId="64ABFD3A">
      <w:pPr>
        <w:numPr>
          <w:ilvl w:val="0"/>
          <w:numId w:val="1"/>
        </w:numPr>
        <w:spacing w:line="480" w:lineRule="exact"/>
        <w:ind w:right="-67" w:rightChars="-32" w:firstLine="640" w:firstLineChars="200"/>
        <w:rPr>
          <w:rFonts w:eastAsia="楷体_GB2312"/>
          <w:sz w:val="32"/>
          <w:szCs w:val="32"/>
          <w:highlight w:val="none"/>
        </w:rPr>
      </w:pPr>
      <w:r>
        <w:rPr>
          <w:rFonts w:hint="eastAsia" w:eastAsia="楷体_GB2312"/>
          <w:sz w:val="32"/>
          <w:szCs w:val="32"/>
          <w:highlight w:val="none"/>
        </w:rPr>
        <w:t>监管信息</w:t>
      </w:r>
    </w:p>
    <w:p w14:paraId="12631F6D">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1.产品名称</w:t>
      </w:r>
    </w:p>
    <w:p w14:paraId="4461771A">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产品的命名应符合《医疗器械通用名称命名规则》和国家标准、行业标准中的通用名称要求，并参考《医疗器械通用名称命名指导原则》《临床检验器械通用名称命名指导原则》采用以下命名结构：特征词+扫描仪。</w:t>
      </w:r>
    </w:p>
    <w:p w14:paraId="17A1D6D2">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在实际应用中常采用的产品名称为：病理切片扫描仪、显微镜扫描系统。</w:t>
      </w:r>
    </w:p>
    <w:p w14:paraId="724AACAF">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2.分类编码</w:t>
      </w:r>
    </w:p>
    <w:p w14:paraId="572A3169">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根据《医疗器械分类目录》，分类编码为22-07-02，管理类别为Ⅱ类。</w:t>
      </w:r>
    </w:p>
    <w:p w14:paraId="4A88CFFA">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3.注册单元划分的原则和实例</w:t>
      </w:r>
    </w:p>
    <w:p w14:paraId="0F160887">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注册单元划分应符合《医疗器械注册单元划分指导原则》的要求，原则上以申报产品的技术原理、结构组成和适用范围为划分依据。性能差异较大、核心功能的实现原理差异较大、结构组成差异较大的应考虑划分为不同的注册单元。</w:t>
      </w:r>
    </w:p>
    <w:p w14:paraId="52C84FA0">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例如，工作原理为明场成像和荧光成像的产品宜划分为不同的注册单元。</w:t>
      </w:r>
    </w:p>
    <w:p w14:paraId="0F636E25">
      <w:pPr>
        <w:numPr>
          <w:ilvl w:val="0"/>
          <w:numId w:val="1"/>
        </w:numPr>
        <w:spacing w:line="480" w:lineRule="exact"/>
        <w:ind w:right="-67" w:rightChars="-32" w:firstLine="640" w:firstLineChars="200"/>
        <w:rPr>
          <w:rFonts w:eastAsia="楷体_GB2312"/>
          <w:sz w:val="32"/>
          <w:szCs w:val="32"/>
          <w:highlight w:val="none"/>
        </w:rPr>
      </w:pPr>
      <w:r>
        <w:rPr>
          <w:rFonts w:hint="eastAsia" w:eastAsia="楷体_GB2312"/>
          <w:sz w:val="32"/>
          <w:szCs w:val="32"/>
          <w:highlight w:val="none"/>
        </w:rPr>
        <w:t>综述资料</w:t>
      </w:r>
    </w:p>
    <w:p w14:paraId="17D03915">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1.产品描述</w:t>
      </w:r>
    </w:p>
    <w:p w14:paraId="1496FA50">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1.1产品的结构和组成</w:t>
      </w:r>
    </w:p>
    <w:p w14:paraId="057C07F3">
      <w:pPr>
        <w:spacing w:line="520" w:lineRule="exact"/>
        <w:ind w:firstLine="640" w:firstLineChars="200"/>
        <w:rPr>
          <w:rFonts w:eastAsia="仿宋_GB2312"/>
          <w:sz w:val="28"/>
          <w:szCs w:val="28"/>
          <w:highlight w:val="none"/>
        </w:rPr>
      </w:pPr>
      <w:r>
        <w:rPr>
          <w:rFonts w:hint="eastAsia" w:eastAsia="仿宋_GB2312"/>
          <w:sz w:val="32"/>
          <w:szCs w:val="32"/>
          <w:highlight w:val="none"/>
        </w:rPr>
        <w:t>图像扫描仪器</w:t>
      </w:r>
      <w:r>
        <w:rPr>
          <w:rFonts w:eastAsia="仿宋_GB2312"/>
          <w:sz w:val="32"/>
          <w:szCs w:val="32"/>
          <w:highlight w:val="none"/>
        </w:rPr>
        <w:t>可</w:t>
      </w:r>
      <w:r>
        <w:rPr>
          <w:rFonts w:hint="eastAsia" w:eastAsia="仿宋_GB2312"/>
          <w:sz w:val="32"/>
          <w:szCs w:val="32"/>
          <w:highlight w:val="none"/>
        </w:rPr>
        <w:t>由光学成像系统、图像采集系统、计算机、软件等组成</w:t>
      </w:r>
      <w:r>
        <w:rPr>
          <w:rFonts w:eastAsia="仿宋_GB2312"/>
          <w:sz w:val="32"/>
          <w:szCs w:val="32"/>
          <w:highlight w:val="none"/>
        </w:rPr>
        <w:t>。</w:t>
      </w:r>
    </w:p>
    <w:p w14:paraId="3424EDF8">
      <w:pPr>
        <w:pStyle w:val="11"/>
        <w:ind w:firstLine="640" w:firstLineChars="200"/>
        <w:rPr>
          <w:rFonts w:eastAsia="仿宋_GB2312"/>
          <w:sz w:val="32"/>
          <w:szCs w:val="32"/>
          <w:highlight w:val="none"/>
        </w:rPr>
      </w:pPr>
      <w:r>
        <w:rPr>
          <w:rFonts w:hint="eastAsia" w:eastAsia="仿宋_GB2312"/>
          <w:sz w:val="32"/>
          <w:szCs w:val="32"/>
          <w:highlight w:val="none"/>
        </w:rPr>
        <w:t>光学成像系统：载片或切片上的细胞等临床样本，转化为高分辨率的光学图像。</w:t>
      </w:r>
    </w:p>
    <w:p w14:paraId="1AB779AE">
      <w:pPr>
        <w:pStyle w:val="11"/>
        <w:ind w:firstLine="640" w:firstLineChars="200"/>
        <w:rPr>
          <w:rFonts w:eastAsia="仿宋_GB2312"/>
          <w:sz w:val="32"/>
          <w:szCs w:val="32"/>
          <w:highlight w:val="none"/>
        </w:rPr>
      </w:pPr>
      <w:r>
        <w:rPr>
          <w:rFonts w:hint="eastAsia" w:eastAsia="仿宋_GB2312"/>
          <w:sz w:val="32"/>
          <w:szCs w:val="32"/>
          <w:highlight w:val="none"/>
        </w:rPr>
        <w:t>图像采集系统：接收光学成像系统形成的光学图像，通过图像传感器将其转换为数字电信号。</w:t>
      </w:r>
    </w:p>
    <w:p w14:paraId="0E2531B0">
      <w:pPr>
        <w:pStyle w:val="11"/>
        <w:ind w:firstLine="640" w:firstLineChars="200"/>
        <w:rPr>
          <w:rFonts w:eastAsia="仿宋_GB2312"/>
          <w:sz w:val="32"/>
          <w:szCs w:val="32"/>
          <w:highlight w:val="none"/>
        </w:rPr>
      </w:pPr>
      <w:r>
        <w:rPr>
          <w:rFonts w:hint="eastAsia" w:eastAsia="仿宋_GB2312"/>
          <w:sz w:val="32"/>
          <w:szCs w:val="32"/>
          <w:highlight w:val="none"/>
        </w:rPr>
        <w:t>软件：对数字电信号预处理，最终将信号稳定地传输给计算机进行显示和存储。</w:t>
      </w:r>
    </w:p>
    <w:p w14:paraId="576C0026">
      <w:pPr>
        <w:pStyle w:val="11"/>
        <w:jc w:val="center"/>
        <w:rPr>
          <w:rFonts w:eastAsia="仿宋_GB2312"/>
          <w:sz w:val="28"/>
          <w:szCs w:val="28"/>
          <w:highlight w:val="none"/>
        </w:rPr>
      </w:pPr>
      <w:r>
        <w:rPr>
          <w:rFonts w:hint="eastAsia" w:eastAsia="仿宋_GB2312"/>
          <w:sz w:val="28"/>
          <w:szCs w:val="28"/>
          <w:highlight w:val="none"/>
        </w:rPr>
        <w:drawing>
          <wp:inline distT="0" distB="0" distL="114300" distR="114300">
            <wp:extent cx="5612130" cy="3627755"/>
            <wp:effectExtent l="0" t="0" r="7620" b="10795"/>
            <wp:docPr id="3" name="图片 3" descr="/home/zyn/桌面/微信图片_20260514123811_244_37.png微信图片_20260514123811_244_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home/zyn/桌面/微信图片_20260514123811_244_37.png微信图片_20260514123811_244_37"/>
                    <pic:cNvPicPr>
                      <a:picLocks noChangeAspect="1"/>
                    </pic:cNvPicPr>
                  </pic:nvPicPr>
                  <pic:blipFill>
                    <a:blip r:embed="rId6"/>
                    <a:srcRect/>
                    <a:stretch>
                      <a:fillRect/>
                    </a:stretch>
                  </pic:blipFill>
                  <pic:spPr>
                    <a:xfrm>
                      <a:off x="0" y="0"/>
                      <a:ext cx="5612130" cy="3627755"/>
                    </a:xfrm>
                    <a:prstGeom prst="rect">
                      <a:avLst/>
                    </a:prstGeom>
                  </pic:spPr>
                </pic:pic>
              </a:graphicData>
            </a:graphic>
          </wp:inline>
        </w:drawing>
      </w:r>
    </w:p>
    <w:p w14:paraId="66944B55">
      <w:pPr>
        <w:jc w:val="center"/>
        <w:rPr>
          <w:rFonts w:ascii="黑体" w:hAnsi="黑体" w:eastAsia="黑体"/>
          <w:sz w:val="28"/>
          <w:szCs w:val="28"/>
          <w:highlight w:val="none"/>
        </w:rPr>
      </w:pPr>
      <w:r>
        <w:rPr>
          <w:rFonts w:hint="eastAsia" w:ascii="黑体" w:hAnsi="黑体" w:eastAsia="黑体"/>
          <w:sz w:val="28"/>
          <w:szCs w:val="28"/>
          <w:highlight w:val="none"/>
        </w:rPr>
        <w:t>图1  图像扫描仪器系统架构图（示例）</w:t>
      </w:r>
    </w:p>
    <w:p w14:paraId="1F7CF3A4">
      <w:pPr>
        <w:spacing w:line="520" w:lineRule="exact"/>
        <w:ind w:right="-67" w:rightChars="-32" w:firstLine="640" w:firstLineChars="200"/>
        <w:outlineLvl w:val="1"/>
        <w:rPr>
          <w:rFonts w:eastAsia="楷体_GB2312"/>
          <w:sz w:val="32"/>
          <w:szCs w:val="32"/>
          <w:highlight w:val="none"/>
        </w:rPr>
      </w:pPr>
      <w:r>
        <w:rPr>
          <w:rFonts w:hint="eastAsia" w:eastAsia="楷体_GB2312"/>
          <w:sz w:val="32"/>
          <w:szCs w:val="32"/>
          <w:highlight w:val="none"/>
        </w:rPr>
        <w:t>1.2</w:t>
      </w:r>
      <w:r>
        <w:rPr>
          <w:rFonts w:eastAsia="楷体_GB2312"/>
          <w:sz w:val="32"/>
          <w:szCs w:val="32"/>
          <w:highlight w:val="none"/>
        </w:rPr>
        <w:t>产品工作原理</w:t>
      </w:r>
    </w:p>
    <w:p w14:paraId="48C6C794">
      <w:pPr>
        <w:widowControl/>
        <w:ind w:firstLine="640" w:firstLineChars="200"/>
        <w:jc w:val="left"/>
        <w:rPr>
          <w:rFonts w:eastAsia="仿宋_GB2312"/>
          <w:sz w:val="32"/>
          <w:szCs w:val="32"/>
          <w:highlight w:val="none"/>
        </w:rPr>
      </w:pPr>
      <w:r>
        <w:rPr>
          <w:rFonts w:hint="eastAsia" w:eastAsia="仿宋_GB2312"/>
          <w:sz w:val="32"/>
          <w:szCs w:val="32"/>
          <w:highlight w:val="none"/>
        </w:rPr>
        <w:t>图像扫描仪器中对临床样本的照相扫描成像，采用的是光电技术，通常有两种方法：明场成像和荧光成像。</w:t>
      </w:r>
    </w:p>
    <w:p w14:paraId="447611DD">
      <w:pPr>
        <w:widowControl/>
        <w:ind w:firstLine="640" w:firstLineChars="200"/>
        <w:jc w:val="left"/>
        <w:rPr>
          <w:rFonts w:eastAsia="仿宋_GB2312"/>
          <w:sz w:val="32"/>
          <w:szCs w:val="32"/>
          <w:highlight w:val="none"/>
        </w:rPr>
      </w:pPr>
      <w:r>
        <w:rPr>
          <w:rFonts w:hint="eastAsia" w:eastAsia="仿宋_GB2312"/>
          <w:sz w:val="32"/>
          <w:szCs w:val="32"/>
          <w:highlight w:val="none"/>
        </w:rPr>
        <w:t>1.2.1明场成像</w:t>
      </w:r>
    </w:p>
    <w:p w14:paraId="25A45C56">
      <w:pPr>
        <w:widowControl/>
        <w:ind w:firstLine="640" w:firstLineChars="200"/>
        <w:jc w:val="left"/>
        <w:rPr>
          <w:rFonts w:eastAsia="仿宋_GB2312"/>
          <w:sz w:val="32"/>
          <w:szCs w:val="32"/>
          <w:highlight w:val="none"/>
        </w:rPr>
      </w:pPr>
      <w:r>
        <w:rPr>
          <w:rFonts w:hint="eastAsia" w:eastAsia="仿宋_GB2312"/>
          <w:sz w:val="32"/>
          <w:szCs w:val="32"/>
          <w:highlight w:val="none"/>
        </w:rPr>
        <w:t>图像扫描仪器光源位于样本组织的下方，当光线穿过样本时，样本中吸收染色剂的不同组织细胞，对特定波长的光产生不同程度的吸收，并在高倍物镜下，针对承载有病变组织的玻璃载玻片，采集光学图像传送到光电转换器中变为模拟电信号，再将模拟电信号变换成为数字信号，最后将数字信号传送到计算机并合成为完整的高分辨率数字图片，所得的数字图像进行存储并通过图像工作站进行调阅。</w:t>
      </w:r>
    </w:p>
    <w:p w14:paraId="2416315E">
      <w:pPr>
        <w:widowControl/>
        <w:ind w:firstLine="640" w:firstLineChars="200"/>
        <w:jc w:val="left"/>
        <w:rPr>
          <w:rFonts w:eastAsia="仿宋_GB2312"/>
          <w:sz w:val="32"/>
          <w:szCs w:val="32"/>
          <w:highlight w:val="none"/>
        </w:rPr>
      </w:pPr>
      <w:r>
        <w:rPr>
          <w:rFonts w:hint="eastAsia" w:eastAsia="仿宋_GB2312"/>
          <w:sz w:val="32"/>
          <w:szCs w:val="32"/>
          <w:highlight w:val="none"/>
        </w:rPr>
        <w:t>1.2.2荧光成像</w:t>
      </w:r>
    </w:p>
    <w:p w14:paraId="226EA8F8">
      <w:pPr>
        <w:widowControl/>
        <w:ind w:firstLine="640" w:firstLineChars="200"/>
        <w:jc w:val="left"/>
        <w:rPr>
          <w:rFonts w:eastAsia="仿宋_GB2312"/>
          <w:sz w:val="32"/>
          <w:szCs w:val="32"/>
          <w:highlight w:val="none"/>
        </w:rPr>
      </w:pPr>
      <w:r>
        <w:rPr>
          <w:rFonts w:hint="eastAsia" w:eastAsia="仿宋_GB2312"/>
          <w:sz w:val="32"/>
          <w:szCs w:val="32"/>
          <w:highlight w:val="none"/>
        </w:rPr>
        <w:t>光源产生特定波长的激发光，少部分的激发光穿过组织并被荧光团吸收，荧光团吸收了特定波长的光子后，释放出特定波长的发射光（即荧光），滤光片允许此发射光进入相机并被传感器检测到，形成明亮的高分辨率数字图片。</w:t>
      </w:r>
    </w:p>
    <w:p w14:paraId="4B590732">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1.3型号规格</w:t>
      </w:r>
    </w:p>
    <w:p w14:paraId="2EF2E7C5">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对于存在多种型号规格的产品，应当明确各型号规格的区别。应当采用对比表或带有说明性文字的图片、图表，描述各种型号规格的结构组成（或配置）、功能、产品特征和运行模式、技术参数等内容。</w:t>
      </w:r>
    </w:p>
    <w:p w14:paraId="7C3450D5">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1.4包装说明</w:t>
      </w:r>
    </w:p>
    <w:p w14:paraId="3F77E7EF">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申请人应详细描述申报产品中注册单元所有产品组成的包装情况，说明包装清单和包装方式，提供包装图示。</w:t>
      </w:r>
    </w:p>
    <w:p w14:paraId="43994FFD">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1.5研发历程</w:t>
      </w:r>
    </w:p>
    <w:p w14:paraId="6A456DB5">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应描述申报产品的研发背景和目的，如申报产品的研发历史概述、历次注册申请提交的信息。</w:t>
      </w:r>
    </w:p>
    <w:p w14:paraId="0C6B2B9D">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1.6与同类和/或前代产品的参考和比较</w:t>
      </w:r>
    </w:p>
    <w:p w14:paraId="3926A0B1">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对于研发参考的同类产品或前代产品，应说明选择其作为研发参考的原因。同时列表说明申报产品与研发参考产品在工作原理、结构组成、性能指标及适用范围等方面的异同。</w:t>
      </w:r>
    </w:p>
    <w:p w14:paraId="431D178E">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区别于其他同类产品的特征是技术审评的关注点，如设备适用范围、结构组成、性能指标等。</w:t>
      </w:r>
    </w:p>
    <w:p w14:paraId="122B9FD8">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2.适用范围和禁忌证</w:t>
      </w:r>
    </w:p>
    <w:p w14:paraId="6CD14265">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2.1适用范围</w:t>
      </w:r>
    </w:p>
    <w:p w14:paraId="24D9D776">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预期用途可描述为：用于对临床样本的显微图像进行扫描、观察等。对于适用于荧光成像方法，适用范围中需进行明确。</w:t>
      </w:r>
    </w:p>
    <w:p w14:paraId="1DEFEBF9">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需明确目标用户以及操作或使用该产品应当具备的技能/知识/培训。</w:t>
      </w:r>
    </w:p>
    <w:p w14:paraId="3E486255">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2.2预期使用环境</w:t>
      </w:r>
    </w:p>
    <w:p w14:paraId="61331D7F">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预期使用环境的信息应当明确该产品预期使用的地点，还应明确可能影响其安全性和有效性的环境条件，如温度、湿度、压力、移动、振动、海拔等。</w:t>
      </w:r>
    </w:p>
    <w:p w14:paraId="3DC47E32">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2.3禁忌证：不适用</w:t>
      </w:r>
    </w:p>
    <w:p w14:paraId="1118A719">
      <w:pPr>
        <w:numPr>
          <w:ilvl w:val="0"/>
          <w:numId w:val="1"/>
        </w:numPr>
        <w:spacing w:line="480" w:lineRule="exact"/>
        <w:ind w:right="-67" w:rightChars="-32" w:firstLine="640" w:firstLineChars="200"/>
        <w:rPr>
          <w:rFonts w:eastAsia="楷体_GB2312"/>
          <w:sz w:val="32"/>
          <w:szCs w:val="32"/>
          <w:highlight w:val="none"/>
        </w:rPr>
      </w:pPr>
      <w:r>
        <w:rPr>
          <w:rFonts w:hint="eastAsia" w:eastAsia="楷体_GB2312"/>
          <w:sz w:val="32"/>
          <w:szCs w:val="32"/>
          <w:highlight w:val="none"/>
        </w:rPr>
        <w:t>非临床资料</w:t>
      </w:r>
    </w:p>
    <w:p w14:paraId="06FEEE77">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1.产品风险管理资料</w:t>
      </w:r>
    </w:p>
    <w:p w14:paraId="5F9877DB">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1.1产品的主要风险</w:t>
      </w:r>
    </w:p>
    <w:p w14:paraId="0FEFCAA9">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1.1.1危害估计</w:t>
      </w:r>
    </w:p>
    <w:p w14:paraId="29CCAF53">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图像扫描仪器的风险管理报告应符合GB/T 42062《医疗器械风险管理对医疗器械的应用》的有关要求，判断与产品有关的危害，估计和评价相关风险，控制这些风险并监视控制的有效性。</w:t>
      </w:r>
    </w:p>
    <w:p w14:paraId="6CB8284C">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1.1.1.1与产品有关的安全性特征判定，可参考YY/T 1437《医疗器械 GB/T 42062应用指南》。</w:t>
      </w:r>
    </w:p>
    <w:p w14:paraId="7BACDEB6">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1.1.1.2危害、可预见的事件序列和危害处境判断，可参考GB/T 42062《医疗器械风险管理对医疗器械的应用》附录C基本风险概念。</w:t>
      </w:r>
    </w:p>
    <w:p w14:paraId="1CFA5FCF">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1.1.1.3风险控制的方案与实施、综合剩余风险的可接受性评价及生产和生产后监视相关方法，可参考YY/T 1437《医疗器械 GB/T 42062应用指南》。</w:t>
      </w:r>
    </w:p>
    <w:p w14:paraId="5DD6694A">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1.1.1.4风险可接收准则，降低风险的措施及采取措施后风险的可接收程度，是否有新的风险产生。</w:t>
      </w:r>
    </w:p>
    <w:p w14:paraId="2B067A86">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1.2产品的危害示例</w:t>
      </w:r>
    </w:p>
    <w:p w14:paraId="2ACB96C6">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1.2.1能量危害</w:t>
      </w:r>
    </w:p>
    <w:p w14:paraId="27414BB4">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电磁能：环境中可能使用的其他设备对图像扫描仪器的电磁干扰，静电放电对图像扫描仪器产生干扰，图像扫描仪器产生的电磁场对可能使用的设备的影响等。</w:t>
      </w:r>
    </w:p>
    <w:p w14:paraId="2328DD14">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漏电流：可触及金属部分、外壳与带电部分隔离/保护不够，漏电流超出允许值，导致人体受伤。</w:t>
      </w:r>
    </w:p>
    <w:p w14:paraId="4AF1B57A">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机械能：图像扫描仪器坠落导致机械部件松动、导致无照明输出等。</w:t>
      </w:r>
    </w:p>
    <w:p w14:paraId="57D864B2">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1.2.2生物学和化学危害</w:t>
      </w:r>
    </w:p>
    <w:p w14:paraId="4863E73B">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本产品不与患者直接接触。</w:t>
      </w:r>
    </w:p>
    <w:p w14:paraId="5872A558">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1.2.3操作危害</w:t>
      </w:r>
    </w:p>
    <w:p w14:paraId="57EEEB77">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功能：光源损坏引发的危害。</w:t>
      </w:r>
    </w:p>
    <w:p w14:paraId="21292720">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使用错误：偏离注册申请人规定的环境条件、使用要求外使用或存储产品，可能造成元器件失效，引发危害。</w:t>
      </w:r>
    </w:p>
    <w:p w14:paraId="1977FBE5">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1.2.4信息危害</w:t>
      </w:r>
    </w:p>
    <w:p w14:paraId="6D6AB7CB">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 xml:space="preserve">包括标记缺少或不正确，标记的位置不正确，不能被正确地识别，不能永久贴牢和清楚易认。 </w:t>
      </w:r>
    </w:p>
    <w:p w14:paraId="47012AEA">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不符合法规及标准的说明书，包括说明书中未对限制充分告知，未对由不熟练或未经培训的人员使用、不正确的操作、与其他设备共同使用时易产生的危害进行警告，未正确标示储存条件、消毒方法、维修和维护信息，未对因长期使用产生功能丧失而可能引发的危害进行警告，未对合理可预见的误用进行警告等引发的危害。</w:t>
      </w:r>
    </w:p>
    <w:p w14:paraId="380C0829">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以下依据GB/T 42062《医疗器械风险管理对医疗器械的应用》附录C基本风险概念（表2）从八个方面提示性列举了图像扫描仪器的可能存在的初始危害因素，提示审查人员从以下方面考虑。</w:t>
      </w:r>
    </w:p>
    <w:p w14:paraId="6128A8F8">
      <w:pPr>
        <w:spacing w:line="520" w:lineRule="exact"/>
        <w:jc w:val="center"/>
        <w:rPr>
          <w:rFonts w:ascii="黑体" w:hAnsi="黑体" w:eastAsia="黑体"/>
          <w:sz w:val="28"/>
          <w:szCs w:val="22"/>
          <w:highlight w:val="none"/>
        </w:rPr>
      </w:pPr>
      <w:r>
        <w:rPr>
          <w:rFonts w:ascii="黑体" w:hAnsi="黑体" w:eastAsia="黑体"/>
          <w:sz w:val="28"/>
          <w:szCs w:val="22"/>
          <w:highlight w:val="none"/>
        </w:rPr>
        <w:t>表</w:t>
      </w:r>
      <w:r>
        <w:rPr>
          <w:rFonts w:hint="eastAsia" w:ascii="黑体" w:hAnsi="黑体" w:eastAsia="黑体"/>
          <w:sz w:val="28"/>
          <w:szCs w:val="22"/>
          <w:highlight w:val="none"/>
        </w:rPr>
        <w:t xml:space="preserve">1 </w:t>
      </w:r>
      <w:r>
        <w:rPr>
          <w:rFonts w:ascii="黑体" w:hAnsi="黑体" w:eastAsia="黑体"/>
          <w:sz w:val="28"/>
          <w:szCs w:val="22"/>
          <w:highlight w:val="none"/>
        </w:rPr>
        <w:t xml:space="preserve"> 产品主要初始危害因素</w:t>
      </w:r>
    </w:p>
    <w:tbl>
      <w:tblPr>
        <w:tblStyle w:val="7"/>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68"/>
        <w:gridCol w:w="6854"/>
      </w:tblGrid>
      <w:tr w14:paraId="1C16E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668" w:type="dxa"/>
            <w:vAlign w:val="center"/>
          </w:tcPr>
          <w:p w14:paraId="44651ADF">
            <w:pPr>
              <w:autoSpaceDE w:val="0"/>
              <w:autoSpaceDN w:val="0"/>
              <w:adjustRightInd w:val="0"/>
              <w:spacing w:line="440" w:lineRule="exact"/>
              <w:ind w:right="-67" w:rightChars="-32"/>
              <w:jc w:val="center"/>
              <w:rPr>
                <w:rFonts w:ascii="黑体" w:hAnsi="黑体" w:eastAsia="黑体"/>
                <w:kern w:val="0"/>
                <w:sz w:val="28"/>
                <w:szCs w:val="28"/>
                <w:highlight w:val="none"/>
              </w:rPr>
            </w:pPr>
            <w:r>
              <w:rPr>
                <w:rFonts w:ascii="黑体" w:hAnsi="黑体" w:eastAsia="黑体"/>
                <w:kern w:val="0"/>
                <w:sz w:val="28"/>
                <w:szCs w:val="28"/>
                <w:highlight w:val="none"/>
              </w:rPr>
              <w:t>通用类别</w:t>
            </w:r>
          </w:p>
        </w:tc>
        <w:tc>
          <w:tcPr>
            <w:tcW w:w="6854" w:type="dxa"/>
          </w:tcPr>
          <w:p w14:paraId="0A9CED6F">
            <w:pPr>
              <w:autoSpaceDE w:val="0"/>
              <w:autoSpaceDN w:val="0"/>
              <w:adjustRightInd w:val="0"/>
              <w:spacing w:line="440" w:lineRule="exact"/>
              <w:ind w:right="-67" w:rightChars="-32" w:firstLine="560" w:firstLineChars="200"/>
              <w:jc w:val="center"/>
              <w:rPr>
                <w:rFonts w:ascii="黑体" w:hAnsi="黑体" w:eastAsia="黑体"/>
                <w:kern w:val="0"/>
                <w:sz w:val="28"/>
                <w:szCs w:val="28"/>
                <w:highlight w:val="none"/>
              </w:rPr>
            </w:pPr>
            <w:r>
              <w:rPr>
                <w:rFonts w:ascii="黑体" w:hAnsi="黑体" w:eastAsia="黑体"/>
                <w:kern w:val="0"/>
                <w:sz w:val="28"/>
                <w:szCs w:val="28"/>
                <w:highlight w:val="none"/>
              </w:rPr>
              <w:t>初始事件和环境示例</w:t>
            </w:r>
          </w:p>
        </w:tc>
      </w:tr>
      <w:tr w14:paraId="1340BD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8" w:hRule="atLeast"/>
          <w:jc w:val="center"/>
        </w:trPr>
        <w:tc>
          <w:tcPr>
            <w:tcW w:w="1668" w:type="dxa"/>
            <w:vAlign w:val="center"/>
          </w:tcPr>
          <w:p w14:paraId="1C021396">
            <w:pPr>
              <w:autoSpaceDE w:val="0"/>
              <w:autoSpaceDN w:val="0"/>
              <w:adjustRightInd w:val="0"/>
              <w:spacing w:line="440" w:lineRule="exact"/>
              <w:ind w:right="-67" w:rightChars="-32"/>
              <w:jc w:val="center"/>
              <w:rPr>
                <w:rFonts w:eastAsia="仿宋_GB2312"/>
                <w:kern w:val="0"/>
                <w:sz w:val="28"/>
                <w:szCs w:val="28"/>
                <w:highlight w:val="none"/>
              </w:rPr>
            </w:pPr>
            <w:r>
              <w:rPr>
                <w:rFonts w:eastAsia="仿宋_GB2312"/>
                <w:kern w:val="0"/>
                <w:sz w:val="28"/>
                <w:szCs w:val="28"/>
                <w:highlight w:val="none"/>
              </w:rPr>
              <w:t>不完整的</w:t>
            </w:r>
          </w:p>
          <w:p w14:paraId="17521847">
            <w:pPr>
              <w:autoSpaceDE w:val="0"/>
              <w:autoSpaceDN w:val="0"/>
              <w:adjustRightInd w:val="0"/>
              <w:spacing w:line="440" w:lineRule="exact"/>
              <w:ind w:right="-67" w:rightChars="-32"/>
              <w:jc w:val="center"/>
              <w:rPr>
                <w:rFonts w:eastAsia="仿宋_GB2312"/>
                <w:kern w:val="0"/>
                <w:sz w:val="28"/>
                <w:szCs w:val="28"/>
                <w:highlight w:val="none"/>
              </w:rPr>
            </w:pPr>
            <w:r>
              <w:rPr>
                <w:rFonts w:eastAsia="仿宋_GB2312"/>
                <w:kern w:val="0"/>
                <w:sz w:val="28"/>
                <w:szCs w:val="28"/>
                <w:highlight w:val="none"/>
              </w:rPr>
              <w:t>要求</w:t>
            </w:r>
          </w:p>
        </w:tc>
        <w:tc>
          <w:tcPr>
            <w:tcW w:w="6854" w:type="dxa"/>
          </w:tcPr>
          <w:p w14:paraId="617A362E">
            <w:pPr>
              <w:autoSpaceDE w:val="0"/>
              <w:autoSpaceDN w:val="0"/>
              <w:adjustRightInd w:val="0"/>
              <w:spacing w:line="440" w:lineRule="exact"/>
              <w:ind w:right="-67" w:rightChars="-32" w:firstLine="560" w:firstLineChars="200"/>
              <w:rPr>
                <w:rFonts w:eastAsia="仿宋_GB2312"/>
                <w:kern w:val="0"/>
                <w:sz w:val="28"/>
                <w:szCs w:val="28"/>
                <w:highlight w:val="none"/>
              </w:rPr>
            </w:pPr>
            <w:r>
              <w:rPr>
                <w:rFonts w:eastAsia="仿宋_GB2312"/>
                <w:kern w:val="0"/>
                <w:sz w:val="28"/>
                <w:szCs w:val="28"/>
                <w:highlight w:val="none"/>
              </w:rPr>
              <w:t>设计参数的不恰当</w:t>
            </w:r>
            <w:r>
              <w:rPr>
                <w:rFonts w:hint="eastAsia" w:eastAsia="仿宋_GB2312"/>
                <w:kern w:val="0"/>
                <w:sz w:val="28"/>
                <w:szCs w:val="28"/>
                <w:highlight w:val="none"/>
              </w:rPr>
              <w:t>不</w:t>
            </w:r>
            <w:r>
              <w:rPr>
                <w:rFonts w:eastAsia="仿宋_GB2312"/>
                <w:kern w:val="0"/>
                <w:sz w:val="28"/>
                <w:szCs w:val="28"/>
                <w:highlight w:val="none"/>
              </w:rPr>
              <w:t>规范：可触及金属部分、外壳、信号输入/输出部分等与带电部分隔离/保护不够，电介质强度不够，导致对电击危险防护不够，可能对使用者造成电击危害；带脚轮设备锁定不良，移动式设备易翻倒，设备支撑件强度不足，设备面、角、边粗糙，对飞溅物防护不够，都可能对使用者造成机械损伤；对环境的电磁干扰超标，干扰其他设备正常工作等等。</w:t>
            </w:r>
          </w:p>
          <w:p w14:paraId="0DF709C5">
            <w:pPr>
              <w:autoSpaceDE w:val="0"/>
              <w:autoSpaceDN w:val="0"/>
              <w:adjustRightInd w:val="0"/>
              <w:spacing w:line="440" w:lineRule="exact"/>
              <w:ind w:right="-67" w:rightChars="-32" w:firstLine="560" w:firstLineChars="200"/>
              <w:rPr>
                <w:rFonts w:eastAsia="仿宋_GB2312"/>
                <w:kern w:val="0"/>
                <w:sz w:val="28"/>
                <w:szCs w:val="28"/>
                <w:highlight w:val="none"/>
              </w:rPr>
            </w:pPr>
            <w:r>
              <w:rPr>
                <w:rFonts w:hint="eastAsia" w:eastAsia="仿宋_GB2312"/>
                <w:kern w:val="0"/>
                <w:sz w:val="28"/>
                <w:szCs w:val="28"/>
                <w:highlight w:val="none"/>
              </w:rPr>
              <w:t>光</w:t>
            </w:r>
            <w:r>
              <w:rPr>
                <w:rFonts w:eastAsia="仿宋_GB2312"/>
                <w:kern w:val="0"/>
                <w:sz w:val="28"/>
                <w:szCs w:val="28"/>
                <w:highlight w:val="none"/>
              </w:rPr>
              <w:t>源部件产生大量的热能，未采用隔热措施导致可接触的外表面温度过高，且未张贴警示性符号，导致高温危害</w:t>
            </w:r>
            <w:r>
              <w:rPr>
                <w:rFonts w:hint="eastAsia" w:eastAsia="仿宋_GB2312"/>
                <w:kern w:val="0"/>
                <w:sz w:val="28"/>
                <w:szCs w:val="28"/>
                <w:highlight w:val="none"/>
              </w:rPr>
              <w:t>；</w:t>
            </w:r>
            <w:r>
              <w:rPr>
                <w:rFonts w:eastAsia="仿宋_GB2312"/>
                <w:kern w:val="0"/>
                <w:sz w:val="28"/>
                <w:szCs w:val="28"/>
                <w:highlight w:val="none"/>
              </w:rPr>
              <w:t>光源部件未设计过滤措施，导致</w:t>
            </w:r>
            <w:r>
              <w:rPr>
                <w:rFonts w:hint="eastAsia" w:eastAsia="仿宋_GB2312"/>
                <w:kern w:val="0"/>
                <w:sz w:val="28"/>
                <w:szCs w:val="28"/>
                <w:highlight w:val="none"/>
              </w:rPr>
              <w:t>光泄露</w:t>
            </w:r>
            <w:r>
              <w:rPr>
                <w:rFonts w:eastAsia="仿宋_GB2312"/>
                <w:kern w:val="0"/>
                <w:sz w:val="28"/>
                <w:szCs w:val="28"/>
                <w:highlight w:val="none"/>
              </w:rPr>
              <w:t>照射观察人员眼睛，造成光照危害</w:t>
            </w:r>
            <w:r>
              <w:rPr>
                <w:rFonts w:hint="eastAsia" w:eastAsia="仿宋_GB2312"/>
                <w:kern w:val="0"/>
                <w:sz w:val="28"/>
                <w:szCs w:val="28"/>
                <w:highlight w:val="none"/>
              </w:rPr>
              <w:t>。</w:t>
            </w:r>
          </w:p>
          <w:p w14:paraId="01128098">
            <w:pPr>
              <w:autoSpaceDE w:val="0"/>
              <w:autoSpaceDN w:val="0"/>
              <w:adjustRightInd w:val="0"/>
              <w:spacing w:line="440" w:lineRule="exact"/>
              <w:ind w:right="-67" w:rightChars="-32" w:firstLine="560" w:firstLineChars="200"/>
              <w:rPr>
                <w:rFonts w:eastAsia="仿宋_GB2312"/>
                <w:kern w:val="0"/>
                <w:sz w:val="28"/>
                <w:szCs w:val="28"/>
                <w:highlight w:val="none"/>
              </w:rPr>
            </w:pPr>
            <w:r>
              <w:rPr>
                <w:rFonts w:eastAsia="仿宋_GB2312"/>
                <w:kern w:val="0"/>
                <w:sz w:val="28"/>
                <w:szCs w:val="28"/>
                <w:highlight w:val="none"/>
              </w:rPr>
              <w:t>运行参数不恰当规范：照射时间过久，光源照度衰减，等等。</w:t>
            </w:r>
          </w:p>
          <w:p w14:paraId="441A0AE9">
            <w:pPr>
              <w:autoSpaceDE w:val="0"/>
              <w:autoSpaceDN w:val="0"/>
              <w:adjustRightInd w:val="0"/>
              <w:spacing w:line="440" w:lineRule="exact"/>
              <w:ind w:right="-67" w:rightChars="-32" w:firstLine="560" w:firstLineChars="200"/>
              <w:rPr>
                <w:rFonts w:eastAsia="仿宋_GB2312"/>
                <w:kern w:val="0"/>
                <w:sz w:val="28"/>
                <w:szCs w:val="28"/>
                <w:highlight w:val="none"/>
              </w:rPr>
            </w:pPr>
            <w:r>
              <w:rPr>
                <w:rFonts w:eastAsia="仿宋_GB2312"/>
                <w:kern w:val="0"/>
                <w:sz w:val="28"/>
                <w:szCs w:val="28"/>
                <w:highlight w:val="none"/>
              </w:rPr>
              <w:t>性能要求不恰当规范：性能参数如视场范围、图像几何失真度、色彩饱和度、放大倍数、光源照度的要求等不符合临床要求，可导致误诊</w:t>
            </w:r>
            <w:r>
              <w:rPr>
                <w:rFonts w:hint="eastAsia" w:eastAsia="仿宋_GB2312"/>
                <w:kern w:val="0"/>
                <w:sz w:val="28"/>
                <w:szCs w:val="28"/>
                <w:highlight w:val="none"/>
              </w:rPr>
              <w:t>，</w:t>
            </w:r>
            <w:r>
              <w:rPr>
                <w:rFonts w:eastAsia="仿宋_GB2312"/>
                <w:kern w:val="0"/>
                <w:sz w:val="28"/>
                <w:szCs w:val="28"/>
                <w:highlight w:val="none"/>
              </w:rPr>
              <w:t>等等。</w:t>
            </w:r>
          </w:p>
          <w:p w14:paraId="0AACA6AA">
            <w:pPr>
              <w:autoSpaceDE w:val="0"/>
              <w:autoSpaceDN w:val="0"/>
              <w:adjustRightInd w:val="0"/>
              <w:spacing w:line="440" w:lineRule="exact"/>
              <w:ind w:right="-67" w:rightChars="-32" w:firstLine="560" w:firstLineChars="200"/>
              <w:rPr>
                <w:rFonts w:eastAsia="仿宋_GB2312"/>
                <w:kern w:val="0"/>
                <w:sz w:val="28"/>
                <w:szCs w:val="28"/>
                <w:highlight w:val="none"/>
              </w:rPr>
            </w:pPr>
            <w:r>
              <w:rPr>
                <w:rFonts w:eastAsia="仿宋_GB2312"/>
                <w:kern w:val="0"/>
                <w:sz w:val="28"/>
                <w:szCs w:val="28"/>
                <w:highlight w:val="none"/>
              </w:rPr>
              <w:t>服务中的要求不恰当规范：使用说明书未对设备及配件维护、保养方式、方法、频次进行说明，导致设备及配件不能正常使用</w:t>
            </w:r>
            <w:r>
              <w:rPr>
                <w:rFonts w:hint="eastAsia" w:eastAsia="仿宋_GB2312"/>
                <w:kern w:val="0"/>
                <w:sz w:val="28"/>
                <w:szCs w:val="28"/>
                <w:highlight w:val="none"/>
              </w:rPr>
              <w:t>，</w:t>
            </w:r>
            <w:r>
              <w:rPr>
                <w:rFonts w:eastAsia="仿宋_GB2312"/>
                <w:kern w:val="0"/>
                <w:sz w:val="28"/>
                <w:szCs w:val="28"/>
                <w:highlight w:val="none"/>
              </w:rPr>
              <w:t>等等。</w:t>
            </w:r>
          </w:p>
          <w:p w14:paraId="56B0C545">
            <w:pPr>
              <w:autoSpaceDE w:val="0"/>
              <w:autoSpaceDN w:val="0"/>
              <w:adjustRightInd w:val="0"/>
              <w:spacing w:line="440" w:lineRule="exact"/>
              <w:ind w:right="-67" w:rightChars="-32" w:firstLine="560" w:firstLineChars="200"/>
              <w:rPr>
                <w:rFonts w:eastAsia="仿宋_GB2312"/>
                <w:kern w:val="0"/>
                <w:sz w:val="28"/>
                <w:szCs w:val="28"/>
                <w:highlight w:val="none"/>
              </w:rPr>
            </w:pPr>
            <w:r>
              <w:rPr>
                <w:rFonts w:eastAsia="仿宋_GB2312"/>
                <w:kern w:val="0"/>
                <w:sz w:val="28"/>
                <w:szCs w:val="28"/>
                <w:highlight w:val="none"/>
              </w:rPr>
              <w:t>寿命的结束：使用说明书未对设备/附件的使用寿命和贮藏寿命进行规定，导致设备/附件超期非正常使用导致图像质量等性能指标降低，安全性能出现隐患</w:t>
            </w:r>
            <w:r>
              <w:rPr>
                <w:rFonts w:hint="eastAsia" w:eastAsia="仿宋_GB2312"/>
                <w:kern w:val="0"/>
                <w:sz w:val="28"/>
                <w:szCs w:val="28"/>
                <w:highlight w:val="none"/>
              </w:rPr>
              <w:t>，</w:t>
            </w:r>
            <w:r>
              <w:rPr>
                <w:rFonts w:eastAsia="仿宋_GB2312"/>
                <w:kern w:val="0"/>
                <w:sz w:val="28"/>
                <w:szCs w:val="28"/>
                <w:highlight w:val="none"/>
              </w:rPr>
              <w:t>等等。</w:t>
            </w:r>
          </w:p>
        </w:tc>
      </w:tr>
      <w:tr w14:paraId="290AA0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2" w:hRule="atLeast"/>
          <w:jc w:val="center"/>
        </w:trPr>
        <w:tc>
          <w:tcPr>
            <w:tcW w:w="1668" w:type="dxa"/>
            <w:vAlign w:val="center"/>
          </w:tcPr>
          <w:p w14:paraId="06D6E53F">
            <w:pPr>
              <w:autoSpaceDE w:val="0"/>
              <w:autoSpaceDN w:val="0"/>
              <w:adjustRightInd w:val="0"/>
              <w:spacing w:line="440" w:lineRule="exact"/>
              <w:ind w:right="-67" w:rightChars="-32"/>
              <w:jc w:val="center"/>
              <w:rPr>
                <w:rFonts w:eastAsia="仿宋_GB2312"/>
                <w:kern w:val="0"/>
                <w:sz w:val="28"/>
                <w:szCs w:val="28"/>
                <w:highlight w:val="none"/>
              </w:rPr>
            </w:pPr>
            <w:r>
              <w:rPr>
                <w:rFonts w:eastAsia="仿宋_GB2312"/>
                <w:kern w:val="0"/>
                <w:sz w:val="28"/>
                <w:szCs w:val="28"/>
                <w:highlight w:val="none"/>
              </w:rPr>
              <w:t>制造过程</w:t>
            </w:r>
          </w:p>
        </w:tc>
        <w:tc>
          <w:tcPr>
            <w:tcW w:w="6854" w:type="dxa"/>
            <w:vAlign w:val="center"/>
          </w:tcPr>
          <w:p w14:paraId="3D180939">
            <w:pPr>
              <w:autoSpaceDE w:val="0"/>
              <w:autoSpaceDN w:val="0"/>
              <w:adjustRightInd w:val="0"/>
              <w:spacing w:line="440" w:lineRule="exact"/>
              <w:ind w:right="-67" w:rightChars="-32" w:firstLine="560" w:firstLineChars="200"/>
              <w:rPr>
                <w:rFonts w:eastAsia="仿宋_GB2312"/>
                <w:kern w:val="0"/>
                <w:sz w:val="28"/>
                <w:szCs w:val="28"/>
                <w:highlight w:val="none"/>
              </w:rPr>
            </w:pPr>
            <w:r>
              <w:rPr>
                <w:rFonts w:eastAsia="仿宋_GB2312"/>
                <w:kern w:val="0"/>
                <w:sz w:val="28"/>
                <w:szCs w:val="28"/>
                <w:highlight w:val="none"/>
              </w:rPr>
              <w:t>制造过程更改的控制不充分：控制程序修改未经验证，导致设备性能参数指标不符合标准要求；等等。</w:t>
            </w:r>
          </w:p>
          <w:p w14:paraId="1409A24D">
            <w:pPr>
              <w:autoSpaceDE w:val="0"/>
              <w:autoSpaceDN w:val="0"/>
              <w:adjustRightInd w:val="0"/>
              <w:spacing w:line="440" w:lineRule="exact"/>
              <w:ind w:right="-67" w:rightChars="-32" w:firstLine="560" w:firstLineChars="200"/>
              <w:rPr>
                <w:rFonts w:eastAsia="仿宋_GB2312"/>
                <w:kern w:val="0"/>
                <w:sz w:val="28"/>
                <w:szCs w:val="28"/>
                <w:highlight w:val="none"/>
              </w:rPr>
            </w:pPr>
            <w:r>
              <w:rPr>
                <w:rFonts w:eastAsia="仿宋_GB2312"/>
                <w:kern w:val="0"/>
                <w:sz w:val="28"/>
                <w:szCs w:val="28"/>
                <w:highlight w:val="none"/>
              </w:rPr>
              <w:t>制造过程的控制不充分：生产过程关键工序控制点未进行监测，导致部件或整机不合格；等等</w:t>
            </w:r>
          </w:p>
          <w:p w14:paraId="04E628D1">
            <w:pPr>
              <w:autoSpaceDE w:val="0"/>
              <w:autoSpaceDN w:val="0"/>
              <w:adjustRightInd w:val="0"/>
              <w:spacing w:line="440" w:lineRule="exact"/>
              <w:ind w:right="-67" w:rightChars="-32" w:firstLine="560" w:firstLineChars="200"/>
              <w:rPr>
                <w:rFonts w:eastAsia="仿宋_GB2312"/>
                <w:kern w:val="0"/>
                <w:sz w:val="28"/>
                <w:szCs w:val="28"/>
                <w:highlight w:val="none"/>
              </w:rPr>
            </w:pPr>
            <w:r>
              <w:rPr>
                <w:rFonts w:eastAsia="仿宋_GB2312"/>
                <w:kern w:val="0"/>
                <w:sz w:val="28"/>
                <w:szCs w:val="28"/>
                <w:highlight w:val="none"/>
              </w:rPr>
              <w:t>供方的控制不充分：外购、外协件供方选择不当，外购、外协件未进行有效进货检验，导致不合格外购、外协件投入生产；等等。</w:t>
            </w:r>
          </w:p>
        </w:tc>
      </w:tr>
      <w:tr w14:paraId="65BA2E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89" w:hRule="atLeast"/>
          <w:jc w:val="center"/>
        </w:trPr>
        <w:tc>
          <w:tcPr>
            <w:tcW w:w="1668" w:type="dxa"/>
            <w:vAlign w:val="center"/>
          </w:tcPr>
          <w:p w14:paraId="3184C037">
            <w:pPr>
              <w:autoSpaceDE w:val="0"/>
              <w:autoSpaceDN w:val="0"/>
              <w:adjustRightInd w:val="0"/>
              <w:spacing w:line="440" w:lineRule="exact"/>
              <w:ind w:right="-67" w:rightChars="-32"/>
              <w:jc w:val="center"/>
              <w:rPr>
                <w:rFonts w:eastAsia="仿宋_GB2312"/>
                <w:kern w:val="0"/>
                <w:sz w:val="28"/>
                <w:szCs w:val="28"/>
                <w:highlight w:val="none"/>
              </w:rPr>
            </w:pPr>
            <w:r>
              <w:rPr>
                <w:rFonts w:eastAsia="仿宋_GB2312"/>
                <w:kern w:val="0"/>
                <w:sz w:val="28"/>
                <w:szCs w:val="28"/>
                <w:highlight w:val="none"/>
              </w:rPr>
              <w:t>运输和贮藏</w:t>
            </w:r>
          </w:p>
        </w:tc>
        <w:tc>
          <w:tcPr>
            <w:tcW w:w="6854" w:type="dxa"/>
            <w:vAlign w:val="center"/>
          </w:tcPr>
          <w:p w14:paraId="1F844576">
            <w:pPr>
              <w:autoSpaceDE w:val="0"/>
              <w:autoSpaceDN w:val="0"/>
              <w:adjustRightInd w:val="0"/>
              <w:spacing w:line="440" w:lineRule="exact"/>
              <w:ind w:right="-67" w:rightChars="-32" w:firstLine="560" w:firstLineChars="200"/>
              <w:rPr>
                <w:rFonts w:eastAsia="仿宋_GB2312"/>
                <w:kern w:val="0"/>
                <w:sz w:val="28"/>
                <w:szCs w:val="28"/>
                <w:highlight w:val="none"/>
              </w:rPr>
            </w:pPr>
            <w:r>
              <w:rPr>
                <w:rFonts w:eastAsia="仿宋_GB2312"/>
                <w:kern w:val="0"/>
                <w:sz w:val="28"/>
                <w:szCs w:val="28"/>
                <w:highlight w:val="none"/>
              </w:rPr>
              <w:t>不恰当的包装：产品防护不当导致设备运输过程中损坏</w:t>
            </w:r>
            <w:r>
              <w:rPr>
                <w:rFonts w:hint="eastAsia" w:eastAsia="仿宋_GB2312"/>
                <w:kern w:val="0"/>
                <w:sz w:val="28"/>
                <w:szCs w:val="28"/>
                <w:highlight w:val="none"/>
              </w:rPr>
              <w:t>，</w:t>
            </w:r>
            <w:r>
              <w:rPr>
                <w:rFonts w:eastAsia="仿宋_GB2312"/>
                <w:kern w:val="0"/>
                <w:sz w:val="28"/>
                <w:szCs w:val="28"/>
                <w:highlight w:val="none"/>
              </w:rPr>
              <w:t>等等。</w:t>
            </w:r>
          </w:p>
          <w:p w14:paraId="6249B21F">
            <w:pPr>
              <w:autoSpaceDE w:val="0"/>
              <w:autoSpaceDN w:val="0"/>
              <w:adjustRightInd w:val="0"/>
              <w:spacing w:line="440" w:lineRule="exact"/>
              <w:ind w:right="-67" w:rightChars="-32" w:firstLine="560" w:firstLineChars="200"/>
              <w:rPr>
                <w:rFonts w:eastAsia="仿宋_GB2312"/>
                <w:kern w:val="0"/>
                <w:sz w:val="28"/>
                <w:szCs w:val="28"/>
                <w:highlight w:val="none"/>
              </w:rPr>
            </w:pPr>
            <w:r>
              <w:rPr>
                <w:rFonts w:eastAsia="仿宋_GB2312"/>
                <w:kern w:val="0"/>
                <w:sz w:val="28"/>
                <w:szCs w:val="28"/>
                <w:highlight w:val="none"/>
              </w:rPr>
              <w:t>不适当的环境条件：在超出设备规定的贮藏环境（温度、湿度、压力）贮藏设备，导致设备不能正常工作；等等。</w:t>
            </w:r>
          </w:p>
        </w:tc>
      </w:tr>
      <w:tr w14:paraId="3905AC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49" w:hRule="atLeast"/>
          <w:jc w:val="center"/>
        </w:trPr>
        <w:tc>
          <w:tcPr>
            <w:tcW w:w="1668" w:type="dxa"/>
            <w:vAlign w:val="center"/>
          </w:tcPr>
          <w:p w14:paraId="184A0752">
            <w:pPr>
              <w:autoSpaceDE w:val="0"/>
              <w:autoSpaceDN w:val="0"/>
              <w:adjustRightInd w:val="0"/>
              <w:spacing w:line="440" w:lineRule="exact"/>
              <w:ind w:right="-67" w:rightChars="-32"/>
              <w:jc w:val="center"/>
              <w:rPr>
                <w:rFonts w:eastAsia="仿宋_GB2312"/>
                <w:kern w:val="0"/>
                <w:sz w:val="28"/>
                <w:szCs w:val="28"/>
                <w:highlight w:val="none"/>
              </w:rPr>
            </w:pPr>
            <w:r>
              <w:rPr>
                <w:rFonts w:eastAsia="仿宋_GB2312"/>
                <w:kern w:val="0"/>
                <w:sz w:val="28"/>
                <w:szCs w:val="28"/>
                <w:highlight w:val="none"/>
              </w:rPr>
              <w:t>环境因素</w:t>
            </w:r>
          </w:p>
        </w:tc>
        <w:tc>
          <w:tcPr>
            <w:tcW w:w="6854" w:type="dxa"/>
          </w:tcPr>
          <w:p w14:paraId="63F8C286">
            <w:pPr>
              <w:autoSpaceDE w:val="0"/>
              <w:autoSpaceDN w:val="0"/>
              <w:adjustRightInd w:val="0"/>
              <w:spacing w:line="440" w:lineRule="exact"/>
              <w:ind w:right="-67" w:rightChars="-32" w:firstLine="560" w:firstLineChars="200"/>
              <w:rPr>
                <w:rFonts w:eastAsia="仿宋_GB2312"/>
                <w:kern w:val="0"/>
                <w:sz w:val="28"/>
                <w:szCs w:val="28"/>
                <w:highlight w:val="none"/>
              </w:rPr>
            </w:pPr>
            <w:r>
              <w:rPr>
                <w:rFonts w:eastAsia="仿宋_GB2312"/>
                <w:kern w:val="0"/>
                <w:sz w:val="28"/>
                <w:szCs w:val="28"/>
                <w:highlight w:val="none"/>
              </w:rPr>
              <w:t>物理学的（如热、压力、时间）：过热环境可能导致设备不能正常工作；等等。</w:t>
            </w:r>
          </w:p>
          <w:p w14:paraId="6C81860B">
            <w:pPr>
              <w:autoSpaceDE w:val="0"/>
              <w:autoSpaceDN w:val="0"/>
              <w:adjustRightInd w:val="0"/>
              <w:spacing w:line="440" w:lineRule="exact"/>
              <w:ind w:right="-67" w:rightChars="-32" w:firstLine="560" w:firstLineChars="200"/>
              <w:rPr>
                <w:rFonts w:eastAsia="仿宋_GB2312"/>
                <w:kern w:val="0"/>
                <w:sz w:val="28"/>
                <w:szCs w:val="28"/>
                <w:highlight w:val="none"/>
              </w:rPr>
            </w:pPr>
            <w:r>
              <w:rPr>
                <w:rFonts w:eastAsia="仿宋_GB2312"/>
                <w:kern w:val="0"/>
                <w:sz w:val="28"/>
                <w:szCs w:val="28"/>
                <w:highlight w:val="none"/>
              </w:rPr>
              <w:t>化学的（如腐蚀、降解、污染）：强酸强碱导致设备/配件损害；等等。</w:t>
            </w:r>
          </w:p>
          <w:p w14:paraId="5BD1B147">
            <w:pPr>
              <w:autoSpaceDE w:val="0"/>
              <w:autoSpaceDN w:val="0"/>
              <w:adjustRightInd w:val="0"/>
              <w:spacing w:line="440" w:lineRule="exact"/>
              <w:ind w:right="-67" w:rightChars="-32" w:firstLine="560" w:firstLineChars="200"/>
              <w:rPr>
                <w:rFonts w:eastAsia="仿宋_GB2312"/>
                <w:kern w:val="0"/>
                <w:sz w:val="28"/>
                <w:szCs w:val="28"/>
                <w:highlight w:val="none"/>
              </w:rPr>
            </w:pPr>
            <w:r>
              <w:rPr>
                <w:rFonts w:eastAsia="仿宋_GB2312"/>
                <w:kern w:val="0"/>
                <w:sz w:val="28"/>
                <w:szCs w:val="28"/>
                <w:highlight w:val="none"/>
              </w:rPr>
              <w:t>电磁场（如对电磁干扰的敏感度）：抗电磁干扰能力差，特定环境设备工作不正常；等等。</w:t>
            </w:r>
          </w:p>
          <w:p w14:paraId="2401EC19">
            <w:pPr>
              <w:autoSpaceDE w:val="0"/>
              <w:autoSpaceDN w:val="0"/>
              <w:adjustRightInd w:val="0"/>
              <w:spacing w:line="440" w:lineRule="exact"/>
              <w:ind w:right="-67" w:rightChars="-32" w:firstLine="560" w:firstLineChars="200"/>
              <w:rPr>
                <w:rFonts w:eastAsia="仿宋_GB2312"/>
                <w:kern w:val="0"/>
                <w:sz w:val="28"/>
                <w:szCs w:val="28"/>
                <w:highlight w:val="none"/>
              </w:rPr>
            </w:pPr>
            <w:r>
              <w:rPr>
                <w:rFonts w:eastAsia="仿宋_GB2312"/>
                <w:kern w:val="0"/>
                <w:sz w:val="28"/>
                <w:szCs w:val="28"/>
                <w:highlight w:val="none"/>
              </w:rPr>
              <w:t>不适当的能量供应：设备的供电电压不稳定，导致设备不能正常工作或损坏；等等。</w:t>
            </w:r>
          </w:p>
        </w:tc>
      </w:tr>
      <w:tr w14:paraId="35FA70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95" w:hRule="atLeast"/>
          <w:jc w:val="center"/>
        </w:trPr>
        <w:tc>
          <w:tcPr>
            <w:tcW w:w="1668" w:type="dxa"/>
            <w:vAlign w:val="center"/>
          </w:tcPr>
          <w:p w14:paraId="72AF1E3C">
            <w:pPr>
              <w:autoSpaceDE w:val="0"/>
              <w:autoSpaceDN w:val="0"/>
              <w:adjustRightInd w:val="0"/>
              <w:spacing w:line="440" w:lineRule="exact"/>
              <w:ind w:right="-67" w:rightChars="-32"/>
              <w:jc w:val="center"/>
              <w:rPr>
                <w:rFonts w:eastAsia="仿宋_GB2312"/>
                <w:kern w:val="0"/>
                <w:sz w:val="28"/>
                <w:szCs w:val="28"/>
                <w:highlight w:val="none"/>
              </w:rPr>
            </w:pPr>
            <w:r>
              <w:rPr>
                <w:rFonts w:eastAsia="仿宋_GB2312"/>
                <w:kern w:val="0"/>
                <w:sz w:val="28"/>
                <w:szCs w:val="28"/>
                <w:highlight w:val="none"/>
              </w:rPr>
              <w:t>清洁、消毒和灭菌</w:t>
            </w:r>
          </w:p>
        </w:tc>
        <w:tc>
          <w:tcPr>
            <w:tcW w:w="6854" w:type="dxa"/>
          </w:tcPr>
          <w:p w14:paraId="25280134">
            <w:pPr>
              <w:autoSpaceDE w:val="0"/>
              <w:autoSpaceDN w:val="0"/>
              <w:adjustRightInd w:val="0"/>
              <w:spacing w:line="440" w:lineRule="exact"/>
              <w:ind w:right="-67" w:rightChars="-32" w:firstLine="560" w:firstLineChars="200"/>
              <w:rPr>
                <w:rFonts w:eastAsia="仿宋_GB2312"/>
                <w:kern w:val="0"/>
                <w:sz w:val="28"/>
                <w:szCs w:val="28"/>
                <w:highlight w:val="none"/>
              </w:rPr>
            </w:pPr>
            <w:r>
              <w:rPr>
                <w:rFonts w:eastAsia="仿宋_GB2312"/>
                <w:kern w:val="0"/>
                <w:sz w:val="28"/>
                <w:szCs w:val="28"/>
                <w:highlight w:val="none"/>
              </w:rPr>
              <w:t>未对消毒过程的确认或确认程序不规范：使用说明书中推荐的对设备的消毒方法未经确认，不能对产品进行有效消毒；等等。</w:t>
            </w:r>
          </w:p>
          <w:p w14:paraId="3C8B0D1E">
            <w:pPr>
              <w:autoSpaceDE w:val="0"/>
              <w:autoSpaceDN w:val="0"/>
              <w:adjustRightInd w:val="0"/>
              <w:spacing w:line="440" w:lineRule="exact"/>
              <w:ind w:right="-67" w:rightChars="-32" w:firstLine="560" w:firstLineChars="200"/>
              <w:rPr>
                <w:rFonts w:eastAsia="仿宋_GB2312"/>
                <w:kern w:val="0"/>
                <w:sz w:val="28"/>
                <w:szCs w:val="28"/>
                <w:highlight w:val="none"/>
              </w:rPr>
            </w:pPr>
            <w:r>
              <w:rPr>
                <w:rFonts w:eastAsia="仿宋_GB2312"/>
                <w:kern w:val="0"/>
                <w:sz w:val="28"/>
                <w:szCs w:val="28"/>
                <w:highlight w:val="none"/>
              </w:rPr>
              <w:t>消毒执行不恰当：使用者未按要求对产品进行防护或消毒，导致院内感染；等等。</w:t>
            </w:r>
          </w:p>
        </w:tc>
      </w:tr>
      <w:tr w14:paraId="7F093D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45" w:hRule="atLeast"/>
          <w:jc w:val="center"/>
        </w:trPr>
        <w:tc>
          <w:tcPr>
            <w:tcW w:w="1668" w:type="dxa"/>
            <w:vAlign w:val="center"/>
          </w:tcPr>
          <w:p w14:paraId="6464C50D">
            <w:pPr>
              <w:autoSpaceDE w:val="0"/>
              <w:autoSpaceDN w:val="0"/>
              <w:adjustRightInd w:val="0"/>
              <w:spacing w:line="440" w:lineRule="exact"/>
              <w:ind w:right="-67" w:rightChars="-32"/>
              <w:jc w:val="center"/>
              <w:rPr>
                <w:rFonts w:eastAsia="仿宋_GB2312"/>
                <w:kern w:val="0"/>
                <w:sz w:val="28"/>
                <w:szCs w:val="28"/>
                <w:highlight w:val="none"/>
              </w:rPr>
            </w:pPr>
            <w:r>
              <w:rPr>
                <w:rFonts w:eastAsia="仿宋_GB2312"/>
                <w:kern w:val="0"/>
                <w:sz w:val="28"/>
                <w:szCs w:val="28"/>
                <w:highlight w:val="none"/>
              </w:rPr>
              <w:t>处置和废弃</w:t>
            </w:r>
          </w:p>
        </w:tc>
        <w:tc>
          <w:tcPr>
            <w:tcW w:w="6854" w:type="dxa"/>
          </w:tcPr>
          <w:p w14:paraId="397DD890">
            <w:pPr>
              <w:autoSpaceDE w:val="0"/>
              <w:autoSpaceDN w:val="0"/>
              <w:adjustRightInd w:val="0"/>
              <w:spacing w:line="440" w:lineRule="exact"/>
              <w:ind w:right="-67" w:rightChars="-32" w:firstLine="560" w:firstLineChars="200"/>
              <w:rPr>
                <w:rFonts w:eastAsia="仿宋_GB2312"/>
                <w:kern w:val="0"/>
                <w:sz w:val="28"/>
                <w:szCs w:val="28"/>
                <w:highlight w:val="none"/>
              </w:rPr>
            </w:pPr>
            <w:r>
              <w:rPr>
                <w:rFonts w:eastAsia="仿宋_GB2312"/>
                <w:kern w:val="0"/>
                <w:sz w:val="28"/>
                <w:szCs w:val="28"/>
                <w:highlight w:val="none"/>
              </w:rPr>
              <w:t>没提供信息或提供信息不充分：未在使用说明书中对产品的处置和废弃方法进行说明，或信息不充分；未对设备废弃的处置进行提示性说明；等等。</w:t>
            </w:r>
          </w:p>
        </w:tc>
      </w:tr>
      <w:tr w14:paraId="674D8C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6" w:hRule="atLeast"/>
          <w:jc w:val="center"/>
        </w:trPr>
        <w:tc>
          <w:tcPr>
            <w:tcW w:w="1668" w:type="dxa"/>
            <w:vAlign w:val="center"/>
          </w:tcPr>
          <w:p w14:paraId="65AA5241">
            <w:pPr>
              <w:autoSpaceDE w:val="0"/>
              <w:autoSpaceDN w:val="0"/>
              <w:adjustRightInd w:val="0"/>
              <w:spacing w:line="440" w:lineRule="exact"/>
              <w:ind w:right="-67" w:rightChars="-32"/>
              <w:jc w:val="center"/>
              <w:rPr>
                <w:rFonts w:eastAsia="仿宋_GB2312"/>
                <w:kern w:val="0"/>
                <w:sz w:val="28"/>
                <w:szCs w:val="28"/>
                <w:highlight w:val="none"/>
              </w:rPr>
            </w:pPr>
            <w:r>
              <w:rPr>
                <w:rFonts w:eastAsia="仿宋_GB2312"/>
                <w:kern w:val="0"/>
                <w:sz w:val="28"/>
                <w:szCs w:val="28"/>
                <w:highlight w:val="none"/>
              </w:rPr>
              <w:t>人为因素</w:t>
            </w:r>
          </w:p>
        </w:tc>
        <w:tc>
          <w:tcPr>
            <w:tcW w:w="6854" w:type="dxa"/>
            <w:vAlign w:val="center"/>
          </w:tcPr>
          <w:p w14:paraId="3FD97D24">
            <w:pPr>
              <w:autoSpaceDE w:val="0"/>
              <w:autoSpaceDN w:val="0"/>
              <w:adjustRightInd w:val="0"/>
              <w:spacing w:line="440" w:lineRule="exact"/>
              <w:ind w:right="-67" w:rightChars="-32" w:firstLine="560" w:firstLineChars="200"/>
              <w:rPr>
                <w:rFonts w:eastAsia="仿宋_GB2312"/>
                <w:kern w:val="0"/>
                <w:sz w:val="28"/>
                <w:szCs w:val="28"/>
                <w:highlight w:val="none"/>
              </w:rPr>
            </w:pPr>
            <w:r>
              <w:rPr>
                <w:rFonts w:eastAsia="仿宋_GB2312"/>
                <w:kern w:val="0"/>
                <w:sz w:val="28"/>
                <w:szCs w:val="28"/>
                <w:highlight w:val="none"/>
              </w:rPr>
              <w:t>设计缺陷引发可能的使用错误，如：</w:t>
            </w:r>
          </w:p>
          <w:p w14:paraId="5E9B8E28">
            <w:pPr>
              <w:autoSpaceDE w:val="0"/>
              <w:autoSpaceDN w:val="0"/>
              <w:adjustRightInd w:val="0"/>
              <w:spacing w:line="440" w:lineRule="exact"/>
              <w:ind w:right="-67" w:rightChars="-32" w:firstLine="560" w:firstLineChars="200"/>
              <w:rPr>
                <w:rFonts w:eastAsia="仿宋_GB2312"/>
                <w:kern w:val="0"/>
                <w:sz w:val="28"/>
                <w:szCs w:val="28"/>
                <w:highlight w:val="none"/>
              </w:rPr>
            </w:pPr>
            <w:r>
              <w:rPr>
                <w:rFonts w:eastAsia="仿宋_GB2312"/>
                <w:kern w:val="0"/>
                <w:sz w:val="28"/>
                <w:szCs w:val="28"/>
                <w:highlight w:val="none"/>
              </w:rPr>
              <w:t>易混淆的或缺少使用说明书：如缺少详细的使用方法、缺少必要的技术参数、缺少必要的警告说明、缺少电路图和元器件清单、缺少运输和贮存环境条件的限制；设备在故障状态（如变压器过载、断开保护接地线、设备的元器件出现故障）下运行可产生危险警示不足；使用前未检查设备工作状态；操作说明过于复杂，不易懂；未说明如何正确维护、保养设备/附件；等等。</w:t>
            </w:r>
          </w:p>
        </w:tc>
      </w:tr>
      <w:tr w14:paraId="0B545A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0" w:hRule="atLeast"/>
          <w:jc w:val="center"/>
        </w:trPr>
        <w:tc>
          <w:tcPr>
            <w:tcW w:w="1668" w:type="dxa"/>
            <w:vAlign w:val="center"/>
          </w:tcPr>
          <w:p w14:paraId="5BC49A2A">
            <w:pPr>
              <w:autoSpaceDE w:val="0"/>
              <w:autoSpaceDN w:val="0"/>
              <w:adjustRightInd w:val="0"/>
              <w:spacing w:line="440" w:lineRule="exact"/>
              <w:ind w:right="-67" w:rightChars="-32"/>
              <w:jc w:val="center"/>
              <w:rPr>
                <w:rFonts w:eastAsia="仿宋_GB2312"/>
                <w:kern w:val="0"/>
                <w:sz w:val="28"/>
                <w:szCs w:val="28"/>
                <w:highlight w:val="none"/>
              </w:rPr>
            </w:pPr>
            <w:r>
              <w:rPr>
                <w:rFonts w:hint="eastAsia" w:eastAsia="仿宋_GB2312"/>
                <w:kern w:val="0"/>
                <w:sz w:val="28"/>
                <w:szCs w:val="28"/>
                <w:highlight w:val="none"/>
              </w:rPr>
              <w:t>可用性</w:t>
            </w:r>
          </w:p>
        </w:tc>
        <w:tc>
          <w:tcPr>
            <w:tcW w:w="6854" w:type="dxa"/>
            <w:vAlign w:val="center"/>
          </w:tcPr>
          <w:p w14:paraId="41FD5317">
            <w:pPr>
              <w:autoSpaceDE w:val="0"/>
              <w:autoSpaceDN w:val="0"/>
              <w:adjustRightInd w:val="0"/>
              <w:spacing w:line="440" w:lineRule="exact"/>
              <w:ind w:right="-67" w:rightChars="-32" w:firstLine="560" w:firstLineChars="200"/>
              <w:rPr>
                <w:rFonts w:eastAsia="仿宋_GB2312"/>
                <w:kern w:val="0"/>
                <w:sz w:val="28"/>
                <w:szCs w:val="28"/>
                <w:highlight w:val="none"/>
              </w:rPr>
            </w:pPr>
            <w:r>
              <w:rPr>
                <w:rFonts w:eastAsia="仿宋_GB2312"/>
                <w:kern w:val="0"/>
                <w:sz w:val="28"/>
                <w:szCs w:val="28"/>
                <w:highlight w:val="none"/>
              </w:rPr>
              <w:t>设置或其他信息的显示不明确或不清晰：</w:t>
            </w:r>
            <w:r>
              <w:rPr>
                <w:rFonts w:hint="eastAsia" w:eastAsia="仿宋_GB2312"/>
                <w:kern w:val="0"/>
                <w:sz w:val="28"/>
                <w:szCs w:val="28"/>
                <w:highlight w:val="none"/>
              </w:rPr>
              <w:t>放大倍数</w:t>
            </w:r>
            <w:r>
              <w:rPr>
                <w:rFonts w:eastAsia="仿宋_GB2312"/>
                <w:kern w:val="0"/>
                <w:sz w:val="28"/>
                <w:szCs w:val="28"/>
                <w:highlight w:val="none"/>
              </w:rPr>
              <w:t>未</w:t>
            </w:r>
            <w:r>
              <w:rPr>
                <w:rFonts w:hint="eastAsia" w:eastAsia="仿宋_GB2312"/>
                <w:kern w:val="0"/>
                <w:sz w:val="28"/>
                <w:szCs w:val="28"/>
                <w:highlight w:val="none"/>
              </w:rPr>
              <w:t>为标注</w:t>
            </w:r>
            <w:r>
              <w:rPr>
                <w:rFonts w:eastAsia="仿宋_GB2312"/>
                <w:kern w:val="0"/>
                <w:sz w:val="28"/>
                <w:szCs w:val="28"/>
                <w:highlight w:val="none"/>
              </w:rPr>
              <w:t>；等等。</w:t>
            </w:r>
          </w:p>
          <w:p w14:paraId="62F48B9A">
            <w:pPr>
              <w:autoSpaceDE w:val="0"/>
              <w:autoSpaceDN w:val="0"/>
              <w:adjustRightInd w:val="0"/>
              <w:spacing w:line="440" w:lineRule="exact"/>
              <w:ind w:right="-67" w:rightChars="-32" w:firstLine="560" w:firstLineChars="200"/>
              <w:rPr>
                <w:rFonts w:eastAsia="仿宋_GB2312"/>
                <w:kern w:val="0"/>
                <w:sz w:val="28"/>
                <w:szCs w:val="28"/>
                <w:highlight w:val="none"/>
              </w:rPr>
            </w:pPr>
            <w:r>
              <w:rPr>
                <w:rFonts w:eastAsia="仿宋_GB2312"/>
                <w:kern w:val="0"/>
                <w:sz w:val="28"/>
                <w:szCs w:val="28"/>
                <w:highlight w:val="none"/>
              </w:rPr>
              <w:t>与已有的器械比较，样式或布局有争议：显示参数与多数设备通用的显示参数布局不相同，可能引起参数记录错误；等等。</w:t>
            </w:r>
          </w:p>
          <w:p w14:paraId="3ABDE17B">
            <w:pPr>
              <w:autoSpaceDE w:val="0"/>
              <w:autoSpaceDN w:val="0"/>
              <w:adjustRightInd w:val="0"/>
              <w:spacing w:line="440" w:lineRule="exact"/>
              <w:ind w:right="-67" w:rightChars="-32" w:firstLine="560" w:firstLineChars="200"/>
              <w:rPr>
                <w:rFonts w:eastAsia="仿宋_GB2312"/>
                <w:kern w:val="0"/>
                <w:sz w:val="28"/>
                <w:szCs w:val="28"/>
                <w:highlight w:val="none"/>
              </w:rPr>
            </w:pPr>
            <w:r>
              <w:rPr>
                <w:rFonts w:eastAsia="仿宋_GB2312"/>
                <w:kern w:val="0"/>
                <w:sz w:val="28"/>
                <w:szCs w:val="28"/>
                <w:highlight w:val="none"/>
              </w:rPr>
              <w:t>由缺乏技术的/未经培训的人员使用：使用者/操作者未经培训或培训不足，不能正确使用和维护保养设备；等等。</w:t>
            </w:r>
          </w:p>
        </w:tc>
      </w:tr>
      <w:tr w14:paraId="53167D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50" w:hRule="atLeast"/>
          <w:jc w:val="center"/>
        </w:trPr>
        <w:tc>
          <w:tcPr>
            <w:tcW w:w="1668" w:type="dxa"/>
            <w:vAlign w:val="center"/>
          </w:tcPr>
          <w:p w14:paraId="7C2DD3F3">
            <w:pPr>
              <w:autoSpaceDE w:val="0"/>
              <w:autoSpaceDN w:val="0"/>
              <w:adjustRightInd w:val="0"/>
              <w:spacing w:line="440" w:lineRule="exact"/>
              <w:ind w:right="-67" w:rightChars="-32"/>
              <w:jc w:val="center"/>
              <w:rPr>
                <w:rFonts w:eastAsia="仿宋_GB2312"/>
                <w:kern w:val="0"/>
                <w:sz w:val="28"/>
                <w:szCs w:val="28"/>
                <w:highlight w:val="none"/>
              </w:rPr>
            </w:pPr>
            <w:r>
              <w:rPr>
                <w:rFonts w:eastAsia="仿宋_GB2312"/>
                <w:kern w:val="0"/>
                <w:sz w:val="28"/>
                <w:szCs w:val="28"/>
                <w:highlight w:val="none"/>
              </w:rPr>
              <w:t>失效模式</w:t>
            </w:r>
          </w:p>
        </w:tc>
        <w:tc>
          <w:tcPr>
            <w:tcW w:w="6854" w:type="dxa"/>
            <w:vAlign w:val="center"/>
          </w:tcPr>
          <w:p w14:paraId="0FBA0AD9">
            <w:pPr>
              <w:autoSpaceDE w:val="0"/>
              <w:autoSpaceDN w:val="0"/>
              <w:adjustRightInd w:val="0"/>
              <w:spacing w:line="440" w:lineRule="exact"/>
              <w:ind w:right="-67" w:rightChars="-32" w:firstLine="560" w:firstLineChars="200"/>
              <w:rPr>
                <w:rFonts w:eastAsia="仿宋_GB2312"/>
                <w:kern w:val="0"/>
                <w:sz w:val="28"/>
                <w:szCs w:val="28"/>
                <w:highlight w:val="none"/>
              </w:rPr>
            </w:pPr>
            <w:r>
              <w:rPr>
                <w:rFonts w:eastAsia="仿宋_GB2312"/>
                <w:kern w:val="0"/>
                <w:sz w:val="28"/>
                <w:szCs w:val="28"/>
                <w:highlight w:val="none"/>
              </w:rPr>
              <w:t>由于老化、磨损和重复使用而致功能退化：长时间使用后光源衰减，重复清洁消毒导致按键失效；等等。</w:t>
            </w:r>
          </w:p>
        </w:tc>
      </w:tr>
    </w:tbl>
    <w:p w14:paraId="31066DB1">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2.医疗器械安全和性能基本原则清单</w:t>
      </w:r>
    </w:p>
    <w:p w14:paraId="2CAEAAF1">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参考《医疗器械安全和性能基本原则符合性技术指南》的要求，根据《医疗器械安全和性能的基本原则》中的各项要求明确适用性。对于不适用的要求，应当逐项说明不适用的理由。对于适用要求，应逐项说明为符合要求所采用的方法，以及证明其符合性的文件。</w:t>
      </w:r>
    </w:p>
    <w:p w14:paraId="3BCA1B2C">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3.产品技术要求应包括的主要技术指标</w:t>
      </w:r>
    </w:p>
    <w:p w14:paraId="21C81CE9">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申请人需按照《医疗器械产品技术要求编写指导原则》中的规定，结合产品的技术特征和临床使用来确定产品的功能性、安全性指标，指标不得低于相关强制性标准、行业标准的要求。申请人如不采用的条款（包括国家标准、行业标准要求），需说明理由。</w:t>
      </w:r>
    </w:p>
    <w:p w14:paraId="1D04270A">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如有新版强制性国家标准、行业标准发布实施，产品性能指标等要求需执行最新版本的国家标准、行业标准。</w:t>
      </w:r>
    </w:p>
    <w:p w14:paraId="3D431DA7">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产品的工作条件无需列入性能指标中，需在试验方法中明确试验条件。包括但不限于温度、相对湿度、大气压力、电源电压、频率、功率等方面的要求。</w:t>
      </w:r>
    </w:p>
    <w:p w14:paraId="7791394B">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产品技术要求中需明确型号规格及其划分的说明、产品性能指标及检验方法等。</w:t>
      </w:r>
    </w:p>
    <w:p w14:paraId="62EBFD39">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产品技术要求需包括但不局限于以下内容：</w:t>
      </w:r>
    </w:p>
    <w:p w14:paraId="3C36C785">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3.1.1产品型号规格及其划分说明</w:t>
      </w:r>
    </w:p>
    <w:p w14:paraId="30444361">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对同一注册单元中存在多种型号、规格的产品，需明确不同型号、规格的划分说明，提供型号间主要差异对比表。推荐采用图示和/或表格的方式，表述文本较多的内容可以在附录中列明。</w:t>
      </w:r>
    </w:p>
    <w:p w14:paraId="6F12F8F6">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若含有软件，按照《医疗器械软件注册审查指导原则（2022修订版）》的要求，明确软件名称、型号规格、发布版本、软件完整版本命名规则，明确字段的位数、范围、含义，涵盖软件更新全部类型。软件版本命名需能区分重大软件更新和轻微软件更新。含有上位机软件和下位机软件的，或各型号规格软件版本不同的需分别进行描述。</w:t>
      </w:r>
    </w:p>
    <w:p w14:paraId="5D4FF103">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3.1.2一般性能</w:t>
      </w:r>
    </w:p>
    <w:p w14:paraId="2ECB4774">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申请人需根据申报产品特征确定需要符合的标准和临床使用要求，对设备整机应给出不少于下列参数性能：外观和结构要求、载玻片容量、放大倍数、最大扫描区域、扫描分辨率、扫描畸变、稳定性、噪音</w:t>
      </w:r>
      <w:r>
        <w:rPr>
          <w:rFonts w:hint="eastAsia" w:eastAsia="仿宋_GB2312"/>
          <w:sz w:val="32"/>
          <w:szCs w:val="32"/>
          <w:highlight w:val="none"/>
          <w:lang w:eastAsia="zh-CN"/>
        </w:rPr>
        <w:t>、</w:t>
      </w:r>
      <w:r>
        <w:rPr>
          <w:rFonts w:hint="eastAsia" w:eastAsia="仿宋_GB2312"/>
          <w:sz w:val="32"/>
          <w:szCs w:val="32"/>
          <w:highlight w:val="none"/>
        </w:rPr>
        <w:t>扫描速度、卡片率。</w:t>
      </w:r>
    </w:p>
    <w:p w14:paraId="517711BD">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若产品含有窄带光光谱，应明确光谱特性（主峰值、半高宽等）。若产品含有激光光源，应明确激光光源的波长。</w:t>
      </w:r>
    </w:p>
    <w:p w14:paraId="483F96F7">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3.1.3软件功能</w:t>
      </w:r>
    </w:p>
    <w:p w14:paraId="688089B6">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需符合《医疗器械软件注册审查指导原则》（2022修订版）《医疗器械网络安全注册审查指导原则》（2022年修订版）的要求：如多层扫描功能、扫描拼接最大错位距离等软件的临床功能纲要、以及使用限制、接口、访问控制、运行环境（若适用）、性能效率（若适用）等要求，且需与说明书中的功能描述一致。</w:t>
      </w:r>
    </w:p>
    <w:p w14:paraId="5E06A023">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3.1.4安全性能</w:t>
      </w:r>
    </w:p>
    <w:p w14:paraId="62E68637">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需符合GB 4793、GB/T 42125.1、YY/T 0648的要求。</w:t>
      </w:r>
    </w:p>
    <w:p w14:paraId="03AC9813">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3.1.5电磁兼容</w:t>
      </w:r>
    </w:p>
    <w:p w14:paraId="1D0C5ACE">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需符合GB/T 18268.1、GB/T 18268.26的要求。</w:t>
      </w:r>
    </w:p>
    <w:p w14:paraId="3965523B">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3.2检验报告</w:t>
      </w:r>
    </w:p>
    <w:p w14:paraId="494A9733">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申请人可提交注册产品的自检报告或委托有资质的医疗器械检验机构出具的检验报告。若提交自检报告，还需按照《医疗器械自检管理规定》的要求提供相关资料。</w:t>
      </w:r>
    </w:p>
    <w:p w14:paraId="466A9133">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注册单元内各型号的主要安全指标、性能指标、光源类型不能被典型型号全部涵盖时，则需选择结构最复杂、功能最多、技术指标最高的型号进行性能和电气安全检测。如果检测一个型号不能覆盖其他型号的全部性能功能，则可对其他型号不能覆盖的部分进行差异检测。例如：含不同光源的图像扫描仪器不能互相覆盖。</w:t>
      </w:r>
    </w:p>
    <w:p w14:paraId="6E1E1FDA">
      <w:pPr>
        <w:spacing w:line="520" w:lineRule="exact"/>
        <w:ind w:firstLine="640" w:firstLineChars="200"/>
        <w:jc w:val="left"/>
        <w:outlineLvl w:val="2"/>
        <w:rPr>
          <w:rFonts w:eastAsia="仿宋_GB2312"/>
          <w:sz w:val="32"/>
          <w:szCs w:val="32"/>
          <w:highlight w:val="none"/>
        </w:rPr>
      </w:pPr>
      <w:r>
        <w:rPr>
          <w:rFonts w:hint="eastAsia" w:eastAsia="仿宋_GB2312"/>
          <w:sz w:val="32"/>
          <w:szCs w:val="32"/>
          <w:highlight w:val="none"/>
        </w:rPr>
        <w:t>4.研究资料</w:t>
      </w:r>
    </w:p>
    <w:p w14:paraId="49B0565B">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申请人需根据申报产品适用范围和技术特征，提供非临床研究综述，逐项描述所开展的研究，概述研究方法和研究结论。根据非临床研究综述，提供相应的研究资料，各项研究可通过文献研究、实验室研究、模型研究等方式开展，一般需包含研究方案、研究报告。</w:t>
      </w:r>
    </w:p>
    <w:p w14:paraId="11D79739">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4.1化学和物理性能研究</w:t>
      </w:r>
    </w:p>
    <w:p w14:paraId="5D58072D">
      <w:pPr>
        <w:overflowPunct w:val="0"/>
        <w:autoSpaceDE w:val="0"/>
        <w:autoSpaceDN w:val="0"/>
        <w:spacing w:line="520" w:lineRule="exact"/>
        <w:ind w:firstLine="640" w:firstLineChars="200"/>
        <w:outlineLvl w:val="1"/>
        <w:rPr>
          <w:rFonts w:hint="eastAsia" w:eastAsia="仿宋_GB2312"/>
          <w:sz w:val="32"/>
          <w:szCs w:val="32"/>
          <w:highlight w:val="none"/>
        </w:rPr>
      </w:pPr>
      <w:r>
        <w:rPr>
          <w:rFonts w:hint="eastAsia" w:eastAsia="仿宋_GB2312"/>
          <w:sz w:val="32"/>
          <w:szCs w:val="32"/>
          <w:highlight w:val="none"/>
        </w:rPr>
        <w:t>应当提供产品物理和/或机械性能指标的确定依据、设计输入来源以及临床意义，所采用的标准或方法、采用的原因及理论基础。包含功能性、安全性指标以及与质量控制相关的其他指标。</w:t>
      </w:r>
    </w:p>
    <w:p w14:paraId="0764C035">
      <w:pPr>
        <w:pStyle w:val="11"/>
        <w:spacing w:line="520" w:lineRule="exact"/>
        <w:ind w:firstLine="624" w:firstLineChars="200"/>
        <w:rPr>
          <w:rFonts w:hint="eastAsia" w:eastAsia="仿宋_GB2312"/>
          <w:sz w:val="32"/>
          <w:szCs w:val="32"/>
          <w:highlight w:val="none"/>
        </w:rPr>
      </w:pPr>
      <w:r>
        <w:rPr>
          <w:rFonts w:hint="eastAsia" w:ascii="仿宋_GB2312" w:hAnsi="仿宋_GB2312" w:eastAsia="仿宋_GB2312" w:cs="仿宋_GB2312"/>
          <w:bCs/>
          <w:color w:val="000000" w:themeColor="text1"/>
          <w:spacing w:val="-4"/>
          <w:kern w:val="2"/>
          <w:sz w:val="32"/>
          <w:szCs w:val="32"/>
          <w:highlight w:val="none"/>
          <w14:textFill>
            <w14:solidFill>
              <w14:schemeClr w14:val="tx1"/>
            </w14:solidFill>
          </w14:textFill>
        </w:rPr>
        <w:t>申报产品各组成模块性能的研究资料：应根据综述资料中有关申报产品结构组成和各主要组成模块的情况进行，提供详细的研究资料，一般应包括对光学成像系统</w:t>
      </w:r>
      <w:r>
        <w:rPr>
          <w:rFonts w:hint="eastAsia" w:ascii="仿宋_GB2312" w:hAnsi="仿宋_GB2312" w:eastAsia="仿宋_GB2312" w:cs="仿宋_GB2312"/>
          <w:bCs/>
          <w:color w:val="000000" w:themeColor="text1"/>
          <w:spacing w:val="-4"/>
          <w:kern w:val="2"/>
          <w:sz w:val="32"/>
          <w:szCs w:val="32"/>
          <w:highlight w:val="none"/>
          <w:lang w:eastAsia="zh-CN"/>
          <w14:textFill>
            <w14:solidFill>
              <w14:schemeClr w14:val="tx1"/>
            </w14:solidFill>
          </w14:textFill>
        </w:rPr>
        <w:t>（成像分辨率）</w:t>
      </w:r>
      <w:r>
        <w:rPr>
          <w:rFonts w:hint="eastAsia" w:ascii="仿宋_GB2312" w:hAnsi="仿宋_GB2312" w:eastAsia="仿宋_GB2312" w:cs="仿宋_GB2312"/>
          <w:bCs/>
          <w:color w:val="000000" w:themeColor="text1"/>
          <w:spacing w:val="-4"/>
          <w:kern w:val="2"/>
          <w:sz w:val="32"/>
          <w:szCs w:val="32"/>
          <w:highlight w:val="none"/>
          <w14:textFill>
            <w14:solidFill>
              <w14:schemeClr w14:val="tx1"/>
            </w14:solidFill>
          </w14:textFill>
        </w:rPr>
        <w:t>、图像采集系统温控模块</w:t>
      </w:r>
      <w:r>
        <w:rPr>
          <w:rFonts w:hint="eastAsia" w:ascii="仿宋_GB2312" w:hAnsi="仿宋_GB2312" w:eastAsia="仿宋_GB2312" w:cs="仿宋_GB2312"/>
          <w:bCs/>
          <w:color w:val="000000" w:themeColor="text1"/>
          <w:spacing w:val="-4"/>
          <w:kern w:val="2"/>
          <w:sz w:val="32"/>
          <w:szCs w:val="32"/>
          <w:highlight w:val="none"/>
          <w:lang w:eastAsia="zh-CN"/>
          <w14:textFill>
            <w14:solidFill>
              <w14:schemeClr w14:val="tx1"/>
            </w14:solidFill>
          </w14:textFill>
        </w:rPr>
        <w:t>（卡片率和扫描速度）</w:t>
      </w:r>
      <w:r>
        <w:rPr>
          <w:rFonts w:hint="eastAsia" w:ascii="仿宋_GB2312" w:hAnsi="仿宋_GB2312" w:eastAsia="仿宋_GB2312" w:cs="仿宋_GB2312"/>
          <w:bCs/>
          <w:color w:val="000000" w:themeColor="text1"/>
          <w:spacing w:val="-4"/>
          <w:kern w:val="2"/>
          <w:sz w:val="32"/>
          <w:szCs w:val="32"/>
          <w:highlight w:val="none"/>
          <w14:textFill>
            <w14:solidFill>
              <w14:schemeClr w14:val="tx1"/>
            </w14:solidFill>
          </w14:textFill>
        </w:rPr>
        <w:t>的功能性指标或者模块中主要元器件功能性指标的研究资料。</w:t>
      </w:r>
    </w:p>
    <w:p w14:paraId="01B76A48">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如申报产品预期与其他医疗器械、药品、非医疗器械产品联合使用实现同一预期用途，应当提供证明联合使用安全有效的研究资料，包括互联基本信息（连接类型、接口、协议、最低性能）、联合使用风险及控制措施、联合使用上的限制，兼容性研究等。</w:t>
      </w:r>
    </w:p>
    <w:p w14:paraId="5883D278">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荧光成像扫描设备，应当提供典型临床样本与荧光染料后反映产品荧光成像能力的研究资料。</w:t>
      </w:r>
    </w:p>
    <w:p w14:paraId="37DE802A">
      <w:pPr>
        <w:spacing w:line="560" w:lineRule="exact"/>
        <w:ind w:firstLine="640" w:firstLineChars="200"/>
        <w:rPr>
          <w:rFonts w:eastAsia="仿宋_GB2312"/>
          <w:sz w:val="32"/>
          <w:szCs w:val="32"/>
          <w:highlight w:val="none"/>
        </w:rPr>
      </w:pPr>
      <w:r>
        <w:rPr>
          <w:rFonts w:hint="eastAsia" w:eastAsia="仿宋_GB2312"/>
          <w:sz w:val="32"/>
          <w:szCs w:val="32"/>
          <w:highlight w:val="none"/>
        </w:rPr>
        <w:t>如申报产品含辅助定位功能，需提供设计考量，提供相应部件对于图像质量影响的研究报告。</w:t>
      </w:r>
    </w:p>
    <w:p w14:paraId="6721D25B">
      <w:pPr>
        <w:pStyle w:val="11"/>
        <w:ind w:firstLine="640" w:firstLineChars="200"/>
        <w:rPr>
          <w:rFonts w:eastAsia="仿宋_GB2312"/>
          <w:highlight w:val="none"/>
        </w:rPr>
      </w:pPr>
      <w:r>
        <w:rPr>
          <w:rFonts w:hint="eastAsia" w:eastAsia="仿宋_GB2312"/>
          <w:sz w:val="32"/>
          <w:szCs w:val="32"/>
          <w:highlight w:val="none"/>
        </w:rPr>
        <w:t>提供设备结合临床最不利运行状态下，软件处理过程中的卡片率研究资料。</w:t>
      </w:r>
    </w:p>
    <w:p w14:paraId="7FDFA4B1">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4.2电气系统安全性研究</w:t>
      </w:r>
    </w:p>
    <w:p w14:paraId="4FA9F160">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应当提供电气安全性、机械和环境保护以及电磁兼容性的研究资料，说明适用的标准以及开展的研究。</w:t>
      </w:r>
    </w:p>
    <w:p w14:paraId="1308F7B3">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4.3软件研究</w:t>
      </w:r>
    </w:p>
    <w:p w14:paraId="407A7845">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对于包含软件组件的图像扫描仪器，注册申请人应依据《医疗器械软件注册审查指导原则》（2022年修订版）的要求，提交自研软件研究报告、外部软件环境评估报告（若适用）</w:t>
      </w:r>
      <w:r>
        <w:rPr>
          <w:rFonts w:hint="eastAsia" w:eastAsia="仿宋_GB2312"/>
          <w:sz w:val="32"/>
          <w:szCs w:val="32"/>
          <w:highlight w:val="none"/>
          <w:lang w:eastAsia="zh-CN"/>
        </w:rPr>
        <w:t>、</w:t>
      </w:r>
      <w:r>
        <w:rPr>
          <w:rFonts w:hint="eastAsia" w:eastAsia="仿宋_GB2312"/>
          <w:sz w:val="32"/>
          <w:szCs w:val="32"/>
          <w:highlight w:val="none"/>
        </w:rPr>
        <w:t>GB/T 25000.51自测报告，亦可提交自检报告或检验报告代替自测报告</w:t>
      </w:r>
    </w:p>
    <w:p w14:paraId="5A7F6E81">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若具备电子数据交</w:t>
      </w:r>
      <w:bookmarkStart w:id="0" w:name="_GoBack"/>
      <w:bookmarkEnd w:id="0"/>
      <w:r>
        <w:rPr>
          <w:rFonts w:hint="eastAsia" w:eastAsia="仿宋_GB2312"/>
          <w:sz w:val="32"/>
          <w:szCs w:val="32"/>
          <w:highlight w:val="none"/>
        </w:rPr>
        <w:t>换、远程访问与控制、用户访问三种功能当中一种及以上功能的图像扫描仪器，应依据《医疗器械网络安全注册审查指导原则》（2022年修订版）的要求，提交网络安全研究资料。</w:t>
      </w:r>
    </w:p>
    <w:p w14:paraId="3EF14759">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4.4清洁、消毒、灭菌研究</w:t>
      </w:r>
    </w:p>
    <w:p w14:paraId="3A9B7648">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终端用户消毒：应当明确推荐的消毒工艺（方法和参数）以及所推荐消毒方法确定的依据。</w:t>
      </w:r>
    </w:p>
    <w:p w14:paraId="33C4C07F">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4.5可用性研究</w:t>
      </w:r>
    </w:p>
    <w:p w14:paraId="0C7EA4B5">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注册申请人需依据《医疗器械可用性工程注册审查指导原则》，按照中使用风险医疗器械要求提交使用错误评估报告。</w:t>
      </w:r>
    </w:p>
    <w:p w14:paraId="628C787B">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5.稳定性研究</w:t>
      </w:r>
    </w:p>
    <w:p w14:paraId="40626ED4">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医用电器环境要求是评价产品在各种工作环境和模拟贮存、运输环境下的适应性，可以制定不同的气候环境条件和机械环境条件来进行试验，或通过对关键部件的试验来评价整机的情况，也可以通过已上市同类产品比对方式进行判断。</w:t>
      </w:r>
    </w:p>
    <w:p w14:paraId="27DA750C">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5.1使用稳定性</w:t>
      </w:r>
    </w:p>
    <w:p w14:paraId="232C381C">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应当提供产品寿命信息及确定依据。需参照《有源医疗器械使用期限注册技术审查指导原则》提供产品使用稳定性的验证资料。</w:t>
      </w:r>
    </w:p>
    <w:p w14:paraId="3E2DA8DA">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使用寿命（或使用期限）的确认应当提供产品使用寿命的验证报告。光源的使用寿命应提供单独的寿命验证报告。</w:t>
      </w:r>
    </w:p>
    <w:p w14:paraId="753FEA4D">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5.2运输稳定性</w:t>
      </w:r>
    </w:p>
    <w:p w14:paraId="74D5EB43">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需提交运输稳定性验证资料，证明在规定的运输条件下，运输过程中环境条件（例如：震动、振动、温度和湿度的波动）不会对医疗器械的特性和性能，包括完整性和清洁度，造成不利影响。</w:t>
      </w:r>
    </w:p>
    <w:p w14:paraId="78D60F6F">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对于包装及包装完整性：应提供在宣称的使用期限内以及运输储存条件下保持包装完整性的依据。若注册申请人通过试验验证运输储存条件下的包装完整性，应提供试验方案、试验过程图片、试验报告等详细资料。</w:t>
      </w:r>
    </w:p>
    <w:p w14:paraId="0A0F8908">
      <w:pPr>
        <w:spacing w:line="520" w:lineRule="exact"/>
        <w:ind w:right="-67" w:rightChars="-32" w:firstLine="640" w:firstLineChars="200"/>
        <w:outlineLvl w:val="1"/>
        <w:rPr>
          <w:rFonts w:eastAsia="楷体_GB2312"/>
          <w:sz w:val="32"/>
          <w:szCs w:val="32"/>
          <w:highlight w:val="none"/>
        </w:rPr>
      </w:pPr>
      <w:r>
        <w:rPr>
          <w:rFonts w:hint="eastAsia" w:eastAsia="楷体_GB2312"/>
          <w:sz w:val="32"/>
          <w:szCs w:val="32"/>
          <w:highlight w:val="none"/>
        </w:rPr>
        <w:t>6.其他资料</w:t>
      </w:r>
    </w:p>
    <w:p w14:paraId="050DC7D9">
      <w:pPr>
        <w:overflowPunct w:val="0"/>
        <w:autoSpaceDE w:val="0"/>
        <w:autoSpaceDN w:val="0"/>
        <w:spacing w:line="520" w:lineRule="exact"/>
        <w:ind w:firstLine="640" w:firstLineChars="200"/>
        <w:outlineLvl w:val="1"/>
        <w:rPr>
          <w:rFonts w:eastAsia="仿宋_GB2312"/>
          <w:sz w:val="32"/>
          <w:szCs w:val="32"/>
          <w:highlight w:val="none"/>
        </w:rPr>
      </w:pPr>
      <w:r>
        <w:rPr>
          <w:rFonts w:hint="eastAsia" w:eastAsia="仿宋_GB2312"/>
          <w:sz w:val="32"/>
          <w:szCs w:val="32"/>
          <w:highlight w:val="none"/>
        </w:rPr>
        <w:t>根据《关于发布免于进行临床评价医疗器械目录的通告》（以下简称《目录》），图像扫描仪器属于免于进行临床评价产品。按照《列入免于临床评价医疗器械目录产品对比说明技术指导原则》的要求开展申报产品与《目录》所述产品的等同性论证。</w:t>
      </w:r>
    </w:p>
    <w:p w14:paraId="6CAEB4DD">
      <w:pPr>
        <w:overflowPunct w:val="0"/>
        <w:autoSpaceDE w:val="0"/>
        <w:autoSpaceDN w:val="0"/>
        <w:spacing w:line="520" w:lineRule="exact"/>
        <w:ind w:firstLine="640" w:firstLineChars="200"/>
        <w:outlineLvl w:val="1"/>
        <w:rPr>
          <w:rFonts w:hint="eastAsia" w:eastAsia="仿宋_GB2312"/>
          <w:sz w:val="32"/>
          <w:szCs w:val="32"/>
          <w:highlight w:val="none"/>
        </w:rPr>
      </w:pPr>
      <w:r>
        <w:rPr>
          <w:rFonts w:hint="eastAsia" w:eastAsia="仿宋_GB2312"/>
          <w:sz w:val="32"/>
          <w:szCs w:val="32"/>
          <w:highlight w:val="none"/>
        </w:rPr>
        <w:t>提交申报产品与《目录》所述内容的对比资料及申报产品与《目录》中已获准境内注册医疗器械的对比说明。存在差异的，应提交差异部分对安全有效性影响的分析研究资料。该资料应能证明申报产品与《目录》所述产品的基本等同性，若无法证明申报产品与《目录》所述的产品具有基本等同性，应开展临床评价。</w:t>
      </w:r>
    </w:p>
    <w:p w14:paraId="58B47433">
      <w:pPr>
        <w:overflowPunct w:val="0"/>
        <w:autoSpaceDE w:val="0"/>
        <w:autoSpaceDN w:val="0"/>
        <w:spacing w:line="520" w:lineRule="exact"/>
        <w:ind w:firstLine="640" w:firstLineChars="200"/>
        <w:outlineLvl w:val="1"/>
        <w:rPr>
          <w:rFonts w:hint="eastAsia"/>
          <w:highlight w:val="none"/>
        </w:rPr>
      </w:pPr>
      <w:r>
        <w:rPr>
          <w:rFonts w:hint="eastAsia" w:eastAsia="楷体_GB2312"/>
          <w:sz w:val="32"/>
          <w:szCs w:val="32"/>
          <w:highlight w:val="none"/>
        </w:rPr>
        <w:t>（四）临床评价资料</w:t>
      </w:r>
    </w:p>
    <w:p w14:paraId="61159D9E">
      <w:pPr>
        <w:spacing w:line="520" w:lineRule="exact"/>
        <w:ind w:firstLine="640" w:firstLineChars="200"/>
        <w:rPr>
          <w:rFonts w:eastAsia="仿宋_GB2312"/>
          <w:color w:val="000000"/>
          <w:kern w:val="0"/>
          <w:sz w:val="32"/>
          <w:szCs w:val="32"/>
          <w:highlight w:val="none"/>
        </w:rPr>
      </w:pPr>
      <w:r>
        <w:rPr>
          <w:rFonts w:hint="eastAsia" w:eastAsia="仿宋_GB2312"/>
          <w:color w:val="000000"/>
          <w:kern w:val="0"/>
          <w:sz w:val="32"/>
          <w:szCs w:val="32"/>
          <w:highlight w:val="none"/>
        </w:rPr>
        <w:t>如无法证明申报产品与《目录》所述的产品具有基本等同性，应对产品进行临床评价。应按照相关指导原则的要求提交临床评价资料。</w:t>
      </w:r>
    </w:p>
    <w:p w14:paraId="511FE127">
      <w:pPr>
        <w:numPr>
          <w:ilvl w:val="0"/>
          <w:numId w:val="0"/>
        </w:numPr>
        <w:spacing w:line="480" w:lineRule="exact"/>
        <w:ind w:right="-67" w:rightChars="-32" w:firstLine="640" w:firstLineChars="200"/>
        <w:rPr>
          <w:rFonts w:eastAsia="楷体_GB2312"/>
          <w:sz w:val="32"/>
          <w:szCs w:val="32"/>
          <w:highlight w:val="none"/>
        </w:rPr>
      </w:pPr>
      <w:r>
        <w:rPr>
          <w:rFonts w:hint="eastAsia" w:eastAsia="楷体_GB2312"/>
          <w:sz w:val="32"/>
          <w:szCs w:val="32"/>
          <w:highlight w:val="none"/>
          <w:lang w:eastAsia="zh-CN"/>
        </w:rPr>
        <w:t>（五）</w:t>
      </w:r>
      <w:r>
        <w:rPr>
          <w:rFonts w:hint="eastAsia" w:eastAsia="楷体_GB2312"/>
          <w:sz w:val="32"/>
          <w:szCs w:val="32"/>
          <w:highlight w:val="none"/>
        </w:rPr>
        <w:t>产品说明书和标签样稿</w:t>
      </w:r>
    </w:p>
    <w:p w14:paraId="36972469">
      <w:pPr>
        <w:spacing w:line="520" w:lineRule="exact"/>
        <w:ind w:firstLine="640" w:firstLineChars="200"/>
        <w:rPr>
          <w:rFonts w:eastAsia="仿宋_GB2312"/>
          <w:color w:val="000000"/>
          <w:kern w:val="0"/>
          <w:sz w:val="32"/>
          <w:szCs w:val="32"/>
          <w:highlight w:val="none"/>
        </w:rPr>
      </w:pPr>
      <w:r>
        <w:rPr>
          <w:rFonts w:eastAsia="仿宋_GB2312"/>
          <w:color w:val="000000"/>
          <w:kern w:val="0"/>
          <w:sz w:val="32"/>
          <w:szCs w:val="32"/>
          <w:highlight w:val="none"/>
        </w:rPr>
        <w:t>1.申报产品的说明书、标签样稿应当符合《</w:t>
      </w:r>
      <w:r>
        <w:rPr>
          <w:rFonts w:eastAsia="仿宋_GB2312"/>
          <w:bCs/>
          <w:color w:val="000000"/>
          <w:sz w:val="32"/>
          <w:szCs w:val="28"/>
          <w:highlight w:val="none"/>
        </w:rPr>
        <w:t>医疗器械说明书和标签管理规定</w:t>
      </w:r>
      <w:r>
        <w:rPr>
          <w:rFonts w:eastAsia="仿宋_GB2312"/>
          <w:color w:val="000000"/>
          <w:kern w:val="0"/>
          <w:sz w:val="32"/>
          <w:szCs w:val="32"/>
          <w:highlight w:val="none"/>
        </w:rPr>
        <w:t>》《医疗器械软件注册审查指导原则（2022年修订版）》以及</w:t>
      </w:r>
      <w:r>
        <w:rPr>
          <w:rFonts w:hint="eastAsia" w:eastAsia="仿宋_GB2312"/>
          <w:sz w:val="32"/>
          <w:szCs w:val="32"/>
          <w:highlight w:val="none"/>
        </w:rPr>
        <w:t>GB 4793-2024</w:t>
      </w:r>
      <w:r>
        <w:rPr>
          <w:rFonts w:eastAsia="仿宋_GB2312"/>
          <w:color w:val="000000"/>
          <w:kern w:val="0"/>
          <w:sz w:val="32"/>
          <w:szCs w:val="32"/>
          <w:highlight w:val="none"/>
        </w:rPr>
        <w:t>中有关要求，除此之外，说明书中还应包含以下内容：</w:t>
      </w:r>
    </w:p>
    <w:p w14:paraId="7CE700B7">
      <w:pPr>
        <w:spacing w:line="520" w:lineRule="exact"/>
        <w:ind w:firstLine="640" w:firstLineChars="200"/>
        <w:rPr>
          <w:rFonts w:eastAsia="仿宋_GB2312"/>
          <w:color w:val="000000"/>
          <w:kern w:val="0"/>
          <w:sz w:val="32"/>
          <w:szCs w:val="32"/>
          <w:highlight w:val="none"/>
        </w:rPr>
      </w:pPr>
      <w:r>
        <w:rPr>
          <w:rFonts w:hint="eastAsia" w:eastAsia="仿宋_GB2312"/>
          <w:color w:val="000000"/>
          <w:kern w:val="0"/>
          <w:sz w:val="32"/>
          <w:szCs w:val="32"/>
          <w:highlight w:val="none"/>
        </w:rPr>
        <w:t>1.1</w:t>
      </w:r>
      <w:r>
        <w:rPr>
          <w:rFonts w:hint="eastAsia" w:eastAsia="仿宋_GB2312"/>
          <w:spacing w:val="-1"/>
          <w:sz w:val="32"/>
          <w:szCs w:val="32"/>
          <w:highlight w:val="none"/>
        </w:rPr>
        <w:t>注册申请人应给出产品维护和保养及定期检查的方法；若有可由用户自行排除的故障，则应说明故障的种类和产生的原因及排除方法等。</w:t>
      </w:r>
    </w:p>
    <w:p w14:paraId="7F7F2932">
      <w:pPr>
        <w:spacing w:line="480" w:lineRule="exact"/>
        <w:ind w:right="-67" w:rightChars="-32" w:firstLine="640" w:firstLineChars="200"/>
        <w:rPr>
          <w:rFonts w:eastAsia="仿宋_GB2312"/>
          <w:spacing w:val="-1"/>
          <w:sz w:val="32"/>
          <w:szCs w:val="32"/>
          <w:highlight w:val="none"/>
        </w:rPr>
      </w:pPr>
      <w:r>
        <w:rPr>
          <w:rFonts w:eastAsia="仿宋_GB2312"/>
          <w:color w:val="000000"/>
          <w:kern w:val="0"/>
          <w:sz w:val="32"/>
          <w:szCs w:val="32"/>
          <w:highlight w:val="none"/>
        </w:rPr>
        <w:t>1.</w:t>
      </w:r>
      <w:r>
        <w:rPr>
          <w:rFonts w:hint="eastAsia" w:eastAsia="仿宋_GB2312"/>
          <w:color w:val="000000"/>
          <w:kern w:val="0"/>
          <w:sz w:val="32"/>
          <w:szCs w:val="32"/>
          <w:highlight w:val="none"/>
        </w:rPr>
        <w:t>2</w:t>
      </w:r>
      <w:r>
        <w:rPr>
          <w:rFonts w:hint="eastAsia" w:eastAsia="仿宋_GB2312"/>
          <w:spacing w:val="-1"/>
          <w:sz w:val="32"/>
          <w:szCs w:val="32"/>
          <w:highlight w:val="none"/>
        </w:rPr>
        <w:t>应提醒注意由于电气安装不合适而造成的危险；应给出</w:t>
      </w:r>
      <w:r>
        <w:rPr>
          <w:rFonts w:hint="eastAsia" w:eastAsia="仿宋_GB2312"/>
          <w:sz w:val="32"/>
          <w:szCs w:val="32"/>
          <w:highlight w:val="none"/>
        </w:rPr>
        <w:t>图像扫描仪器</w:t>
      </w:r>
      <w:r>
        <w:rPr>
          <w:rFonts w:hint="eastAsia" w:eastAsia="仿宋_GB2312"/>
          <w:spacing w:val="-1"/>
          <w:sz w:val="32"/>
          <w:szCs w:val="32"/>
          <w:highlight w:val="none"/>
        </w:rPr>
        <w:t>与其他设备间潜在的电磁干扰或其他干扰的相关信息，以及有关避免这些干扰的建议；应给出特殊情况下（停电、意外移动等）的注意事项。</w:t>
      </w:r>
    </w:p>
    <w:p w14:paraId="5D1302C5">
      <w:pPr>
        <w:spacing w:line="520" w:lineRule="exact"/>
        <w:ind w:firstLine="636" w:firstLineChars="200"/>
        <w:rPr>
          <w:rFonts w:eastAsia="仿宋_GB2312"/>
          <w:color w:val="000000"/>
          <w:kern w:val="0"/>
          <w:sz w:val="32"/>
          <w:szCs w:val="32"/>
          <w:highlight w:val="none"/>
        </w:rPr>
      </w:pPr>
      <w:r>
        <w:rPr>
          <w:rFonts w:hint="eastAsia" w:eastAsia="仿宋_GB2312"/>
          <w:spacing w:val="-1"/>
          <w:sz w:val="32"/>
          <w:szCs w:val="32"/>
          <w:highlight w:val="none"/>
        </w:rPr>
        <w:t>1.3安装和使用说明：注册申请人应明确产品的使用方法、</w:t>
      </w:r>
    </w:p>
    <w:p w14:paraId="4B0BFBBB">
      <w:pPr>
        <w:spacing w:line="520" w:lineRule="exact"/>
        <w:ind w:firstLine="640" w:firstLineChars="200"/>
        <w:rPr>
          <w:rFonts w:eastAsia="仿宋_GB2312"/>
          <w:spacing w:val="-1"/>
          <w:sz w:val="32"/>
          <w:szCs w:val="32"/>
          <w:highlight w:val="none"/>
        </w:rPr>
      </w:pPr>
      <w:r>
        <w:rPr>
          <w:rFonts w:hint="eastAsia" w:eastAsia="仿宋_GB2312"/>
          <w:color w:val="000000"/>
          <w:kern w:val="0"/>
          <w:sz w:val="32"/>
          <w:szCs w:val="32"/>
          <w:highlight w:val="none"/>
        </w:rPr>
        <w:t>1.4</w:t>
      </w:r>
      <w:r>
        <w:rPr>
          <w:rFonts w:hint="eastAsia" w:eastAsia="仿宋_GB2312"/>
          <w:spacing w:val="-1"/>
          <w:sz w:val="32"/>
          <w:szCs w:val="32"/>
          <w:highlight w:val="none"/>
        </w:rPr>
        <w:t>注册申请人应明确产品的使用方法、明确产品安装及调试的负责方（即是否上门安装调试）；应明确需要用户自行安装部分（如可拆卸配件）的安装、调试方法及其注意事项；应明确长期停用后的使用前检查和检修程序。</w:t>
      </w:r>
    </w:p>
    <w:p w14:paraId="66CCF3D2">
      <w:pPr>
        <w:pStyle w:val="11"/>
        <w:ind w:firstLine="636" w:firstLineChars="200"/>
        <w:rPr>
          <w:rFonts w:eastAsia="仿宋_GB2312"/>
          <w:highlight w:val="none"/>
        </w:rPr>
      </w:pPr>
      <w:r>
        <w:rPr>
          <w:rFonts w:hint="eastAsia" w:eastAsia="仿宋_GB2312"/>
          <w:spacing w:val="-1"/>
          <w:sz w:val="32"/>
          <w:szCs w:val="32"/>
          <w:highlight w:val="none"/>
        </w:rPr>
        <w:t>1.5荧光扫描设备应根据申报产品的实际特点明确激发光源的信息，并明确在研究方案中配合使用的荧光染料上市信息。</w:t>
      </w:r>
    </w:p>
    <w:p w14:paraId="50291485">
      <w:pPr>
        <w:spacing w:line="520" w:lineRule="exact"/>
        <w:ind w:firstLine="640" w:firstLineChars="200"/>
        <w:rPr>
          <w:rFonts w:eastAsia="仿宋_GB2312"/>
          <w:color w:val="000000"/>
          <w:kern w:val="0"/>
          <w:sz w:val="32"/>
          <w:szCs w:val="32"/>
          <w:highlight w:val="none"/>
        </w:rPr>
      </w:pPr>
      <w:r>
        <w:rPr>
          <w:rFonts w:eastAsia="仿宋_GB2312"/>
          <w:color w:val="000000"/>
          <w:kern w:val="0"/>
          <w:sz w:val="32"/>
          <w:szCs w:val="32"/>
          <w:highlight w:val="none"/>
        </w:rPr>
        <w:t>2.产品说明书还需结合产品特点明确以下内容：</w:t>
      </w:r>
    </w:p>
    <w:p w14:paraId="44CC9F20">
      <w:pPr>
        <w:spacing w:line="520" w:lineRule="exact"/>
        <w:ind w:firstLine="640" w:firstLineChars="200"/>
        <w:rPr>
          <w:rFonts w:eastAsia="仿宋_GB2312"/>
          <w:color w:val="000000"/>
          <w:kern w:val="0"/>
          <w:sz w:val="32"/>
          <w:szCs w:val="32"/>
          <w:highlight w:val="none"/>
        </w:rPr>
      </w:pPr>
      <w:r>
        <w:rPr>
          <w:rFonts w:eastAsia="仿宋_GB2312"/>
          <w:color w:val="000000"/>
          <w:kern w:val="0"/>
          <w:sz w:val="32"/>
          <w:szCs w:val="32"/>
          <w:highlight w:val="none"/>
        </w:rPr>
        <w:t>2.1设备的注意事项及警告信息。</w:t>
      </w:r>
    </w:p>
    <w:p w14:paraId="4F5A5290">
      <w:pPr>
        <w:spacing w:line="520" w:lineRule="exact"/>
        <w:ind w:firstLine="640" w:firstLineChars="200"/>
        <w:rPr>
          <w:rFonts w:eastAsia="仿宋_GB2312"/>
          <w:color w:val="000000"/>
          <w:kern w:val="0"/>
          <w:sz w:val="32"/>
          <w:szCs w:val="32"/>
          <w:highlight w:val="none"/>
        </w:rPr>
      </w:pPr>
      <w:r>
        <w:rPr>
          <w:rFonts w:eastAsia="仿宋_GB2312"/>
          <w:color w:val="000000"/>
          <w:kern w:val="0"/>
          <w:sz w:val="32"/>
          <w:szCs w:val="32"/>
          <w:highlight w:val="none"/>
        </w:rPr>
        <w:t>2.2</w:t>
      </w:r>
      <w:r>
        <w:rPr>
          <w:rFonts w:eastAsia="仿宋_GB2312"/>
          <w:bCs/>
          <w:color w:val="000000"/>
          <w:sz w:val="32"/>
          <w:szCs w:val="32"/>
          <w:highlight w:val="none"/>
        </w:rPr>
        <w:t>操作者应当</w:t>
      </w:r>
      <w:r>
        <w:rPr>
          <w:rFonts w:hint="eastAsia" w:eastAsia="仿宋_GB2312"/>
          <w:bCs/>
          <w:color w:val="000000"/>
          <w:sz w:val="32"/>
          <w:szCs w:val="32"/>
          <w:highlight w:val="none"/>
        </w:rPr>
        <w:t>具备</w:t>
      </w:r>
      <w:r>
        <w:rPr>
          <w:rFonts w:eastAsia="仿宋_GB2312"/>
          <w:bCs/>
          <w:color w:val="000000"/>
          <w:sz w:val="32"/>
          <w:szCs w:val="32"/>
          <w:highlight w:val="none"/>
        </w:rPr>
        <w:t>相关专业资质</w:t>
      </w:r>
      <w:r>
        <w:rPr>
          <w:rFonts w:eastAsia="仿宋_GB2312"/>
          <w:color w:val="000000"/>
          <w:kern w:val="0"/>
          <w:sz w:val="32"/>
          <w:szCs w:val="32"/>
          <w:highlight w:val="none"/>
        </w:rPr>
        <w:t>，并在使用前请务必详细阅读使用说明书。</w:t>
      </w:r>
    </w:p>
    <w:p w14:paraId="4229A34D">
      <w:pPr>
        <w:pStyle w:val="11"/>
        <w:ind w:firstLine="640" w:firstLineChars="200"/>
        <w:rPr>
          <w:rFonts w:eastAsia="仿宋_GB2312"/>
          <w:sz w:val="32"/>
          <w:szCs w:val="22"/>
          <w:highlight w:val="none"/>
        </w:rPr>
      </w:pPr>
      <w:r>
        <w:rPr>
          <w:rFonts w:eastAsia="仿宋_GB2312"/>
          <w:color w:val="000000"/>
          <w:sz w:val="32"/>
          <w:szCs w:val="32"/>
          <w:highlight w:val="none"/>
        </w:rPr>
        <w:t>2.3设备电磁兼容的相关信息。应给出设备电磁兼容信息的相关说明及工作环境。</w:t>
      </w:r>
    </w:p>
    <w:p w14:paraId="4066FF3D">
      <w:pPr>
        <w:numPr>
          <w:ilvl w:val="0"/>
          <w:numId w:val="1"/>
        </w:numPr>
        <w:spacing w:line="480" w:lineRule="exact"/>
        <w:ind w:right="-67" w:rightChars="-32" w:firstLine="640" w:firstLineChars="200"/>
        <w:rPr>
          <w:rFonts w:eastAsia="楷体_GB2312"/>
          <w:sz w:val="32"/>
          <w:szCs w:val="32"/>
          <w:highlight w:val="none"/>
        </w:rPr>
      </w:pPr>
      <w:r>
        <w:rPr>
          <w:rFonts w:hint="eastAsia" w:eastAsia="楷体_GB2312"/>
          <w:sz w:val="32"/>
          <w:szCs w:val="32"/>
          <w:highlight w:val="none"/>
        </w:rPr>
        <w:t>质量管理体系文件</w:t>
      </w:r>
    </w:p>
    <w:p w14:paraId="268D9263">
      <w:pPr>
        <w:spacing w:line="480" w:lineRule="exact"/>
        <w:ind w:right="-67" w:rightChars="-32" w:firstLine="640" w:firstLineChars="200"/>
        <w:rPr>
          <w:rFonts w:eastAsia="仿宋_GB2312"/>
          <w:sz w:val="32"/>
          <w:szCs w:val="32"/>
          <w:highlight w:val="none"/>
        </w:rPr>
      </w:pPr>
      <w:r>
        <w:rPr>
          <w:rFonts w:hint="eastAsia" w:eastAsia="仿宋_GB2312"/>
          <w:sz w:val="32"/>
          <w:szCs w:val="32"/>
          <w:highlight w:val="none"/>
        </w:rPr>
        <w:t>1.生产工艺过程及过程控制点</w:t>
      </w:r>
    </w:p>
    <w:p w14:paraId="71114E2A">
      <w:pPr>
        <w:spacing w:line="480" w:lineRule="exact"/>
        <w:ind w:right="-67" w:rightChars="-32" w:firstLine="640" w:firstLineChars="200"/>
        <w:rPr>
          <w:rFonts w:eastAsia="仿宋_GB2312"/>
          <w:sz w:val="32"/>
          <w:szCs w:val="32"/>
          <w:highlight w:val="none"/>
        </w:rPr>
      </w:pPr>
      <w:r>
        <w:rPr>
          <w:rFonts w:hint="eastAsia" w:eastAsia="仿宋_GB2312"/>
          <w:sz w:val="32"/>
          <w:szCs w:val="32"/>
          <w:highlight w:val="none"/>
        </w:rPr>
        <w:t>应当根据图像扫描仪器的实际情况，可以流程图的形式对生产工艺过程进行详细描述，明确产品生产的工艺过程，以及各关键工艺的控制点。注明关键工艺和特殊过程，说明过程控制点及控制标准。</w:t>
      </w:r>
    </w:p>
    <w:p w14:paraId="1380230D">
      <w:pPr>
        <w:spacing w:line="480" w:lineRule="exact"/>
        <w:ind w:right="-67" w:rightChars="-32" w:firstLine="640" w:firstLineChars="200"/>
        <w:rPr>
          <w:rFonts w:eastAsia="仿宋_GB2312"/>
          <w:sz w:val="32"/>
          <w:szCs w:val="32"/>
          <w:highlight w:val="none"/>
        </w:rPr>
      </w:pPr>
      <w:r>
        <w:rPr>
          <w:rFonts w:hint="eastAsia" w:eastAsia="仿宋_GB2312"/>
          <w:sz w:val="32"/>
          <w:szCs w:val="32"/>
          <w:highlight w:val="none"/>
        </w:rPr>
        <w:t>2.研发和生产场地</w:t>
      </w:r>
    </w:p>
    <w:p w14:paraId="25EF5D8C">
      <w:pPr>
        <w:spacing w:line="480" w:lineRule="exact"/>
        <w:ind w:right="-67" w:rightChars="-32" w:firstLine="640" w:firstLineChars="200"/>
        <w:rPr>
          <w:rFonts w:eastAsia="仿宋_GB2312"/>
          <w:sz w:val="32"/>
          <w:szCs w:val="32"/>
          <w:highlight w:val="none"/>
        </w:rPr>
      </w:pPr>
      <w:r>
        <w:rPr>
          <w:rFonts w:hint="eastAsia" w:eastAsia="仿宋_GB2312"/>
          <w:sz w:val="32"/>
          <w:szCs w:val="32"/>
          <w:highlight w:val="none"/>
        </w:rPr>
        <w:t>注册申请人应当对与图像扫描仪器有关的研制场地和生产场地情况进行概述，如地址、位置、面积、生产环境条件、生产设备、工艺装备、监视和测量装置、人员等。</w:t>
      </w:r>
    </w:p>
    <w:p w14:paraId="4FCFFA21">
      <w:pPr>
        <w:overflowPunct w:val="0"/>
        <w:autoSpaceDE w:val="0"/>
        <w:autoSpaceDN w:val="0"/>
        <w:spacing w:line="520" w:lineRule="exact"/>
        <w:ind w:firstLine="567"/>
        <w:outlineLvl w:val="0"/>
        <w:rPr>
          <w:rFonts w:eastAsia="黑体" w:cs="仿宋_GB2312"/>
          <w:snapToGrid w:val="0"/>
          <w:kern w:val="0"/>
          <w:sz w:val="32"/>
          <w:szCs w:val="32"/>
          <w:highlight w:val="none"/>
        </w:rPr>
      </w:pPr>
      <w:r>
        <w:rPr>
          <w:rFonts w:hint="eastAsia" w:eastAsia="黑体" w:cs="仿宋_GB2312"/>
          <w:snapToGrid w:val="0"/>
          <w:kern w:val="0"/>
          <w:sz w:val="32"/>
          <w:szCs w:val="32"/>
          <w:highlight w:val="none"/>
        </w:rPr>
        <w:t>三</w:t>
      </w:r>
      <w:r>
        <w:rPr>
          <w:rFonts w:eastAsia="黑体" w:cs="仿宋_GB2312"/>
          <w:snapToGrid w:val="0"/>
          <w:kern w:val="0"/>
          <w:sz w:val="32"/>
          <w:szCs w:val="32"/>
          <w:highlight w:val="none"/>
        </w:rPr>
        <w:t>、参考文献</w:t>
      </w:r>
    </w:p>
    <w:p w14:paraId="4B07BB52">
      <w:pPr>
        <w:spacing w:line="520" w:lineRule="exact"/>
        <w:ind w:right="-67" w:rightChars="-32" w:firstLine="640" w:firstLineChars="200"/>
        <w:rPr>
          <w:rFonts w:eastAsia="仿宋_GB2312"/>
          <w:sz w:val="32"/>
          <w:szCs w:val="32"/>
          <w:highlight w:val="none"/>
        </w:rPr>
      </w:pPr>
      <w:r>
        <w:rPr>
          <w:rFonts w:eastAsia="仿宋_GB2312"/>
          <w:sz w:val="32"/>
          <w:szCs w:val="32"/>
          <w:highlight w:val="none"/>
        </w:rPr>
        <w:t>[1]</w:t>
      </w:r>
      <w:r>
        <w:rPr>
          <w:rFonts w:hint="eastAsia" w:eastAsia="仿宋_GB2312"/>
          <w:sz w:val="32"/>
          <w:szCs w:val="32"/>
          <w:highlight w:val="none"/>
        </w:rPr>
        <w:t>中华人民共和国国务院</w:t>
      </w:r>
      <w:r>
        <w:rPr>
          <w:rFonts w:eastAsia="仿宋_GB2312"/>
          <w:sz w:val="32"/>
          <w:szCs w:val="32"/>
          <w:highlight w:val="none"/>
        </w:rPr>
        <w:t>.</w:t>
      </w:r>
      <w:r>
        <w:rPr>
          <w:rFonts w:hint="eastAsia" w:eastAsia="仿宋_GB2312"/>
          <w:sz w:val="32"/>
          <w:szCs w:val="32"/>
          <w:highlight w:val="none"/>
        </w:rPr>
        <w:t>医疗器械监督管理条例</w:t>
      </w:r>
      <w:r>
        <w:rPr>
          <w:rFonts w:eastAsia="仿宋_GB2312"/>
          <w:sz w:val="32"/>
          <w:szCs w:val="32"/>
          <w:highlight w:val="none"/>
        </w:rPr>
        <w:t>:</w:t>
      </w:r>
      <w:r>
        <w:rPr>
          <w:rFonts w:hint="eastAsia" w:eastAsia="仿宋_GB2312"/>
          <w:sz w:val="32"/>
          <w:szCs w:val="32"/>
          <w:highlight w:val="none"/>
        </w:rPr>
        <w:t>中华人民共和国国务院令第</w:t>
      </w:r>
      <w:r>
        <w:rPr>
          <w:rFonts w:eastAsia="仿宋_GB2312"/>
          <w:sz w:val="32"/>
          <w:szCs w:val="32"/>
          <w:highlight w:val="none"/>
        </w:rPr>
        <w:t>739</w:t>
      </w:r>
      <w:r>
        <w:rPr>
          <w:rFonts w:hint="eastAsia" w:eastAsia="仿宋_GB2312"/>
          <w:sz w:val="32"/>
          <w:szCs w:val="32"/>
          <w:highlight w:val="none"/>
        </w:rPr>
        <w:t>号</w:t>
      </w:r>
      <w:r>
        <w:rPr>
          <w:rFonts w:eastAsia="仿宋_GB2312"/>
          <w:sz w:val="32"/>
          <w:szCs w:val="32"/>
          <w:highlight w:val="none"/>
        </w:rPr>
        <w:t>[Z].</w:t>
      </w:r>
    </w:p>
    <w:p w14:paraId="78A4AE94">
      <w:pPr>
        <w:spacing w:line="520" w:lineRule="exact"/>
        <w:ind w:right="-67" w:rightChars="-32" w:firstLine="640" w:firstLineChars="200"/>
        <w:rPr>
          <w:rFonts w:eastAsia="仿宋_GB2312"/>
          <w:sz w:val="32"/>
          <w:szCs w:val="32"/>
          <w:highlight w:val="none"/>
        </w:rPr>
      </w:pPr>
      <w:r>
        <w:rPr>
          <w:rFonts w:eastAsia="仿宋_GB2312"/>
          <w:sz w:val="32"/>
          <w:szCs w:val="32"/>
          <w:highlight w:val="none"/>
        </w:rPr>
        <w:t>[2]</w:t>
      </w:r>
      <w:r>
        <w:rPr>
          <w:rFonts w:hint="eastAsia" w:eastAsia="仿宋_GB2312"/>
          <w:sz w:val="32"/>
          <w:szCs w:val="32"/>
          <w:highlight w:val="none"/>
        </w:rPr>
        <w:t>国家市场监督管理总局</w:t>
      </w:r>
      <w:r>
        <w:rPr>
          <w:rFonts w:eastAsia="仿宋_GB2312"/>
          <w:sz w:val="32"/>
          <w:szCs w:val="32"/>
          <w:highlight w:val="none"/>
        </w:rPr>
        <w:t>.</w:t>
      </w:r>
      <w:r>
        <w:rPr>
          <w:rFonts w:hint="eastAsia" w:eastAsia="仿宋_GB2312"/>
          <w:sz w:val="32"/>
          <w:szCs w:val="32"/>
          <w:highlight w:val="none"/>
        </w:rPr>
        <w:t>医疗器械注册与备案管理办法</w:t>
      </w:r>
      <w:r>
        <w:rPr>
          <w:rFonts w:eastAsia="仿宋_GB2312"/>
          <w:sz w:val="32"/>
          <w:szCs w:val="32"/>
          <w:highlight w:val="none"/>
        </w:rPr>
        <w:t>:</w:t>
      </w:r>
      <w:r>
        <w:rPr>
          <w:rFonts w:hint="eastAsia" w:eastAsia="仿宋_GB2312"/>
          <w:sz w:val="32"/>
          <w:szCs w:val="32"/>
          <w:highlight w:val="none"/>
        </w:rPr>
        <w:t>国家市场监督管理总局令第</w:t>
      </w:r>
      <w:r>
        <w:rPr>
          <w:rFonts w:eastAsia="仿宋_GB2312"/>
          <w:sz w:val="32"/>
          <w:szCs w:val="32"/>
          <w:highlight w:val="none"/>
        </w:rPr>
        <w:t>47</w:t>
      </w:r>
      <w:r>
        <w:rPr>
          <w:rFonts w:hint="eastAsia" w:eastAsia="仿宋_GB2312"/>
          <w:sz w:val="32"/>
          <w:szCs w:val="32"/>
          <w:highlight w:val="none"/>
        </w:rPr>
        <w:t>号</w:t>
      </w:r>
      <w:r>
        <w:rPr>
          <w:rFonts w:eastAsia="仿宋_GB2312"/>
          <w:sz w:val="32"/>
          <w:szCs w:val="32"/>
          <w:highlight w:val="none"/>
        </w:rPr>
        <w:t>[Z].</w:t>
      </w:r>
    </w:p>
    <w:p w14:paraId="7A836C52">
      <w:pPr>
        <w:spacing w:line="520" w:lineRule="exact"/>
        <w:ind w:right="-67" w:rightChars="-32" w:firstLine="640" w:firstLineChars="200"/>
        <w:rPr>
          <w:rFonts w:eastAsia="仿宋_GB2312"/>
          <w:sz w:val="32"/>
          <w:szCs w:val="32"/>
          <w:highlight w:val="none"/>
        </w:rPr>
      </w:pPr>
      <w:r>
        <w:rPr>
          <w:rFonts w:eastAsia="仿宋_GB2312"/>
          <w:sz w:val="32"/>
          <w:szCs w:val="32"/>
          <w:highlight w:val="none"/>
        </w:rPr>
        <w:t>[3]</w:t>
      </w:r>
      <w:r>
        <w:rPr>
          <w:rFonts w:hint="eastAsia" w:eastAsia="仿宋_GB2312"/>
          <w:sz w:val="32"/>
          <w:szCs w:val="32"/>
          <w:highlight w:val="none"/>
        </w:rPr>
        <w:t>国家食品药品监督管理局</w:t>
      </w:r>
      <w:r>
        <w:rPr>
          <w:rFonts w:eastAsia="仿宋_GB2312"/>
          <w:sz w:val="32"/>
          <w:szCs w:val="32"/>
          <w:highlight w:val="none"/>
        </w:rPr>
        <w:t>.</w:t>
      </w:r>
      <w:r>
        <w:rPr>
          <w:rFonts w:hint="eastAsia" w:eastAsia="仿宋_GB2312"/>
          <w:sz w:val="32"/>
          <w:szCs w:val="32"/>
          <w:highlight w:val="none"/>
        </w:rPr>
        <w:t>医疗器械说明书和标签管理规定</w:t>
      </w:r>
      <w:r>
        <w:rPr>
          <w:rFonts w:eastAsia="仿宋_GB2312"/>
          <w:sz w:val="32"/>
          <w:szCs w:val="32"/>
          <w:highlight w:val="none"/>
        </w:rPr>
        <w:t>:</w:t>
      </w:r>
      <w:r>
        <w:rPr>
          <w:rFonts w:hint="eastAsia" w:eastAsia="仿宋_GB2312"/>
          <w:sz w:val="32"/>
          <w:szCs w:val="32"/>
          <w:highlight w:val="none"/>
        </w:rPr>
        <w:t>国家食品药品监督管理总局令第</w:t>
      </w:r>
      <w:r>
        <w:rPr>
          <w:rFonts w:eastAsia="仿宋_GB2312"/>
          <w:sz w:val="32"/>
          <w:szCs w:val="32"/>
          <w:highlight w:val="none"/>
        </w:rPr>
        <w:t>6</w:t>
      </w:r>
      <w:r>
        <w:rPr>
          <w:rFonts w:hint="eastAsia" w:eastAsia="仿宋_GB2312"/>
          <w:sz w:val="32"/>
          <w:szCs w:val="32"/>
          <w:highlight w:val="none"/>
        </w:rPr>
        <w:t>号</w:t>
      </w:r>
      <w:r>
        <w:rPr>
          <w:rFonts w:eastAsia="仿宋_GB2312"/>
          <w:sz w:val="32"/>
          <w:szCs w:val="32"/>
          <w:highlight w:val="none"/>
        </w:rPr>
        <w:t>[Z].</w:t>
      </w:r>
    </w:p>
    <w:p w14:paraId="5749937E">
      <w:pPr>
        <w:spacing w:line="520" w:lineRule="exact"/>
        <w:ind w:firstLine="640" w:firstLineChars="200"/>
        <w:rPr>
          <w:rFonts w:eastAsia="仿宋_GB2312"/>
          <w:sz w:val="32"/>
          <w:szCs w:val="32"/>
          <w:highlight w:val="none"/>
        </w:rPr>
      </w:pPr>
      <w:r>
        <w:rPr>
          <w:rFonts w:eastAsia="仿宋_GB2312"/>
          <w:sz w:val="32"/>
          <w:szCs w:val="32"/>
          <w:highlight w:val="none"/>
        </w:rPr>
        <w:t>[4]</w:t>
      </w:r>
      <w:r>
        <w:rPr>
          <w:rFonts w:hint="eastAsia" w:eastAsia="仿宋_GB2312"/>
          <w:sz w:val="32"/>
          <w:szCs w:val="32"/>
          <w:highlight w:val="none"/>
        </w:rPr>
        <w:t>国家食品药品监督管理局</w:t>
      </w:r>
      <w:r>
        <w:rPr>
          <w:rFonts w:eastAsia="仿宋_GB2312"/>
          <w:sz w:val="32"/>
          <w:szCs w:val="32"/>
          <w:highlight w:val="none"/>
        </w:rPr>
        <w:t>.</w:t>
      </w:r>
      <w:r>
        <w:rPr>
          <w:rFonts w:hint="eastAsia" w:eastAsia="仿宋_GB2312"/>
          <w:sz w:val="32"/>
          <w:szCs w:val="32"/>
          <w:highlight w:val="none"/>
        </w:rPr>
        <w:t>医疗器械分类规则</w:t>
      </w:r>
      <w:r>
        <w:rPr>
          <w:rFonts w:eastAsia="仿宋_GB2312"/>
          <w:sz w:val="32"/>
          <w:szCs w:val="32"/>
          <w:highlight w:val="none"/>
        </w:rPr>
        <w:t>:</w:t>
      </w:r>
      <w:r>
        <w:rPr>
          <w:rFonts w:hint="eastAsia" w:eastAsia="仿宋_GB2312"/>
          <w:sz w:val="32"/>
          <w:szCs w:val="32"/>
          <w:highlight w:val="none"/>
        </w:rPr>
        <w:t>国家食品药品监督管理总局令第</w:t>
      </w:r>
      <w:r>
        <w:rPr>
          <w:rFonts w:eastAsia="仿宋_GB2312"/>
          <w:sz w:val="32"/>
          <w:szCs w:val="32"/>
          <w:highlight w:val="none"/>
        </w:rPr>
        <w:t>15</w:t>
      </w:r>
      <w:r>
        <w:rPr>
          <w:rFonts w:hint="eastAsia" w:eastAsia="仿宋_GB2312"/>
          <w:sz w:val="32"/>
          <w:szCs w:val="32"/>
          <w:highlight w:val="none"/>
        </w:rPr>
        <w:t>号</w:t>
      </w:r>
      <w:r>
        <w:rPr>
          <w:rFonts w:eastAsia="仿宋_GB2312"/>
          <w:sz w:val="32"/>
          <w:szCs w:val="32"/>
          <w:highlight w:val="none"/>
        </w:rPr>
        <w:t>[Z].</w:t>
      </w:r>
    </w:p>
    <w:p w14:paraId="3EE16E91">
      <w:pPr>
        <w:spacing w:line="520" w:lineRule="exact"/>
        <w:ind w:right="-67" w:rightChars="-32" w:firstLine="640" w:firstLineChars="200"/>
        <w:rPr>
          <w:rFonts w:eastAsia="仿宋_GB2312"/>
          <w:sz w:val="32"/>
          <w:szCs w:val="32"/>
          <w:highlight w:val="none"/>
        </w:rPr>
      </w:pPr>
      <w:r>
        <w:rPr>
          <w:rFonts w:eastAsia="仿宋_GB2312"/>
          <w:sz w:val="32"/>
          <w:szCs w:val="32"/>
          <w:highlight w:val="none"/>
        </w:rPr>
        <w:t>[5]</w:t>
      </w:r>
      <w:r>
        <w:rPr>
          <w:rFonts w:hint="eastAsia" w:eastAsia="仿宋_GB2312"/>
          <w:sz w:val="32"/>
          <w:szCs w:val="28"/>
          <w:highlight w:val="none"/>
        </w:rPr>
        <w:t>国家食品药品监督管理局</w:t>
      </w:r>
      <w:r>
        <w:rPr>
          <w:rFonts w:eastAsia="仿宋_GB2312"/>
          <w:sz w:val="32"/>
          <w:szCs w:val="32"/>
          <w:highlight w:val="none"/>
        </w:rPr>
        <w:t>.</w:t>
      </w:r>
      <w:r>
        <w:rPr>
          <w:rFonts w:hint="eastAsia" w:eastAsia="仿宋_GB2312"/>
          <w:sz w:val="32"/>
          <w:szCs w:val="32"/>
          <w:highlight w:val="none"/>
        </w:rPr>
        <w:t>医疗器械通用名称命名规则</w:t>
      </w:r>
      <w:r>
        <w:rPr>
          <w:rFonts w:eastAsia="仿宋_GB2312"/>
          <w:sz w:val="32"/>
          <w:szCs w:val="32"/>
          <w:highlight w:val="none"/>
        </w:rPr>
        <w:t>:</w:t>
      </w:r>
      <w:r>
        <w:rPr>
          <w:rFonts w:hint="eastAsia" w:eastAsia="仿宋_GB2312"/>
          <w:sz w:val="32"/>
          <w:szCs w:val="28"/>
          <w:highlight w:val="none"/>
        </w:rPr>
        <w:t>国家食品药品监督管理总局令第</w:t>
      </w:r>
      <w:r>
        <w:rPr>
          <w:rFonts w:eastAsia="仿宋_GB2312"/>
          <w:sz w:val="32"/>
          <w:szCs w:val="28"/>
          <w:highlight w:val="none"/>
        </w:rPr>
        <w:t>19</w:t>
      </w:r>
      <w:r>
        <w:rPr>
          <w:rFonts w:hint="eastAsia" w:eastAsia="仿宋_GB2312"/>
          <w:sz w:val="32"/>
          <w:szCs w:val="28"/>
          <w:highlight w:val="none"/>
        </w:rPr>
        <w:t>号</w:t>
      </w:r>
      <w:r>
        <w:rPr>
          <w:rFonts w:eastAsia="仿宋_GB2312"/>
          <w:sz w:val="32"/>
          <w:szCs w:val="32"/>
          <w:highlight w:val="none"/>
        </w:rPr>
        <w:t>[Z].</w:t>
      </w:r>
    </w:p>
    <w:p w14:paraId="71951FAC">
      <w:pPr>
        <w:spacing w:line="520" w:lineRule="exact"/>
        <w:ind w:right="-67" w:rightChars="-32"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6</w:t>
      </w:r>
      <w:r>
        <w:rPr>
          <w:rFonts w:eastAsia="仿宋_GB2312"/>
          <w:sz w:val="32"/>
          <w:szCs w:val="32"/>
          <w:highlight w:val="none"/>
        </w:rPr>
        <w:t>]</w:t>
      </w:r>
      <w:r>
        <w:rPr>
          <w:rFonts w:hint="eastAsia" w:eastAsia="仿宋_GB2312"/>
          <w:sz w:val="32"/>
          <w:szCs w:val="32"/>
          <w:highlight w:val="none"/>
        </w:rPr>
        <w:t>国家药品监督管理局</w:t>
      </w:r>
      <w:r>
        <w:rPr>
          <w:rFonts w:eastAsia="仿宋_GB2312"/>
          <w:sz w:val="32"/>
          <w:szCs w:val="32"/>
          <w:highlight w:val="none"/>
        </w:rPr>
        <w:t>.</w:t>
      </w:r>
      <w:r>
        <w:rPr>
          <w:rFonts w:hint="eastAsia" w:eastAsia="仿宋_GB2312"/>
          <w:sz w:val="32"/>
          <w:szCs w:val="32"/>
          <w:highlight w:val="none"/>
        </w:rPr>
        <w:t>医疗器械通用名称命名指导原则</w:t>
      </w:r>
      <w:r>
        <w:rPr>
          <w:rFonts w:eastAsia="仿宋_GB2312"/>
          <w:sz w:val="32"/>
          <w:szCs w:val="32"/>
          <w:highlight w:val="none"/>
        </w:rPr>
        <w:t>:</w:t>
      </w:r>
      <w:r>
        <w:rPr>
          <w:rFonts w:hint="eastAsia" w:eastAsia="仿宋_GB2312"/>
          <w:sz w:val="32"/>
          <w:szCs w:val="32"/>
          <w:highlight w:val="none"/>
        </w:rPr>
        <w:t>国家药监局通告2019年 第99号</w:t>
      </w:r>
      <w:r>
        <w:rPr>
          <w:rFonts w:eastAsia="仿宋_GB2312"/>
          <w:sz w:val="32"/>
          <w:szCs w:val="32"/>
          <w:highlight w:val="none"/>
        </w:rPr>
        <w:t>[Z].</w:t>
      </w:r>
    </w:p>
    <w:p w14:paraId="1E8B380B">
      <w:pPr>
        <w:spacing w:line="520" w:lineRule="exact"/>
        <w:ind w:right="-67" w:rightChars="-32"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7</w:t>
      </w:r>
      <w:r>
        <w:rPr>
          <w:rFonts w:eastAsia="仿宋_GB2312"/>
          <w:sz w:val="32"/>
          <w:szCs w:val="32"/>
          <w:highlight w:val="none"/>
        </w:rPr>
        <w:t>]</w:t>
      </w:r>
      <w:r>
        <w:rPr>
          <w:rFonts w:hint="eastAsia" w:eastAsia="仿宋_GB2312"/>
          <w:sz w:val="32"/>
          <w:szCs w:val="32"/>
          <w:highlight w:val="none"/>
        </w:rPr>
        <w:t>国家食品药品监督管理局</w:t>
      </w:r>
      <w:r>
        <w:rPr>
          <w:rFonts w:eastAsia="仿宋_GB2312"/>
          <w:sz w:val="32"/>
          <w:szCs w:val="32"/>
          <w:highlight w:val="none"/>
        </w:rPr>
        <w:t>.</w:t>
      </w:r>
      <w:r>
        <w:rPr>
          <w:rFonts w:hint="eastAsia" w:eastAsia="仿宋_GB2312"/>
          <w:sz w:val="32"/>
          <w:szCs w:val="32"/>
          <w:highlight w:val="none"/>
        </w:rPr>
        <w:t>医疗器械分类目录</w:t>
      </w:r>
      <w:r>
        <w:rPr>
          <w:rFonts w:eastAsia="仿宋_GB2312"/>
          <w:sz w:val="32"/>
          <w:szCs w:val="32"/>
          <w:highlight w:val="none"/>
        </w:rPr>
        <w:t>:</w:t>
      </w:r>
      <w:r>
        <w:rPr>
          <w:rFonts w:hint="eastAsia" w:eastAsia="仿宋_GB2312"/>
          <w:sz w:val="32"/>
          <w:szCs w:val="32"/>
          <w:highlight w:val="none"/>
        </w:rPr>
        <w:t>国家食品药品监督管理总局公告</w:t>
      </w:r>
      <w:r>
        <w:rPr>
          <w:rFonts w:eastAsia="仿宋_GB2312"/>
          <w:sz w:val="32"/>
          <w:szCs w:val="32"/>
          <w:highlight w:val="none"/>
        </w:rPr>
        <w:t>2017</w:t>
      </w:r>
      <w:r>
        <w:rPr>
          <w:rFonts w:hint="eastAsia" w:eastAsia="仿宋_GB2312"/>
          <w:sz w:val="32"/>
          <w:szCs w:val="32"/>
          <w:highlight w:val="none"/>
        </w:rPr>
        <w:t>年第</w:t>
      </w:r>
      <w:r>
        <w:rPr>
          <w:rFonts w:eastAsia="仿宋_GB2312"/>
          <w:sz w:val="32"/>
          <w:szCs w:val="32"/>
          <w:highlight w:val="none"/>
        </w:rPr>
        <w:t>104</w:t>
      </w:r>
      <w:r>
        <w:rPr>
          <w:rFonts w:hint="eastAsia" w:eastAsia="仿宋_GB2312"/>
          <w:sz w:val="32"/>
          <w:szCs w:val="32"/>
          <w:highlight w:val="none"/>
        </w:rPr>
        <w:t>号</w:t>
      </w:r>
      <w:r>
        <w:rPr>
          <w:rFonts w:eastAsia="仿宋_GB2312"/>
          <w:sz w:val="32"/>
          <w:szCs w:val="32"/>
          <w:highlight w:val="none"/>
        </w:rPr>
        <w:t>[Z].</w:t>
      </w:r>
    </w:p>
    <w:p w14:paraId="22D96D2F">
      <w:pPr>
        <w:spacing w:line="520" w:lineRule="exact"/>
        <w:ind w:right="-67" w:rightChars="-32"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8</w:t>
      </w:r>
      <w:r>
        <w:rPr>
          <w:rFonts w:eastAsia="仿宋_GB2312"/>
          <w:sz w:val="32"/>
          <w:szCs w:val="32"/>
          <w:highlight w:val="none"/>
        </w:rPr>
        <w:t>]</w:t>
      </w:r>
      <w:r>
        <w:rPr>
          <w:rFonts w:hint="eastAsia" w:eastAsia="仿宋_GB2312"/>
          <w:sz w:val="32"/>
          <w:szCs w:val="32"/>
          <w:highlight w:val="none"/>
        </w:rPr>
        <w:t>国家药品监督管理局</w:t>
      </w:r>
      <w:r>
        <w:rPr>
          <w:rFonts w:eastAsia="仿宋_GB2312"/>
          <w:sz w:val="32"/>
          <w:szCs w:val="32"/>
          <w:highlight w:val="none"/>
        </w:rPr>
        <w:t>.</w:t>
      </w:r>
      <w:r>
        <w:rPr>
          <w:rFonts w:hint="eastAsia" w:eastAsia="仿宋_GB2312"/>
          <w:sz w:val="32"/>
          <w:szCs w:val="32"/>
          <w:highlight w:val="none"/>
        </w:rPr>
        <w:t>医疗器械注册申报资料要求及说明</w:t>
      </w:r>
      <w:r>
        <w:rPr>
          <w:rFonts w:eastAsia="仿宋_GB2312"/>
          <w:sz w:val="32"/>
          <w:szCs w:val="32"/>
          <w:highlight w:val="none"/>
        </w:rPr>
        <w:t>:</w:t>
      </w:r>
      <w:r>
        <w:rPr>
          <w:rFonts w:hint="eastAsia" w:eastAsia="仿宋_GB2312"/>
          <w:sz w:val="32"/>
          <w:szCs w:val="32"/>
          <w:highlight w:val="none"/>
        </w:rPr>
        <w:t>国家药监局公告</w:t>
      </w:r>
      <w:r>
        <w:rPr>
          <w:rFonts w:eastAsia="仿宋_GB2312"/>
          <w:sz w:val="32"/>
          <w:szCs w:val="32"/>
          <w:highlight w:val="none"/>
        </w:rPr>
        <w:t>2021</w:t>
      </w:r>
      <w:r>
        <w:rPr>
          <w:rFonts w:hint="eastAsia" w:eastAsia="仿宋_GB2312"/>
          <w:sz w:val="32"/>
          <w:szCs w:val="32"/>
          <w:highlight w:val="none"/>
        </w:rPr>
        <w:t>年第</w:t>
      </w:r>
      <w:r>
        <w:rPr>
          <w:rFonts w:eastAsia="仿宋_GB2312"/>
          <w:sz w:val="32"/>
          <w:szCs w:val="32"/>
          <w:highlight w:val="none"/>
        </w:rPr>
        <w:t>121</w:t>
      </w:r>
      <w:r>
        <w:rPr>
          <w:rFonts w:hint="eastAsia" w:eastAsia="仿宋_GB2312"/>
          <w:sz w:val="32"/>
          <w:szCs w:val="32"/>
          <w:highlight w:val="none"/>
        </w:rPr>
        <w:t>号</w:t>
      </w:r>
      <w:r>
        <w:rPr>
          <w:rFonts w:eastAsia="仿宋_GB2312"/>
          <w:sz w:val="32"/>
          <w:szCs w:val="32"/>
          <w:highlight w:val="none"/>
        </w:rPr>
        <w:t>[Z].</w:t>
      </w:r>
    </w:p>
    <w:p w14:paraId="72E0D164">
      <w:pPr>
        <w:spacing w:line="520" w:lineRule="exact"/>
        <w:ind w:right="-67" w:rightChars="-32"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9</w:t>
      </w:r>
      <w:r>
        <w:rPr>
          <w:rFonts w:eastAsia="仿宋_GB2312"/>
          <w:sz w:val="32"/>
          <w:szCs w:val="32"/>
          <w:highlight w:val="none"/>
        </w:rPr>
        <w:t>]</w:t>
      </w:r>
      <w:r>
        <w:rPr>
          <w:rFonts w:hint="eastAsia" w:eastAsia="仿宋_GB2312"/>
          <w:sz w:val="32"/>
          <w:szCs w:val="32"/>
          <w:highlight w:val="none"/>
        </w:rPr>
        <w:t>国家食品药品监督管理局</w:t>
      </w:r>
      <w:r>
        <w:rPr>
          <w:rFonts w:eastAsia="仿宋_GB2312"/>
          <w:sz w:val="32"/>
          <w:szCs w:val="32"/>
          <w:highlight w:val="none"/>
        </w:rPr>
        <w:t>.</w:t>
      </w:r>
      <w:r>
        <w:rPr>
          <w:rFonts w:hint="eastAsia" w:eastAsia="仿宋_GB2312"/>
          <w:sz w:val="32"/>
          <w:szCs w:val="32"/>
          <w:highlight w:val="none"/>
        </w:rPr>
        <w:t>医疗器械注册单元划分指导原则</w:t>
      </w:r>
      <w:r>
        <w:rPr>
          <w:rFonts w:eastAsia="仿宋_GB2312"/>
          <w:sz w:val="32"/>
          <w:szCs w:val="32"/>
          <w:highlight w:val="none"/>
        </w:rPr>
        <w:t>:</w:t>
      </w:r>
      <w:r>
        <w:rPr>
          <w:rFonts w:hint="eastAsia" w:eastAsia="仿宋_GB2312"/>
          <w:sz w:val="32"/>
          <w:szCs w:val="32"/>
          <w:highlight w:val="none"/>
        </w:rPr>
        <w:t>总局通告</w:t>
      </w:r>
      <w:r>
        <w:rPr>
          <w:rFonts w:eastAsia="仿宋_GB2312"/>
          <w:sz w:val="32"/>
          <w:szCs w:val="32"/>
          <w:highlight w:val="none"/>
        </w:rPr>
        <w:t>2017</w:t>
      </w:r>
      <w:r>
        <w:rPr>
          <w:rFonts w:hint="eastAsia" w:eastAsia="仿宋_GB2312"/>
          <w:sz w:val="32"/>
          <w:szCs w:val="32"/>
          <w:highlight w:val="none"/>
        </w:rPr>
        <w:t>年第</w:t>
      </w:r>
      <w:r>
        <w:rPr>
          <w:rFonts w:eastAsia="仿宋_GB2312"/>
          <w:sz w:val="32"/>
          <w:szCs w:val="32"/>
          <w:highlight w:val="none"/>
        </w:rPr>
        <w:t>187</w:t>
      </w:r>
      <w:r>
        <w:rPr>
          <w:rFonts w:hint="eastAsia" w:eastAsia="仿宋_GB2312"/>
          <w:sz w:val="32"/>
          <w:szCs w:val="32"/>
          <w:highlight w:val="none"/>
        </w:rPr>
        <w:t>号</w:t>
      </w:r>
      <w:r>
        <w:rPr>
          <w:rFonts w:eastAsia="仿宋_GB2312"/>
          <w:sz w:val="32"/>
          <w:szCs w:val="32"/>
          <w:highlight w:val="none"/>
        </w:rPr>
        <w:t>[Z].</w:t>
      </w:r>
    </w:p>
    <w:p w14:paraId="15938479">
      <w:pPr>
        <w:spacing w:line="52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10</w:t>
      </w:r>
      <w:r>
        <w:rPr>
          <w:rFonts w:eastAsia="仿宋_GB2312"/>
          <w:sz w:val="32"/>
          <w:szCs w:val="32"/>
          <w:highlight w:val="none"/>
        </w:rPr>
        <w:t>]</w:t>
      </w:r>
      <w:r>
        <w:rPr>
          <w:rFonts w:hint="eastAsia" w:eastAsia="仿宋_GB2312"/>
          <w:sz w:val="32"/>
          <w:szCs w:val="32"/>
          <w:highlight w:val="none"/>
        </w:rPr>
        <w:t>国家药品监督管理局</w:t>
      </w:r>
      <w:r>
        <w:rPr>
          <w:rFonts w:eastAsia="仿宋_GB2312"/>
          <w:sz w:val="32"/>
          <w:szCs w:val="32"/>
          <w:highlight w:val="none"/>
        </w:rPr>
        <w:t>.</w:t>
      </w:r>
      <w:r>
        <w:rPr>
          <w:rFonts w:hint="eastAsia" w:eastAsia="仿宋_GB2312"/>
          <w:sz w:val="32"/>
          <w:szCs w:val="32"/>
          <w:highlight w:val="none"/>
        </w:rPr>
        <w:t>有源医疗器械使用期限注册技术审查指导原则</w:t>
      </w:r>
      <w:r>
        <w:rPr>
          <w:rFonts w:eastAsia="仿宋_GB2312"/>
          <w:sz w:val="32"/>
          <w:szCs w:val="32"/>
          <w:highlight w:val="none"/>
        </w:rPr>
        <w:t>:</w:t>
      </w:r>
      <w:r>
        <w:rPr>
          <w:rFonts w:hint="eastAsia" w:eastAsia="仿宋_GB2312"/>
          <w:sz w:val="32"/>
          <w:szCs w:val="32"/>
          <w:highlight w:val="none"/>
        </w:rPr>
        <w:t>国家药品监督管理局通告</w:t>
      </w:r>
      <w:r>
        <w:rPr>
          <w:rFonts w:eastAsia="仿宋_GB2312"/>
          <w:sz w:val="32"/>
          <w:szCs w:val="32"/>
          <w:highlight w:val="none"/>
        </w:rPr>
        <w:t>2019</w:t>
      </w:r>
      <w:r>
        <w:rPr>
          <w:rFonts w:hint="eastAsia" w:eastAsia="仿宋_GB2312"/>
          <w:sz w:val="32"/>
          <w:szCs w:val="32"/>
          <w:highlight w:val="none"/>
        </w:rPr>
        <w:t>年第</w:t>
      </w:r>
      <w:r>
        <w:rPr>
          <w:rFonts w:eastAsia="仿宋_GB2312"/>
          <w:sz w:val="32"/>
          <w:szCs w:val="32"/>
          <w:highlight w:val="none"/>
        </w:rPr>
        <w:t>23</w:t>
      </w:r>
      <w:r>
        <w:rPr>
          <w:rFonts w:hint="eastAsia" w:eastAsia="仿宋_GB2312"/>
          <w:sz w:val="32"/>
          <w:szCs w:val="32"/>
          <w:highlight w:val="none"/>
        </w:rPr>
        <w:t>号</w:t>
      </w:r>
      <w:r>
        <w:rPr>
          <w:rFonts w:eastAsia="仿宋_GB2312"/>
          <w:sz w:val="32"/>
          <w:szCs w:val="32"/>
          <w:highlight w:val="none"/>
        </w:rPr>
        <w:t>[Z].</w:t>
      </w:r>
    </w:p>
    <w:p w14:paraId="248DBADF">
      <w:pPr>
        <w:spacing w:line="52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11</w:t>
      </w:r>
      <w:r>
        <w:rPr>
          <w:rFonts w:eastAsia="仿宋_GB2312"/>
          <w:sz w:val="32"/>
          <w:szCs w:val="32"/>
          <w:highlight w:val="none"/>
        </w:rPr>
        <w:t>]</w:t>
      </w:r>
      <w:r>
        <w:rPr>
          <w:rFonts w:hint="eastAsia" w:eastAsia="仿宋_GB2312"/>
          <w:kern w:val="0"/>
          <w:sz w:val="32"/>
          <w:szCs w:val="32"/>
          <w:highlight w:val="none"/>
        </w:rPr>
        <w:t>国家药品监督管理局医疗器械审评中心</w:t>
      </w:r>
      <w:r>
        <w:rPr>
          <w:rFonts w:eastAsia="仿宋_GB2312"/>
          <w:kern w:val="0"/>
          <w:sz w:val="32"/>
          <w:szCs w:val="32"/>
          <w:highlight w:val="none"/>
        </w:rPr>
        <w:t>.</w:t>
      </w:r>
      <w:r>
        <w:rPr>
          <w:rFonts w:hint="eastAsia" w:eastAsia="仿宋_GB2312"/>
          <w:kern w:val="0"/>
          <w:sz w:val="32"/>
          <w:szCs w:val="32"/>
          <w:highlight w:val="none"/>
        </w:rPr>
        <w:t>医疗器械软件注册审查指导原则</w:t>
      </w:r>
      <w:r>
        <w:rPr>
          <w:rFonts w:eastAsia="仿宋_GB2312"/>
          <w:kern w:val="0"/>
          <w:sz w:val="32"/>
          <w:szCs w:val="32"/>
          <w:highlight w:val="none"/>
        </w:rPr>
        <w:t>(2022</w:t>
      </w:r>
      <w:r>
        <w:rPr>
          <w:rFonts w:hint="eastAsia" w:eastAsia="仿宋_GB2312"/>
          <w:kern w:val="0"/>
          <w:sz w:val="32"/>
          <w:szCs w:val="32"/>
          <w:highlight w:val="none"/>
        </w:rPr>
        <w:t>年修订版</w:t>
      </w:r>
      <w:r>
        <w:rPr>
          <w:rFonts w:eastAsia="仿宋_GB2312"/>
          <w:kern w:val="0"/>
          <w:sz w:val="32"/>
          <w:szCs w:val="32"/>
          <w:highlight w:val="none"/>
        </w:rPr>
        <w:t>):</w:t>
      </w:r>
      <w:r>
        <w:rPr>
          <w:rFonts w:hint="eastAsia" w:eastAsia="仿宋_GB2312"/>
          <w:kern w:val="0"/>
          <w:sz w:val="32"/>
          <w:szCs w:val="32"/>
          <w:highlight w:val="none"/>
        </w:rPr>
        <w:t>国家药监局器审中心通告</w:t>
      </w:r>
      <w:r>
        <w:rPr>
          <w:rFonts w:eastAsia="仿宋_GB2312"/>
          <w:kern w:val="0"/>
          <w:sz w:val="32"/>
          <w:szCs w:val="32"/>
          <w:highlight w:val="none"/>
        </w:rPr>
        <w:t>2022</w:t>
      </w:r>
      <w:r>
        <w:rPr>
          <w:rFonts w:hint="eastAsia" w:eastAsia="仿宋_GB2312"/>
          <w:kern w:val="0"/>
          <w:sz w:val="32"/>
          <w:szCs w:val="32"/>
          <w:highlight w:val="none"/>
        </w:rPr>
        <w:t>年第</w:t>
      </w:r>
      <w:r>
        <w:rPr>
          <w:rFonts w:eastAsia="仿宋_GB2312"/>
          <w:kern w:val="0"/>
          <w:sz w:val="32"/>
          <w:szCs w:val="32"/>
          <w:highlight w:val="none"/>
        </w:rPr>
        <w:t>9</w:t>
      </w:r>
      <w:r>
        <w:rPr>
          <w:rFonts w:hint="eastAsia" w:eastAsia="仿宋_GB2312"/>
          <w:kern w:val="0"/>
          <w:sz w:val="32"/>
          <w:szCs w:val="32"/>
          <w:highlight w:val="none"/>
        </w:rPr>
        <w:t>号</w:t>
      </w:r>
      <w:r>
        <w:rPr>
          <w:rFonts w:eastAsia="仿宋_GB2312"/>
          <w:sz w:val="32"/>
          <w:szCs w:val="32"/>
          <w:highlight w:val="none"/>
        </w:rPr>
        <w:t>[Z].</w:t>
      </w:r>
    </w:p>
    <w:p w14:paraId="6C6BD938">
      <w:pPr>
        <w:spacing w:line="52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12</w:t>
      </w:r>
      <w:r>
        <w:rPr>
          <w:rFonts w:eastAsia="仿宋_GB2312"/>
          <w:sz w:val="32"/>
          <w:szCs w:val="32"/>
          <w:highlight w:val="none"/>
        </w:rPr>
        <w:t>]</w:t>
      </w:r>
      <w:r>
        <w:rPr>
          <w:rFonts w:hint="eastAsia" w:eastAsia="仿宋_GB2312"/>
          <w:kern w:val="0"/>
          <w:sz w:val="32"/>
          <w:szCs w:val="32"/>
          <w:highlight w:val="none"/>
        </w:rPr>
        <w:t>国家药品监督管理局医疗器械审评中心</w:t>
      </w:r>
      <w:r>
        <w:rPr>
          <w:rFonts w:eastAsia="仿宋_GB2312"/>
          <w:kern w:val="0"/>
          <w:sz w:val="32"/>
          <w:szCs w:val="32"/>
          <w:highlight w:val="none"/>
        </w:rPr>
        <w:t>.</w:t>
      </w:r>
      <w:r>
        <w:rPr>
          <w:rFonts w:hint="eastAsia" w:eastAsia="仿宋_GB2312"/>
          <w:kern w:val="0"/>
          <w:sz w:val="32"/>
          <w:szCs w:val="32"/>
          <w:highlight w:val="none"/>
        </w:rPr>
        <w:t>医疗器械网络安全注册审查指导原则（2022年修订版）</w:t>
      </w:r>
      <w:r>
        <w:rPr>
          <w:rFonts w:eastAsia="仿宋_GB2312"/>
          <w:kern w:val="0"/>
          <w:sz w:val="32"/>
          <w:szCs w:val="32"/>
          <w:highlight w:val="none"/>
        </w:rPr>
        <w:t>:</w:t>
      </w:r>
      <w:r>
        <w:rPr>
          <w:rFonts w:hint="eastAsia" w:eastAsia="仿宋_GB2312"/>
          <w:kern w:val="0"/>
          <w:sz w:val="32"/>
          <w:szCs w:val="32"/>
          <w:highlight w:val="none"/>
        </w:rPr>
        <w:t>国家药监局器审中心通告2022年第7号</w:t>
      </w:r>
      <w:r>
        <w:rPr>
          <w:rFonts w:eastAsia="仿宋_GB2312"/>
          <w:sz w:val="32"/>
          <w:szCs w:val="32"/>
          <w:highlight w:val="none"/>
        </w:rPr>
        <w:t>[Z].</w:t>
      </w:r>
    </w:p>
    <w:p w14:paraId="0417EA87">
      <w:pPr>
        <w:spacing w:line="520" w:lineRule="exact"/>
        <w:ind w:right="-67" w:rightChars="-32" w:firstLine="640" w:firstLineChars="200"/>
        <w:rPr>
          <w:rFonts w:eastAsia="仿宋_GB2312"/>
          <w:sz w:val="32"/>
          <w:szCs w:val="32"/>
          <w:highlight w:val="none"/>
        </w:rPr>
      </w:pPr>
      <w:r>
        <w:rPr>
          <w:rFonts w:eastAsia="仿宋_GB2312"/>
          <w:sz w:val="32"/>
          <w:szCs w:val="32"/>
          <w:highlight w:val="none"/>
        </w:rPr>
        <w:t>[1</w:t>
      </w:r>
      <w:r>
        <w:rPr>
          <w:rFonts w:hint="eastAsia" w:eastAsia="仿宋_GB2312"/>
          <w:sz w:val="32"/>
          <w:szCs w:val="32"/>
          <w:highlight w:val="none"/>
        </w:rPr>
        <w:t>3</w:t>
      </w:r>
      <w:r>
        <w:rPr>
          <w:rFonts w:eastAsia="仿宋_GB2312"/>
          <w:sz w:val="32"/>
          <w:szCs w:val="32"/>
          <w:highlight w:val="none"/>
        </w:rPr>
        <w:t>]</w:t>
      </w:r>
      <w:r>
        <w:rPr>
          <w:rFonts w:hint="eastAsia" w:eastAsia="仿宋_GB2312"/>
          <w:sz w:val="32"/>
          <w:szCs w:val="32"/>
          <w:highlight w:val="none"/>
        </w:rPr>
        <w:t>国家药品监督管理局</w:t>
      </w:r>
      <w:r>
        <w:rPr>
          <w:rFonts w:eastAsia="仿宋_GB2312"/>
          <w:sz w:val="32"/>
          <w:szCs w:val="32"/>
          <w:highlight w:val="none"/>
        </w:rPr>
        <w:t>.</w:t>
      </w:r>
      <w:r>
        <w:rPr>
          <w:rFonts w:hint="eastAsia" w:eastAsia="仿宋_GB2312"/>
          <w:sz w:val="32"/>
          <w:szCs w:val="32"/>
          <w:highlight w:val="none"/>
        </w:rPr>
        <w:t>列入免于临床评价医疗器械目录产品对比说明技术指导原则</w:t>
      </w:r>
      <w:r>
        <w:rPr>
          <w:rFonts w:eastAsia="仿宋_GB2312"/>
          <w:sz w:val="32"/>
          <w:szCs w:val="32"/>
          <w:highlight w:val="none"/>
        </w:rPr>
        <w:t>:</w:t>
      </w:r>
      <w:r>
        <w:rPr>
          <w:rFonts w:hint="eastAsia" w:eastAsia="仿宋_GB2312"/>
          <w:sz w:val="32"/>
          <w:szCs w:val="32"/>
          <w:highlight w:val="none"/>
        </w:rPr>
        <w:t>国家药监局通告</w:t>
      </w:r>
      <w:r>
        <w:rPr>
          <w:rFonts w:eastAsia="仿宋_GB2312"/>
          <w:sz w:val="32"/>
          <w:szCs w:val="32"/>
          <w:highlight w:val="none"/>
        </w:rPr>
        <w:t>2021</w:t>
      </w:r>
      <w:r>
        <w:rPr>
          <w:rFonts w:hint="eastAsia" w:eastAsia="仿宋_GB2312"/>
          <w:sz w:val="32"/>
          <w:szCs w:val="32"/>
          <w:highlight w:val="none"/>
        </w:rPr>
        <w:t>年第</w:t>
      </w:r>
      <w:r>
        <w:rPr>
          <w:rFonts w:eastAsia="仿宋_GB2312"/>
          <w:sz w:val="32"/>
          <w:szCs w:val="32"/>
          <w:highlight w:val="none"/>
        </w:rPr>
        <w:t>73</w:t>
      </w:r>
      <w:r>
        <w:rPr>
          <w:rFonts w:hint="eastAsia" w:eastAsia="仿宋_GB2312"/>
          <w:sz w:val="32"/>
          <w:szCs w:val="32"/>
          <w:highlight w:val="none"/>
        </w:rPr>
        <w:t>号</w:t>
      </w:r>
      <w:r>
        <w:rPr>
          <w:rFonts w:eastAsia="仿宋_GB2312"/>
          <w:sz w:val="32"/>
          <w:szCs w:val="32"/>
          <w:highlight w:val="none"/>
        </w:rPr>
        <w:t>[Z].</w:t>
      </w:r>
    </w:p>
    <w:p w14:paraId="316FE734">
      <w:pPr>
        <w:spacing w:line="520" w:lineRule="exact"/>
        <w:ind w:right="-67" w:rightChars="-32" w:firstLine="640" w:firstLineChars="200"/>
        <w:rPr>
          <w:rFonts w:eastAsia="仿宋_GB2312"/>
          <w:sz w:val="32"/>
          <w:szCs w:val="32"/>
          <w:highlight w:val="none"/>
        </w:rPr>
      </w:pPr>
      <w:r>
        <w:rPr>
          <w:rFonts w:eastAsia="仿宋_GB2312"/>
          <w:sz w:val="32"/>
          <w:szCs w:val="32"/>
          <w:highlight w:val="none"/>
        </w:rPr>
        <w:t>[1</w:t>
      </w:r>
      <w:r>
        <w:rPr>
          <w:rFonts w:hint="eastAsia" w:eastAsia="仿宋_GB2312"/>
          <w:sz w:val="32"/>
          <w:szCs w:val="32"/>
          <w:highlight w:val="none"/>
        </w:rPr>
        <w:t>4</w:t>
      </w:r>
      <w:r>
        <w:rPr>
          <w:rFonts w:eastAsia="仿宋_GB2312"/>
          <w:sz w:val="32"/>
          <w:szCs w:val="32"/>
          <w:highlight w:val="none"/>
        </w:rPr>
        <w:t>]</w:t>
      </w:r>
      <w:r>
        <w:rPr>
          <w:rFonts w:hint="eastAsia" w:eastAsia="仿宋_GB2312"/>
          <w:sz w:val="32"/>
          <w:szCs w:val="32"/>
          <w:highlight w:val="none"/>
        </w:rPr>
        <w:t>国家药品监督管理局</w:t>
      </w:r>
      <w:r>
        <w:rPr>
          <w:rFonts w:eastAsia="仿宋_GB2312"/>
          <w:sz w:val="32"/>
          <w:szCs w:val="32"/>
          <w:highlight w:val="none"/>
        </w:rPr>
        <w:t>.</w:t>
      </w:r>
      <w:r>
        <w:rPr>
          <w:rFonts w:hint="eastAsia" w:eastAsia="仿宋_GB2312"/>
          <w:sz w:val="32"/>
          <w:szCs w:val="32"/>
          <w:highlight w:val="none"/>
        </w:rPr>
        <w:t>免于临床评价医疗器械目录：国家药监局通告2025年第19号</w:t>
      </w:r>
      <w:r>
        <w:rPr>
          <w:rFonts w:eastAsia="仿宋_GB2312"/>
          <w:sz w:val="32"/>
          <w:szCs w:val="32"/>
          <w:highlight w:val="none"/>
        </w:rPr>
        <w:t>[Z].</w:t>
      </w:r>
    </w:p>
    <w:p w14:paraId="3E7B8D3D">
      <w:pPr>
        <w:spacing w:line="520" w:lineRule="exact"/>
        <w:ind w:firstLine="640" w:firstLineChars="200"/>
        <w:rPr>
          <w:rFonts w:eastAsia="仿宋_GB2312"/>
          <w:sz w:val="32"/>
          <w:szCs w:val="32"/>
          <w:highlight w:val="none"/>
        </w:rPr>
      </w:pPr>
      <w:r>
        <w:rPr>
          <w:rFonts w:eastAsia="仿宋_GB2312"/>
          <w:sz w:val="32"/>
          <w:szCs w:val="32"/>
          <w:highlight w:val="none"/>
        </w:rPr>
        <w:t>[1</w:t>
      </w:r>
      <w:r>
        <w:rPr>
          <w:rFonts w:hint="eastAsia" w:eastAsia="仿宋_GB2312"/>
          <w:sz w:val="32"/>
          <w:szCs w:val="32"/>
          <w:highlight w:val="none"/>
        </w:rPr>
        <w:t>5</w:t>
      </w:r>
      <w:r>
        <w:rPr>
          <w:rFonts w:eastAsia="仿宋_GB2312"/>
          <w:sz w:val="32"/>
          <w:szCs w:val="32"/>
          <w:highlight w:val="none"/>
        </w:rPr>
        <w:t>]</w:t>
      </w:r>
      <w:r>
        <w:rPr>
          <w:rFonts w:hint="eastAsia" w:eastAsia="仿宋_GB2312"/>
          <w:sz w:val="32"/>
          <w:szCs w:val="32"/>
          <w:highlight w:val="none"/>
        </w:rPr>
        <w:t>国家食品药品监督管理局.医疗器械临床评价技术指导原则：国家食品药品监督管理总局通告2021年第73号[Z].</w:t>
      </w:r>
    </w:p>
    <w:p w14:paraId="235A143F">
      <w:pPr>
        <w:spacing w:line="520" w:lineRule="exact"/>
        <w:ind w:firstLine="640" w:firstLineChars="200"/>
        <w:rPr>
          <w:rFonts w:eastAsia="仿宋_GB2312"/>
          <w:sz w:val="32"/>
          <w:szCs w:val="32"/>
          <w:highlight w:val="none"/>
        </w:rPr>
      </w:pPr>
      <w:r>
        <w:rPr>
          <w:rFonts w:eastAsia="仿宋_GB2312"/>
          <w:sz w:val="32"/>
          <w:szCs w:val="32"/>
          <w:highlight w:val="none"/>
        </w:rPr>
        <w:t>[1</w:t>
      </w:r>
      <w:r>
        <w:rPr>
          <w:rFonts w:hint="eastAsia" w:eastAsia="仿宋_GB2312"/>
          <w:sz w:val="32"/>
          <w:szCs w:val="32"/>
          <w:highlight w:val="none"/>
        </w:rPr>
        <w:t>6</w:t>
      </w:r>
      <w:r>
        <w:rPr>
          <w:rFonts w:eastAsia="仿宋_GB2312"/>
          <w:sz w:val="32"/>
          <w:szCs w:val="32"/>
          <w:highlight w:val="none"/>
        </w:rPr>
        <w:t>]</w:t>
      </w:r>
      <w:r>
        <w:rPr>
          <w:rFonts w:hint="eastAsia" w:eastAsia="仿宋_GB2312"/>
          <w:sz w:val="32"/>
          <w:szCs w:val="32"/>
          <w:highlight w:val="none"/>
        </w:rPr>
        <w:t>国家食品药品监督管理局.医疗器械生物学评价和审查指南:国家食品药品监督管理局通知2007年345号[Z]</w:t>
      </w:r>
      <w:r>
        <w:rPr>
          <w:rFonts w:eastAsia="仿宋_GB2312"/>
          <w:sz w:val="32"/>
          <w:szCs w:val="32"/>
          <w:highlight w:val="none"/>
        </w:rPr>
        <w:t>.</w:t>
      </w:r>
    </w:p>
    <w:p w14:paraId="327A3795">
      <w:pPr>
        <w:spacing w:line="520" w:lineRule="exact"/>
        <w:ind w:firstLine="640" w:firstLineChars="200"/>
        <w:rPr>
          <w:rFonts w:eastAsia="仿宋_GB2312"/>
          <w:sz w:val="32"/>
          <w:szCs w:val="32"/>
          <w:highlight w:val="none"/>
        </w:rPr>
      </w:pPr>
      <w:r>
        <w:rPr>
          <w:rFonts w:eastAsia="仿宋_GB2312"/>
          <w:sz w:val="32"/>
          <w:szCs w:val="32"/>
          <w:highlight w:val="none"/>
        </w:rPr>
        <w:t>[1</w:t>
      </w:r>
      <w:r>
        <w:rPr>
          <w:rFonts w:hint="eastAsia" w:eastAsia="仿宋_GB2312"/>
          <w:sz w:val="32"/>
          <w:szCs w:val="32"/>
          <w:highlight w:val="none"/>
        </w:rPr>
        <w:t>7</w:t>
      </w:r>
      <w:r>
        <w:rPr>
          <w:rFonts w:eastAsia="仿宋_GB2312"/>
          <w:sz w:val="32"/>
          <w:szCs w:val="32"/>
          <w:highlight w:val="none"/>
        </w:rPr>
        <w:t>]</w:t>
      </w:r>
      <w:r>
        <w:rPr>
          <w:rFonts w:hint="eastAsia" w:eastAsia="仿宋_GB2312"/>
          <w:sz w:val="32"/>
          <w:szCs w:val="32"/>
          <w:highlight w:val="none"/>
        </w:rPr>
        <w:t>国家药品监督管理局</w:t>
      </w:r>
      <w:r>
        <w:rPr>
          <w:rFonts w:eastAsia="仿宋_GB2312"/>
          <w:sz w:val="32"/>
          <w:szCs w:val="32"/>
          <w:highlight w:val="none"/>
        </w:rPr>
        <w:t>.</w:t>
      </w:r>
      <w:r>
        <w:rPr>
          <w:rFonts w:hint="eastAsia" w:eastAsia="仿宋_GB2312"/>
          <w:sz w:val="32"/>
          <w:szCs w:val="32"/>
          <w:highlight w:val="none"/>
        </w:rPr>
        <w:t>医疗器械产品技术要求编写指导原则</w:t>
      </w:r>
      <w:r>
        <w:rPr>
          <w:rFonts w:eastAsia="仿宋_GB2312"/>
          <w:sz w:val="32"/>
          <w:szCs w:val="32"/>
          <w:highlight w:val="none"/>
        </w:rPr>
        <w:t>:</w:t>
      </w:r>
      <w:r>
        <w:rPr>
          <w:rFonts w:hint="eastAsia" w:eastAsia="仿宋_GB2312"/>
          <w:sz w:val="32"/>
          <w:szCs w:val="32"/>
          <w:highlight w:val="none"/>
        </w:rPr>
        <w:t>国家药监局公告</w:t>
      </w:r>
      <w:r>
        <w:rPr>
          <w:rFonts w:eastAsia="仿宋_GB2312"/>
          <w:sz w:val="32"/>
          <w:szCs w:val="32"/>
          <w:highlight w:val="none"/>
        </w:rPr>
        <w:t>2022</w:t>
      </w:r>
      <w:r>
        <w:rPr>
          <w:rFonts w:hint="eastAsia" w:eastAsia="仿宋_GB2312"/>
          <w:sz w:val="32"/>
          <w:szCs w:val="32"/>
          <w:highlight w:val="none"/>
        </w:rPr>
        <w:t>年第</w:t>
      </w:r>
      <w:r>
        <w:rPr>
          <w:rFonts w:eastAsia="仿宋_GB2312"/>
          <w:sz w:val="32"/>
          <w:szCs w:val="32"/>
          <w:highlight w:val="none"/>
        </w:rPr>
        <w:t>8</w:t>
      </w:r>
      <w:r>
        <w:rPr>
          <w:rFonts w:hint="eastAsia" w:eastAsia="仿宋_GB2312"/>
          <w:sz w:val="32"/>
          <w:szCs w:val="32"/>
          <w:highlight w:val="none"/>
        </w:rPr>
        <w:t>号</w:t>
      </w:r>
      <w:r>
        <w:rPr>
          <w:rFonts w:eastAsia="仿宋_GB2312"/>
          <w:sz w:val="32"/>
          <w:szCs w:val="32"/>
          <w:highlight w:val="none"/>
        </w:rPr>
        <w:t>[Z].</w:t>
      </w:r>
    </w:p>
    <w:p w14:paraId="3BF90CAC">
      <w:pPr>
        <w:spacing w:line="520" w:lineRule="exact"/>
        <w:ind w:firstLine="640" w:firstLineChars="200"/>
        <w:rPr>
          <w:rFonts w:eastAsia="仿宋_GB2312"/>
          <w:sz w:val="32"/>
          <w:szCs w:val="32"/>
          <w:highlight w:val="none"/>
        </w:rPr>
      </w:pPr>
      <w:r>
        <w:rPr>
          <w:rFonts w:eastAsia="仿宋_GB2312"/>
          <w:sz w:val="32"/>
          <w:szCs w:val="32"/>
          <w:highlight w:val="none"/>
        </w:rPr>
        <w:t>[1</w:t>
      </w:r>
      <w:r>
        <w:rPr>
          <w:rFonts w:hint="eastAsia" w:eastAsia="仿宋_GB2312"/>
          <w:sz w:val="32"/>
          <w:szCs w:val="32"/>
          <w:highlight w:val="none"/>
        </w:rPr>
        <w:t>9</w:t>
      </w:r>
      <w:r>
        <w:rPr>
          <w:rFonts w:eastAsia="仿宋_GB2312"/>
          <w:sz w:val="32"/>
          <w:szCs w:val="32"/>
          <w:highlight w:val="none"/>
        </w:rPr>
        <w:t>]</w:t>
      </w:r>
      <w:r>
        <w:rPr>
          <w:rFonts w:hint="eastAsia" w:eastAsia="仿宋_GB2312"/>
          <w:sz w:val="32"/>
          <w:szCs w:val="32"/>
          <w:highlight w:val="none"/>
        </w:rPr>
        <w:t>国家药监局器审中心医疗器械可用性工程注册审查指导原则：</w:t>
      </w:r>
      <w:r>
        <w:rPr>
          <w:rFonts w:hint="eastAsia" w:eastAsia="仿宋_GB2312"/>
          <w:kern w:val="0"/>
          <w:sz w:val="32"/>
          <w:szCs w:val="32"/>
          <w:highlight w:val="none"/>
        </w:rPr>
        <w:t>国家药监局器审中心</w:t>
      </w:r>
      <w:r>
        <w:rPr>
          <w:rFonts w:hint="eastAsia" w:eastAsia="仿宋_GB2312"/>
          <w:sz w:val="32"/>
          <w:szCs w:val="32"/>
          <w:highlight w:val="none"/>
        </w:rPr>
        <w:t>通告2024年第13号</w:t>
      </w:r>
      <w:r>
        <w:rPr>
          <w:rFonts w:eastAsia="仿宋_GB2312"/>
          <w:sz w:val="32"/>
          <w:szCs w:val="32"/>
          <w:highlight w:val="none"/>
        </w:rPr>
        <w:t>[Z].</w:t>
      </w:r>
    </w:p>
    <w:p w14:paraId="0147B04D">
      <w:pPr>
        <w:spacing w:line="52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20</w:t>
      </w:r>
      <w:r>
        <w:rPr>
          <w:rFonts w:eastAsia="仿宋_GB2312"/>
          <w:sz w:val="32"/>
          <w:szCs w:val="32"/>
          <w:highlight w:val="none"/>
        </w:rPr>
        <w:t>]GB/T 42062</w:t>
      </w:r>
      <w:r>
        <w:rPr>
          <w:rFonts w:hint="eastAsia" w:eastAsia="仿宋_GB2312"/>
          <w:sz w:val="32"/>
          <w:szCs w:val="32"/>
          <w:highlight w:val="none"/>
        </w:rPr>
        <w:t>-2022</w:t>
      </w:r>
      <w:r>
        <w:rPr>
          <w:rFonts w:eastAsia="仿宋_GB2312"/>
          <w:sz w:val="32"/>
          <w:szCs w:val="32"/>
          <w:highlight w:val="none"/>
        </w:rPr>
        <w:t>,</w:t>
      </w:r>
      <w:r>
        <w:rPr>
          <w:rFonts w:hint="eastAsia" w:eastAsia="仿宋_GB2312"/>
          <w:sz w:val="32"/>
          <w:szCs w:val="32"/>
          <w:highlight w:val="none"/>
        </w:rPr>
        <w:t>医疗器械风险管理对医疗器械的应用</w:t>
      </w:r>
      <w:r>
        <w:rPr>
          <w:rFonts w:eastAsia="仿宋_GB2312"/>
          <w:sz w:val="32"/>
          <w:szCs w:val="32"/>
          <w:highlight w:val="none"/>
        </w:rPr>
        <w:t>[S].</w:t>
      </w:r>
    </w:p>
    <w:p w14:paraId="7E088F25">
      <w:pPr>
        <w:pStyle w:val="11"/>
        <w:rPr>
          <w:highlight w:val="none"/>
        </w:rPr>
      </w:pPr>
    </w:p>
    <w:p w14:paraId="47E4C13C">
      <w:pPr>
        <w:spacing w:line="52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21</w:t>
      </w:r>
      <w:r>
        <w:rPr>
          <w:rFonts w:eastAsia="仿宋_GB2312"/>
          <w:sz w:val="32"/>
          <w:szCs w:val="32"/>
          <w:highlight w:val="none"/>
        </w:rPr>
        <w:t>]GB 9706.1</w:t>
      </w:r>
      <w:r>
        <w:rPr>
          <w:rFonts w:hint="eastAsia" w:eastAsia="仿宋_GB2312"/>
          <w:sz w:val="32"/>
          <w:szCs w:val="32"/>
          <w:highlight w:val="none"/>
        </w:rPr>
        <w:t>-2020</w:t>
      </w:r>
      <w:r>
        <w:rPr>
          <w:rFonts w:eastAsia="仿宋_GB2312"/>
          <w:sz w:val="32"/>
          <w:szCs w:val="32"/>
          <w:highlight w:val="none"/>
        </w:rPr>
        <w:t>,</w:t>
      </w:r>
      <w:r>
        <w:rPr>
          <w:rFonts w:hint="eastAsia" w:eastAsia="仿宋_GB2312"/>
          <w:sz w:val="32"/>
          <w:szCs w:val="32"/>
          <w:highlight w:val="none"/>
        </w:rPr>
        <w:t>医用电气设备</w:t>
      </w:r>
      <w:r>
        <w:rPr>
          <w:rFonts w:eastAsia="仿宋_GB2312"/>
          <w:sz w:val="32"/>
          <w:szCs w:val="32"/>
          <w:highlight w:val="none"/>
        </w:rPr>
        <w:t xml:space="preserve"> </w:t>
      </w:r>
      <w:r>
        <w:rPr>
          <w:rFonts w:hint="eastAsia" w:eastAsia="仿宋_GB2312"/>
          <w:sz w:val="32"/>
          <w:szCs w:val="32"/>
          <w:highlight w:val="none"/>
        </w:rPr>
        <w:t>第</w:t>
      </w:r>
      <w:r>
        <w:rPr>
          <w:rFonts w:eastAsia="仿宋_GB2312"/>
          <w:sz w:val="32"/>
          <w:szCs w:val="32"/>
          <w:highlight w:val="none"/>
        </w:rPr>
        <w:t>1</w:t>
      </w:r>
      <w:r>
        <w:rPr>
          <w:rFonts w:hint="eastAsia" w:eastAsia="仿宋_GB2312"/>
          <w:sz w:val="32"/>
          <w:szCs w:val="32"/>
          <w:highlight w:val="none"/>
        </w:rPr>
        <w:t>部分：基本安全和基本性能的通用要求</w:t>
      </w:r>
      <w:r>
        <w:rPr>
          <w:rFonts w:eastAsia="仿宋_GB2312"/>
          <w:sz w:val="32"/>
          <w:szCs w:val="32"/>
          <w:highlight w:val="none"/>
        </w:rPr>
        <w:t>[S].</w:t>
      </w:r>
    </w:p>
    <w:p w14:paraId="655DC485">
      <w:pPr>
        <w:spacing w:line="52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22</w:t>
      </w:r>
      <w:r>
        <w:rPr>
          <w:rFonts w:eastAsia="仿宋_GB2312"/>
          <w:sz w:val="32"/>
          <w:szCs w:val="32"/>
          <w:highlight w:val="none"/>
        </w:rPr>
        <w:t>]</w:t>
      </w:r>
      <w:r>
        <w:rPr>
          <w:rFonts w:hint="eastAsia" w:eastAsia="仿宋_GB2312"/>
          <w:sz w:val="32"/>
          <w:szCs w:val="32"/>
          <w:highlight w:val="none"/>
        </w:rPr>
        <w:t>YY 9706.102,用电气设备 第1-2部分：基本安全和基本性能的通用要求 并列标准：电磁兼容 要求和试验[S].</w:t>
      </w:r>
    </w:p>
    <w:p w14:paraId="2B59395E">
      <w:pPr>
        <w:spacing w:line="520" w:lineRule="exact"/>
        <w:ind w:firstLine="640" w:firstLineChars="200"/>
        <w:rPr>
          <w:rFonts w:eastAsia="仿宋_GB2312"/>
          <w:sz w:val="32"/>
          <w:szCs w:val="32"/>
          <w:highlight w:val="none"/>
        </w:rPr>
      </w:pPr>
      <w:r>
        <w:rPr>
          <w:rFonts w:eastAsia="仿宋_GB2312"/>
          <w:sz w:val="32"/>
          <w:szCs w:val="32"/>
          <w:highlight w:val="none"/>
        </w:rPr>
        <w:t>[2</w:t>
      </w:r>
      <w:r>
        <w:rPr>
          <w:rFonts w:hint="eastAsia" w:eastAsia="仿宋_GB2312"/>
          <w:sz w:val="32"/>
          <w:szCs w:val="32"/>
          <w:highlight w:val="none"/>
        </w:rPr>
        <w:t>3</w:t>
      </w:r>
      <w:r>
        <w:rPr>
          <w:rFonts w:eastAsia="仿宋_GB2312"/>
          <w:sz w:val="32"/>
          <w:szCs w:val="32"/>
          <w:highlight w:val="none"/>
        </w:rPr>
        <w:t>]GB/T 14710</w:t>
      </w:r>
      <w:r>
        <w:rPr>
          <w:rFonts w:hint="eastAsia" w:eastAsia="仿宋_GB2312"/>
          <w:sz w:val="32"/>
          <w:szCs w:val="32"/>
          <w:highlight w:val="none"/>
        </w:rPr>
        <w:t>-2009</w:t>
      </w:r>
      <w:r>
        <w:rPr>
          <w:rFonts w:eastAsia="仿宋_GB2312"/>
          <w:sz w:val="32"/>
          <w:szCs w:val="32"/>
          <w:highlight w:val="none"/>
        </w:rPr>
        <w:t>,</w:t>
      </w:r>
      <w:r>
        <w:rPr>
          <w:rFonts w:hint="eastAsia" w:eastAsia="仿宋_GB2312"/>
          <w:sz w:val="32"/>
          <w:szCs w:val="32"/>
          <w:highlight w:val="none"/>
        </w:rPr>
        <w:t>医用电器环境要求及试验方法</w:t>
      </w:r>
      <w:r>
        <w:rPr>
          <w:rFonts w:eastAsia="仿宋_GB2312"/>
          <w:sz w:val="32"/>
          <w:szCs w:val="32"/>
          <w:highlight w:val="none"/>
        </w:rPr>
        <w:t>[S].</w:t>
      </w:r>
    </w:p>
    <w:p w14:paraId="7D4D69EE">
      <w:pPr>
        <w:spacing w:line="520" w:lineRule="exact"/>
        <w:ind w:firstLine="640" w:firstLineChars="200"/>
        <w:rPr>
          <w:rFonts w:eastAsia="仿宋_GB2312"/>
          <w:sz w:val="32"/>
          <w:szCs w:val="32"/>
          <w:highlight w:val="none"/>
        </w:rPr>
      </w:pPr>
      <w:r>
        <w:rPr>
          <w:rFonts w:hint="eastAsia" w:eastAsia="仿宋_GB2312"/>
          <w:sz w:val="32"/>
          <w:szCs w:val="32"/>
          <w:highlight w:val="none"/>
        </w:rPr>
        <w:t>[24]GB/T 191—2008,包装储运图示标志[S].</w:t>
      </w:r>
    </w:p>
    <w:p w14:paraId="70AD0FFC">
      <w:pPr>
        <w:spacing w:line="520" w:lineRule="exact"/>
        <w:ind w:firstLine="640" w:firstLineChars="200"/>
        <w:rPr>
          <w:rFonts w:eastAsia="仿宋_GB2312"/>
          <w:sz w:val="32"/>
          <w:szCs w:val="32"/>
          <w:highlight w:val="none"/>
        </w:rPr>
      </w:pPr>
      <w:r>
        <w:rPr>
          <w:rFonts w:hint="eastAsia" w:eastAsia="仿宋_GB2312"/>
          <w:sz w:val="32"/>
          <w:szCs w:val="32"/>
          <w:highlight w:val="none"/>
        </w:rPr>
        <w:t>[25]YY/T 0664-2020,医疗器械软件 软件生存周期过程[S].</w:t>
      </w:r>
    </w:p>
    <w:p w14:paraId="42C26A1A">
      <w:pPr>
        <w:spacing w:line="520" w:lineRule="exact"/>
        <w:ind w:firstLine="640" w:firstLineChars="200"/>
        <w:rPr>
          <w:rFonts w:eastAsia="仿宋_GB2312"/>
          <w:sz w:val="32"/>
          <w:szCs w:val="32"/>
          <w:highlight w:val="none"/>
        </w:rPr>
      </w:pPr>
      <w:r>
        <w:rPr>
          <w:rFonts w:hint="eastAsia" w:eastAsia="仿宋_GB2312"/>
          <w:sz w:val="32"/>
          <w:szCs w:val="32"/>
          <w:highlight w:val="none"/>
        </w:rPr>
        <w:t>[26]YY/T 0466.1—2023,医疗器械 用于制造商提供信息的符号 第1部分：通用要求[S].</w:t>
      </w:r>
    </w:p>
    <w:p w14:paraId="6A7CC640">
      <w:pPr>
        <w:spacing w:line="520" w:lineRule="exact"/>
        <w:ind w:firstLine="640" w:firstLineChars="200"/>
        <w:rPr>
          <w:rFonts w:eastAsia="仿宋_GB2312"/>
          <w:sz w:val="32"/>
          <w:szCs w:val="32"/>
          <w:highlight w:val="none"/>
        </w:rPr>
      </w:pPr>
      <w:r>
        <w:rPr>
          <w:rFonts w:hint="eastAsia" w:eastAsia="仿宋_GB2312"/>
          <w:sz w:val="32"/>
          <w:szCs w:val="32"/>
          <w:highlight w:val="none"/>
        </w:rPr>
        <w:t>[27]YY/T 1474—2016,医疗器械可用性工程对医疗器械的应用[S].</w:t>
      </w:r>
    </w:p>
    <w:p w14:paraId="65E680DF">
      <w:pPr>
        <w:spacing w:line="520" w:lineRule="exact"/>
        <w:ind w:firstLine="640" w:firstLineChars="200"/>
        <w:rPr>
          <w:rFonts w:eastAsia="仿宋_GB2312"/>
          <w:sz w:val="32"/>
          <w:szCs w:val="32"/>
          <w:highlight w:val="none"/>
        </w:rPr>
      </w:pPr>
      <w:r>
        <w:rPr>
          <w:rFonts w:hint="eastAsia" w:eastAsia="仿宋_GB2312"/>
          <w:sz w:val="32"/>
          <w:szCs w:val="32"/>
          <w:highlight w:val="none"/>
        </w:rPr>
        <w:t>[28]T/CIS 11009-2026,病理切片扫描仪通用技术规范[S].</w:t>
      </w:r>
    </w:p>
    <w:p w14:paraId="1CEF1AF2">
      <w:pPr>
        <w:pStyle w:val="11"/>
        <w:rPr>
          <w:highlight w:val="none"/>
        </w:rPr>
      </w:pPr>
    </w:p>
    <w:sectPr>
      <w:footerReference r:id="rId3" w:type="default"/>
      <w:footerReference r:id="rId4" w:type="even"/>
      <w:pgSz w:w="11906" w:h="16838"/>
      <w:pgMar w:top="1928" w:right="1531" w:bottom="1814" w:left="1531" w:header="851" w:footer="1247" w:gutter="0"/>
      <w:lnNumType w:countBy="1" w:restart="continuous"/>
      <w:pgNumType w:start="1"/>
      <w:cols w:space="425" w:num="1"/>
      <w:docGrid w:type="lines" w:linePitch="312" w:charSpace="168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C416300-A7F7-45CF-B37B-702520EE2D2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2000000000000000000"/>
    <w:charset w:val="86"/>
    <w:family w:val="script"/>
    <w:pitch w:val="default"/>
    <w:sig w:usb0="00000000" w:usb1="00000000" w:usb2="00000012" w:usb3="00000000" w:csb0="00040001" w:csb1="00000000"/>
    <w:embedRegular r:id="rId2" w:fontKey="{63487450-13F2-4C23-B18E-45F3BB4015E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embedRegular r:id="rId3" w:fontKey="{0010C7DF-1562-4E33-B1C9-4764882FC5F4}"/>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embedRegular r:id="rId4" w:fontKey="{23FD4E5A-37BF-47C6-8908-B47BF8B30E84}"/>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764D4">
    <w:pPr>
      <w:pStyle w:val="4"/>
      <w:wordWrap w:val="0"/>
      <w:jc w:val="right"/>
      <w:rPr>
        <w:sz w:val="28"/>
        <w:szCs w:val="28"/>
      </w:rPr>
    </w:pP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w:t>
    </w:r>
    <w:r>
      <w:rPr>
        <w:sz w:val="28"/>
        <w:szCs w:val="28"/>
      </w:rPr>
      <w:fldChar w:fldCharType="end"/>
    </w:r>
    <w:r>
      <w:rPr>
        <w:rFonts w:hint="eastAsia"/>
        <w:sz w:val="28"/>
        <w:szCs w:val="28"/>
      </w:rPr>
      <w:t xml:space="preserve"> —</w:t>
    </w:r>
    <w:r>
      <w:rPr>
        <w:rFonts w:hint="eastAsia"/>
        <w:color w:val="FFFFFF"/>
        <w:sz w:val="28"/>
        <w:szCs w:val="28"/>
      </w:rPr>
      <w:t>—</w:t>
    </w:r>
  </w:p>
  <w:p w14:paraId="64B4771D">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A9E11">
    <w:pPr>
      <w:pStyle w:val="4"/>
      <w:rPr>
        <w:sz w:val="28"/>
        <w:szCs w:val="28"/>
      </w:rPr>
    </w:pPr>
    <w:r>
      <w:rPr>
        <w:rFonts w:hint="eastAsia"/>
        <w:color w:val="FFFFFF"/>
        <w:sz w:val="28"/>
        <w:szCs w:val="28"/>
      </w:rPr>
      <w:t>—</w:t>
    </w: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18</w:t>
    </w:r>
    <w:r>
      <w:rPr>
        <w:sz w:val="28"/>
        <w:szCs w:val="28"/>
      </w:rPr>
      <w:fldChar w:fldCharType="end"/>
    </w:r>
    <w:r>
      <w:rPr>
        <w:rFonts w:hint="eastAsia"/>
        <w:sz w:val="28"/>
        <w:szCs w:val="28"/>
      </w:rPr>
      <w:t xml:space="preserve"> —</w:t>
    </w:r>
  </w:p>
  <w:p w14:paraId="42B3FF60">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C4BDF4"/>
    <w:multiLevelType w:val="singleLevel"/>
    <w:tmpl w:val="27C4BDF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29633BD2"/>
    <w:rsid w:val="00005C76"/>
    <w:rsid w:val="000355F6"/>
    <w:rsid w:val="00043A52"/>
    <w:rsid w:val="00065328"/>
    <w:rsid w:val="00065AB5"/>
    <w:rsid w:val="0007375F"/>
    <w:rsid w:val="000A40F6"/>
    <w:rsid w:val="000D69FC"/>
    <w:rsid w:val="000E0B23"/>
    <w:rsid w:val="000F28BA"/>
    <w:rsid w:val="00137D00"/>
    <w:rsid w:val="00182F7A"/>
    <w:rsid w:val="001C55A7"/>
    <w:rsid w:val="001D01C3"/>
    <w:rsid w:val="00220D79"/>
    <w:rsid w:val="00237572"/>
    <w:rsid w:val="002F4C18"/>
    <w:rsid w:val="00333791"/>
    <w:rsid w:val="00354EB8"/>
    <w:rsid w:val="003635C4"/>
    <w:rsid w:val="00426DFD"/>
    <w:rsid w:val="00430C06"/>
    <w:rsid w:val="0047795E"/>
    <w:rsid w:val="005072C8"/>
    <w:rsid w:val="00511E34"/>
    <w:rsid w:val="00587B7A"/>
    <w:rsid w:val="005A0EBD"/>
    <w:rsid w:val="005C124D"/>
    <w:rsid w:val="005D156F"/>
    <w:rsid w:val="005F6449"/>
    <w:rsid w:val="006220E3"/>
    <w:rsid w:val="00641174"/>
    <w:rsid w:val="00672B89"/>
    <w:rsid w:val="00674880"/>
    <w:rsid w:val="006D1018"/>
    <w:rsid w:val="006E2994"/>
    <w:rsid w:val="00717607"/>
    <w:rsid w:val="00721A87"/>
    <w:rsid w:val="00736A30"/>
    <w:rsid w:val="007418DA"/>
    <w:rsid w:val="007922C4"/>
    <w:rsid w:val="007B7860"/>
    <w:rsid w:val="007F3E71"/>
    <w:rsid w:val="008049CC"/>
    <w:rsid w:val="00813E73"/>
    <w:rsid w:val="008273FE"/>
    <w:rsid w:val="00840322"/>
    <w:rsid w:val="00841858"/>
    <w:rsid w:val="008609BA"/>
    <w:rsid w:val="00895CDD"/>
    <w:rsid w:val="008C2A30"/>
    <w:rsid w:val="009B292F"/>
    <w:rsid w:val="009B3C30"/>
    <w:rsid w:val="00A05746"/>
    <w:rsid w:val="00A5603D"/>
    <w:rsid w:val="00AA3DD2"/>
    <w:rsid w:val="00AD6E4F"/>
    <w:rsid w:val="00AE2065"/>
    <w:rsid w:val="00AE28A5"/>
    <w:rsid w:val="00B739B5"/>
    <w:rsid w:val="00BA3052"/>
    <w:rsid w:val="00BC12B3"/>
    <w:rsid w:val="00BF540F"/>
    <w:rsid w:val="00C81125"/>
    <w:rsid w:val="00C8270A"/>
    <w:rsid w:val="00C927F1"/>
    <w:rsid w:val="00CE7D97"/>
    <w:rsid w:val="00D167D2"/>
    <w:rsid w:val="00D6677B"/>
    <w:rsid w:val="00D66E0B"/>
    <w:rsid w:val="00D727D6"/>
    <w:rsid w:val="00DC2F1F"/>
    <w:rsid w:val="00E21612"/>
    <w:rsid w:val="00E3519E"/>
    <w:rsid w:val="00E73F90"/>
    <w:rsid w:val="00E756A3"/>
    <w:rsid w:val="00E93792"/>
    <w:rsid w:val="00EA0E53"/>
    <w:rsid w:val="00EA71EE"/>
    <w:rsid w:val="00EB7080"/>
    <w:rsid w:val="00F6248B"/>
    <w:rsid w:val="00FC7104"/>
    <w:rsid w:val="00FE68E0"/>
    <w:rsid w:val="01775A73"/>
    <w:rsid w:val="01874371"/>
    <w:rsid w:val="03FB660C"/>
    <w:rsid w:val="04E979DD"/>
    <w:rsid w:val="058F0189"/>
    <w:rsid w:val="06054C3A"/>
    <w:rsid w:val="060D2627"/>
    <w:rsid w:val="068774F1"/>
    <w:rsid w:val="07773A6B"/>
    <w:rsid w:val="09106D7F"/>
    <w:rsid w:val="0DC34A08"/>
    <w:rsid w:val="0EE52393"/>
    <w:rsid w:val="0FF3BE0B"/>
    <w:rsid w:val="11563AC8"/>
    <w:rsid w:val="13C72E82"/>
    <w:rsid w:val="147F4EB9"/>
    <w:rsid w:val="174104DD"/>
    <w:rsid w:val="185A604F"/>
    <w:rsid w:val="19DF709B"/>
    <w:rsid w:val="1B965141"/>
    <w:rsid w:val="1BC649DB"/>
    <w:rsid w:val="1C0E3533"/>
    <w:rsid w:val="1CE02913"/>
    <w:rsid w:val="1D2A27FF"/>
    <w:rsid w:val="1ECD568F"/>
    <w:rsid w:val="214948EF"/>
    <w:rsid w:val="224B7844"/>
    <w:rsid w:val="22FB7172"/>
    <w:rsid w:val="24150FC7"/>
    <w:rsid w:val="24B05A70"/>
    <w:rsid w:val="26D5563C"/>
    <w:rsid w:val="27367CE4"/>
    <w:rsid w:val="29633BD2"/>
    <w:rsid w:val="29E46970"/>
    <w:rsid w:val="2B50219A"/>
    <w:rsid w:val="2BA34EA2"/>
    <w:rsid w:val="2BCE0202"/>
    <w:rsid w:val="2BDEBC37"/>
    <w:rsid w:val="2C6739A6"/>
    <w:rsid w:val="2D2836B0"/>
    <w:rsid w:val="2DCE47E8"/>
    <w:rsid w:val="2DFD24E9"/>
    <w:rsid w:val="2F2D2EB0"/>
    <w:rsid w:val="31A84717"/>
    <w:rsid w:val="31B232D0"/>
    <w:rsid w:val="33792F26"/>
    <w:rsid w:val="338A1A00"/>
    <w:rsid w:val="352B5197"/>
    <w:rsid w:val="37271146"/>
    <w:rsid w:val="37DB4B4C"/>
    <w:rsid w:val="389ECFA7"/>
    <w:rsid w:val="38FFF4AA"/>
    <w:rsid w:val="393444FA"/>
    <w:rsid w:val="396D6E77"/>
    <w:rsid w:val="3AFD048D"/>
    <w:rsid w:val="3B191D2F"/>
    <w:rsid w:val="3C9666B2"/>
    <w:rsid w:val="3CD82228"/>
    <w:rsid w:val="3D7F4934"/>
    <w:rsid w:val="3DC96858"/>
    <w:rsid w:val="3DEF296E"/>
    <w:rsid w:val="3ECF366B"/>
    <w:rsid w:val="3F261A88"/>
    <w:rsid w:val="3F39EF2A"/>
    <w:rsid w:val="3FF720DA"/>
    <w:rsid w:val="402D540B"/>
    <w:rsid w:val="40CE3F2D"/>
    <w:rsid w:val="40F50077"/>
    <w:rsid w:val="412109FD"/>
    <w:rsid w:val="4135373C"/>
    <w:rsid w:val="4271404A"/>
    <w:rsid w:val="42843695"/>
    <w:rsid w:val="42AB50CB"/>
    <w:rsid w:val="42E45B26"/>
    <w:rsid w:val="43E06794"/>
    <w:rsid w:val="44185E43"/>
    <w:rsid w:val="450437DF"/>
    <w:rsid w:val="463D3E6F"/>
    <w:rsid w:val="47ED1876"/>
    <w:rsid w:val="481801F3"/>
    <w:rsid w:val="48CE7F6E"/>
    <w:rsid w:val="495637F2"/>
    <w:rsid w:val="4979681D"/>
    <w:rsid w:val="4A4629A8"/>
    <w:rsid w:val="4B0C5FAB"/>
    <w:rsid w:val="4DF93B95"/>
    <w:rsid w:val="4E7ADFB6"/>
    <w:rsid w:val="4F626D18"/>
    <w:rsid w:val="51261C67"/>
    <w:rsid w:val="5134698C"/>
    <w:rsid w:val="52263E21"/>
    <w:rsid w:val="55F43800"/>
    <w:rsid w:val="55FFE09E"/>
    <w:rsid w:val="56E27863"/>
    <w:rsid w:val="57FBF915"/>
    <w:rsid w:val="57FF3AE7"/>
    <w:rsid w:val="57FF8121"/>
    <w:rsid w:val="582D0D1C"/>
    <w:rsid w:val="59DF3E6B"/>
    <w:rsid w:val="5B8A7D14"/>
    <w:rsid w:val="5EC3172C"/>
    <w:rsid w:val="5F77F4F7"/>
    <w:rsid w:val="5FDD71F3"/>
    <w:rsid w:val="5FDF45BB"/>
    <w:rsid w:val="61EE0D04"/>
    <w:rsid w:val="61F4192F"/>
    <w:rsid w:val="65C11F0A"/>
    <w:rsid w:val="66EE6F04"/>
    <w:rsid w:val="69BA592F"/>
    <w:rsid w:val="6A0B4199"/>
    <w:rsid w:val="6B9FC1AB"/>
    <w:rsid w:val="6BEB3576"/>
    <w:rsid w:val="6C6EFD37"/>
    <w:rsid w:val="6CD4573D"/>
    <w:rsid w:val="6D142D9C"/>
    <w:rsid w:val="6E3F5348"/>
    <w:rsid w:val="6EFF969F"/>
    <w:rsid w:val="6F1D35E0"/>
    <w:rsid w:val="6F2F508C"/>
    <w:rsid w:val="6F510202"/>
    <w:rsid w:val="6F85925D"/>
    <w:rsid w:val="70001CFE"/>
    <w:rsid w:val="706A53C9"/>
    <w:rsid w:val="70A44E60"/>
    <w:rsid w:val="70FF086E"/>
    <w:rsid w:val="72D827A6"/>
    <w:rsid w:val="73930B2F"/>
    <w:rsid w:val="75953E7A"/>
    <w:rsid w:val="75B56BE2"/>
    <w:rsid w:val="76E96B49"/>
    <w:rsid w:val="76EF13E9"/>
    <w:rsid w:val="77FC7369"/>
    <w:rsid w:val="77FE0126"/>
    <w:rsid w:val="77FF0413"/>
    <w:rsid w:val="783F24DD"/>
    <w:rsid w:val="79B8B492"/>
    <w:rsid w:val="7B2B36D1"/>
    <w:rsid w:val="7B3F0C61"/>
    <w:rsid w:val="7BAFB2E6"/>
    <w:rsid w:val="7CD513D0"/>
    <w:rsid w:val="7CD917A3"/>
    <w:rsid w:val="7DDD1850"/>
    <w:rsid w:val="7DEBDEC7"/>
    <w:rsid w:val="7E3271CF"/>
    <w:rsid w:val="7E5DE168"/>
    <w:rsid w:val="7F112597"/>
    <w:rsid w:val="7F6726F5"/>
    <w:rsid w:val="7FBFC6D2"/>
    <w:rsid w:val="7FDB0822"/>
    <w:rsid w:val="7FE5413A"/>
    <w:rsid w:val="7FE77BA5"/>
    <w:rsid w:val="7FEEB74E"/>
    <w:rsid w:val="7FFF2530"/>
    <w:rsid w:val="9FFD40DF"/>
    <w:rsid w:val="A7D611EF"/>
    <w:rsid w:val="AF7F5965"/>
    <w:rsid w:val="B72E49A2"/>
    <w:rsid w:val="BABFC9DF"/>
    <w:rsid w:val="BBBE4011"/>
    <w:rsid w:val="BF92B1D2"/>
    <w:rsid w:val="BFDBBE00"/>
    <w:rsid w:val="CFBF83F6"/>
    <w:rsid w:val="D5FF91E3"/>
    <w:rsid w:val="DACCFB9A"/>
    <w:rsid w:val="DF7FAD90"/>
    <w:rsid w:val="E3D238C5"/>
    <w:rsid w:val="E7BECCC0"/>
    <w:rsid w:val="E7DF8229"/>
    <w:rsid w:val="ECF75049"/>
    <w:rsid w:val="EFBF377D"/>
    <w:rsid w:val="F15F7F31"/>
    <w:rsid w:val="F75FDCE7"/>
    <w:rsid w:val="F95F75B6"/>
    <w:rsid w:val="F9679966"/>
    <w:rsid w:val="F9EE81A5"/>
    <w:rsid w:val="FAE36B99"/>
    <w:rsid w:val="FB4D6F64"/>
    <w:rsid w:val="FB7AFED3"/>
    <w:rsid w:val="FBF6D287"/>
    <w:rsid w:val="FBFBF0BF"/>
    <w:rsid w:val="FCFED940"/>
    <w:rsid w:val="FDB986DA"/>
    <w:rsid w:val="FDFA47E4"/>
    <w:rsid w:val="FDFDB840"/>
    <w:rsid w:val="FED55146"/>
    <w:rsid w:val="FEF66BFF"/>
    <w:rsid w:val="FF5B0DD0"/>
    <w:rsid w:val="FF950461"/>
    <w:rsid w:val="FFAFC925"/>
    <w:rsid w:val="FFBFEB53"/>
    <w:rsid w:val="FFDFF74C"/>
    <w:rsid w:val="FFEFA7FA"/>
    <w:rsid w:val="FFFD4144"/>
    <w:rsid w:val="FFFF82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qFormat="1"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style>
  <w:style w:type="paragraph" w:styleId="3">
    <w:name w:val="Balloon Text"/>
    <w:basedOn w:val="1"/>
    <w:link w:val="15"/>
    <w:qFormat/>
    <w:uiPriority w:val="0"/>
    <w:rPr>
      <w:sz w:val="18"/>
      <w:szCs w:val="18"/>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qFormat/>
    <w:uiPriority w:val="0"/>
    <w:rPr>
      <w:b/>
      <w:bCs/>
    </w:rPr>
  </w:style>
  <w:style w:type="character" w:styleId="9">
    <w:name w:val="line number"/>
    <w:basedOn w:val="8"/>
    <w:qFormat/>
    <w:uiPriority w:val="0"/>
  </w:style>
  <w:style w:type="character" w:styleId="10">
    <w:name w:val="annotation reference"/>
    <w:basedOn w:val="8"/>
    <w:qFormat/>
    <w:uiPriority w:val="0"/>
    <w:rPr>
      <w:sz w:val="21"/>
      <w:szCs w:val="21"/>
    </w:rPr>
  </w:style>
  <w:style w:type="paragraph" w:styleId="11">
    <w:name w:val="No Spacing"/>
    <w:qFormat/>
    <w:uiPriority w:val="1"/>
    <w:pPr>
      <w:jc w:val="both"/>
    </w:pPr>
    <w:rPr>
      <w:rFonts w:ascii="Arial" w:hAnsi="Arial" w:eastAsia="宋体" w:cs="Arial"/>
      <w:sz w:val="18"/>
      <w:szCs w:val="18"/>
      <w:lang w:val="en-US" w:eastAsia="zh-CN" w:bidi="ar-SA"/>
    </w:rPr>
  </w:style>
  <w:style w:type="character" w:customStyle="1" w:styleId="12">
    <w:name w:val="页眉 字符"/>
    <w:basedOn w:val="8"/>
    <w:link w:val="5"/>
    <w:qFormat/>
    <w:uiPriority w:val="0"/>
    <w:rPr>
      <w:rFonts w:ascii="Times New Roman" w:hAnsi="Times New Roman" w:eastAsia="宋体" w:cs="Times New Roman"/>
      <w:kern w:val="2"/>
      <w:sz w:val="18"/>
      <w:szCs w:val="18"/>
    </w:rPr>
  </w:style>
  <w:style w:type="paragraph" w:styleId="13">
    <w:name w:val="List Paragraph"/>
    <w:basedOn w:val="1"/>
    <w:qFormat/>
    <w:uiPriority w:val="34"/>
    <w:pPr>
      <w:ind w:firstLine="420" w:firstLineChars="200"/>
    </w:pPr>
    <w:rPr>
      <w:rFonts w:ascii="Calibri" w:hAnsi="Calibri"/>
      <w:szCs w:val="22"/>
    </w:rPr>
  </w:style>
  <w:style w:type="paragraph" w:customStyle="1" w:styleId="14">
    <w:name w:val="列出段落2"/>
    <w:basedOn w:val="1"/>
    <w:qFormat/>
    <w:uiPriority w:val="99"/>
    <w:pPr>
      <w:ind w:firstLine="420" w:firstLineChars="200"/>
    </w:pPr>
    <w:rPr>
      <w:rFonts w:ascii="Calibri" w:hAnsi="Calibri"/>
      <w:szCs w:val="22"/>
    </w:rPr>
  </w:style>
  <w:style w:type="character" w:customStyle="1" w:styleId="15">
    <w:name w:val="批注框文本 字符"/>
    <w:basedOn w:val="8"/>
    <w:link w:val="3"/>
    <w:qFormat/>
    <w:uiPriority w:val="0"/>
    <w:rPr>
      <w:rFonts w:ascii="Times New Roman" w:hAnsi="Times New Roman" w:eastAsia="宋体" w:cs="Times New Roman"/>
      <w:kern w:val="2"/>
      <w:sz w:val="18"/>
      <w:szCs w:val="18"/>
    </w:rPr>
  </w:style>
  <w:style w:type="character" w:customStyle="1" w:styleId="16">
    <w:name w:val="批注文字 字符"/>
    <w:basedOn w:val="8"/>
    <w:link w:val="2"/>
    <w:qFormat/>
    <w:uiPriority w:val="0"/>
    <w:rPr>
      <w:rFonts w:ascii="Times New Roman" w:hAnsi="Times New Roman" w:eastAsia="宋体" w:cs="Times New Roman"/>
      <w:kern w:val="2"/>
      <w:sz w:val="21"/>
      <w:szCs w:val="24"/>
    </w:rPr>
  </w:style>
  <w:style w:type="character" w:customStyle="1" w:styleId="17">
    <w:name w:val="批注主题 字符"/>
    <w:basedOn w:val="16"/>
    <w:link w:val="6"/>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18964501-0281-45ED-BF6E-018C2E451BA1}">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19</Pages>
  <Words>8571</Words>
  <Characters>9182</Characters>
  <Lines>65</Lines>
  <Paragraphs>18</Paragraphs>
  <TotalTime>3</TotalTime>
  <ScaleCrop>false</ScaleCrop>
  <LinksUpToDate>false</LinksUpToDate>
  <CharactersWithSpaces>9220</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2026-05-11T16:40:00Z</dcterms:created>
  <dc:creator>刘倩倩</dc:creator>
  <cp:lastModifiedBy>佳佳屿</cp:lastModifiedBy>
  <cp:lastPrinted>2026-05-29T09:14:00Z</cp:lastPrinted>
  <dcterms:modified xsi:type="dcterms:W3CDTF">2026-07-23T05:06:42Z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ICV">
    <vt:lpwstr>3E80F0CEDFFF41DEABDE7B698017C2D6_13</vt:lpwstr>
  </property>
  <property fmtid="{D5CDD505-2E9C-101B-9397-08002B2CF9AE}" pid="4" name="KSOTemplateDocerSaveRecord">
    <vt:lpwstr>eyJoZGlkIjoiZWM0NjRiYzkwZTBhODBhYmI3YmUwOWZlYmFmNjZjODQiLCJ1c2VySWQiOiIyMzQwNzk2MDEifQ==</vt:lpwstr>
  </property>
</Properties>
</file>