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1B6F9">
      <w:pPr>
        <w:spacing w:line="520" w:lineRule="exact"/>
        <w:jc w:val="center"/>
        <w:rPr>
          <w:rFonts w:hint="eastAsia" w:eastAsia="方正小标宋简体"/>
          <w:bCs/>
          <w:color w:val="000000" w:themeColor="text1"/>
          <w:sz w:val="44"/>
          <w:szCs w:val="44"/>
          <w:highlight w:val="none"/>
          <w14:textFill>
            <w14:solidFill>
              <w14:schemeClr w14:val="tx1"/>
            </w14:solidFill>
          </w14:textFill>
        </w:rPr>
      </w:pPr>
      <w:r>
        <w:rPr>
          <w:rFonts w:hint="eastAsia" w:eastAsia="方正小标宋简体"/>
          <w:bCs/>
          <w:color w:val="000000" w:themeColor="text1"/>
          <w:sz w:val="44"/>
          <w:szCs w:val="44"/>
          <w:highlight w:val="none"/>
          <w14:textFill>
            <w14:solidFill>
              <w14:schemeClr w14:val="tx1"/>
            </w14:solidFill>
          </w14:textFill>
        </w:rPr>
        <w:t>电子峰速仪注册审查指导原则</w:t>
      </w:r>
    </w:p>
    <w:p w14:paraId="6B3EA3CE">
      <w:pPr>
        <w:spacing w:line="520" w:lineRule="exact"/>
        <w:jc w:val="center"/>
        <w:rPr>
          <w:rFonts w:eastAsia="方正小标宋简体"/>
          <w:bCs/>
          <w:color w:val="000000" w:themeColor="text1"/>
          <w:sz w:val="44"/>
          <w:szCs w:val="44"/>
          <w:highlight w:val="none"/>
          <w14:textFill>
            <w14:solidFill>
              <w14:schemeClr w14:val="tx1"/>
            </w14:solidFill>
          </w14:textFill>
        </w:rPr>
      </w:pPr>
      <w:r>
        <w:rPr>
          <w:rFonts w:hint="eastAsia" w:eastAsia="方正小标宋简体"/>
          <w:bCs/>
          <w:color w:val="000000" w:themeColor="text1"/>
          <w:sz w:val="44"/>
          <w:szCs w:val="44"/>
          <w:highlight w:val="none"/>
          <w14:textFill>
            <w14:solidFill>
              <w14:schemeClr w14:val="tx1"/>
            </w14:solidFill>
          </w14:textFill>
        </w:rPr>
        <w:t>（征求意见稿）</w:t>
      </w:r>
    </w:p>
    <w:p w14:paraId="13970FAC">
      <w:pPr>
        <w:pStyle w:val="21"/>
        <w:spacing w:line="520" w:lineRule="exact"/>
        <w:jc w:val="center"/>
        <w:rPr>
          <w:rFonts w:ascii="Times New Roman" w:hAnsi="Times New Roman" w:eastAsia="方正小标宋简体"/>
          <w:color w:val="000000" w:themeColor="text1"/>
          <w:kern w:val="2"/>
          <w:sz w:val="44"/>
          <w:szCs w:val="44"/>
          <w:highlight w:val="none"/>
          <w14:textFill>
            <w14:solidFill>
              <w14:schemeClr w14:val="tx1"/>
            </w14:solidFill>
          </w14:textFill>
        </w:rPr>
      </w:pPr>
    </w:p>
    <w:p w14:paraId="0CE31ECF">
      <w:pPr>
        <w:spacing w:line="520" w:lineRule="exact"/>
        <w:ind w:firstLine="640"/>
        <w:jc w:val="left"/>
        <w:rPr>
          <w:rFonts w:eastAsia="仿宋_GB2312"/>
          <w:color w:val="000000" w:themeColor="text1"/>
          <w:sz w:val="32"/>
          <w:szCs w:val="20"/>
          <w:highlight w:val="none"/>
          <w14:textFill>
            <w14:solidFill>
              <w14:schemeClr w14:val="tx1"/>
            </w14:solidFill>
          </w14:textFill>
        </w:rPr>
      </w:pPr>
      <w:r>
        <w:rPr>
          <w:rFonts w:eastAsia="仿宋_GB2312"/>
          <w:color w:val="000000" w:themeColor="text1"/>
          <w:sz w:val="32"/>
          <w:szCs w:val="20"/>
          <w:highlight w:val="none"/>
          <w14:textFill>
            <w14:solidFill>
              <w14:schemeClr w14:val="tx1"/>
            </w14:solidFill>
          </w14:textFill>
        </w:rPr>
        <w:t>本指导原则旨在指导注册申请人对</w:t>
      </w:r>
      <w:r>
        <w:rPr>
          <w:rFonts w:hint="eastAsia" w:eastAsia="仿宋_GB2312"/>
          <w:color w:val="000000" w:themeColor="text1"/>
          <w:sz w:val="32"/>
          <w:szCs w:val="20"/>
          <w:highlight w:val="none"/>
          <w14:textFill>
            <w14:solidFill>
              <w14:schemeClr w14:val="tx1"/>
            </w14:solidFill>
          </w14:textFill>
        </w:rPr>
        <w:t>电子峰速仪</w:t>
      </w:r>
      <w:r>
        <w:rPr>
          <w:rFonts w:eastAsia="仿宋_GB2312"/>
          <w:color w:val="000000" w:themeColor="text1"/>
          <w:sz w:val="32"/>
          <w:szCs w:val="20"/>
          <w:highlight w:val="none"/>
          <w14:textFill>
            <w14:solidFill>
              <w14:schemeClr w14:val="tx1"/>
            </w14:solidFill>
          </w14:textFill>
        </w:rPr>
        <w:t>注册申报资料的准备及撰写，同时也为技术审评部门</w:t>
      </w:r>
      <w:r>
        <w:rPr>
          <w:rFonts w:eastAsia="仿宋_GB2312"/>
          <w:color w:val="000000" w:themeColor="text1"/>
          <w:sz w:val="32"/>
          <w:szCs w:val="32"/>
          <w:highlight w:val="none"/>
          <w14:textFill>
            <w14:solidFill>
              <w14:schemeClr w14:val="tx1"/>
            </w14:solidFill>
          </w14:textFill>
        </w:rPr>
        <w:t>审评</w:t>
      </w:r>
      <w:r>
        <w:rPr>
          <w:rFonts w:eastAsia="仿宋_GB2312"/>
          <w:color w:val="000000" w:themeColor="text1"/>
          <w:sz w:val="32"/>
          <w:szCs w:val="20"/>
          <w:highlight w:val="none"/>
          <w14:textFill>
            <w14:solidFill>
              <w14:schemeClr w14:val="tx1"/>
            </w14:solidFill>
          </w14:textFill>
        </w:rPr>
        <w:t>注册申报资料提供参考。</w:t>
      </w:r>
    </w:p>
    <w:p w14:paraId="28E5E979">
      <w:pPr>
        <w:spacing w:line="520" w:lineRule="exact"/>
        <w:ind w:firstLine="640"/>
        <w:jc w:val="left"/>
        <w:rPr>
          <w:rFonts w:eastAsia="仿宋_GB2312"/>
          <w:color w:val="000000" w:themeColor="text1"/>
          <w:sz w:val="32"/>
          <w:szCs w:val="20"/>
          <w:highlight w:val="none"/>
          <w14:textFill>
            <w14:solidFill>
              <w14:schemeClr w14:val="tx1"/>
            </w14:solidFill>
          </w14:textFill>
        </w:rPr>
      </w:pPr>
      <w:r>
        <w:rPr>
          <w:rFonts w:eastAsia="仿宋_GB2312"/>
          <w:color w:val="000000" w:themeColor="text1"/>
          <w:sz w:val="32"/>
          <w:szCs w:val="20"/>
          <w:highlight w:val="none"/>
          <w14:textFill>
            <w14:solidFill>
              <w14:schemeClr w14:val="tx1"/>
            </w14:solidFill>
          </w14:textFill>
        </w:rPr>
        <w:t>本指导原则是对</w:t>
      </w:r>
      <w:r>
        <w:rPr>
          <w:rFonts w:hint="eastAsia" w:eastAsia="仿宋_GB2312"/>
          <w:color w:val="000000" w:themeColor="text1"/>
          <w:sz w:val="32"/>
          <w:szCs w:val="20"/>
          <w:highlight w:val="none"/>
          <w14:textFill>
            <w14:solidFill>
              <w14:schemeClr w14:val="tx1"/>
            </w14:solidFill>
          </w14:textFill>
        </w:rPr>
        <w:t>电子峰速仪</w:t>
      </w:r>
      <w:r>
        <w:rPr>
          <w:rFonts w:eastAsia="仿宋_GB2312"/>
          <w:color w:val="000000" w:themeColor="text1"/>
          <w:sz w:val="32"/>
          <w:szCs w:val="20"/>
          <w:highlight w:val="none"/>
          <w14:textFill>
            <w14:solidFill>
              <w14:schemeClr w14:val="tx1"/>
            </w14:solidFill>
          </w14:textFill>
        </w:rPr>
        <w:t>的一般要求，申请人应依据产品的具体特性确定其中内容是否适用。若不适用，需具体阐述理由及相应的科学依据，并依据产品的具体特性对注册申报资料的内容进行充实和细化。</w:t>
      </w:r>
    </w:p>
    <w:p w14:paraId="4CC42D90">
      <w:pPr>
        <w:adjustRightInd w:val="0"/>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本指导原则是供</w:t>
      </w:r>
      <w:r>
        <w:rPr>
          <w:rFonts w:hint="eastAsia" w:eastAsia="仿宋_GB2312"/>
          <w:color w:val="000000" w:themeColor="text1"/>
          <w:sz w:val="32"/>
          <w:szCs w:val="32"/>
          <w:highlight w:val="none"/>
          <w14:textFill>
            <w14:solidFill>
              <w14:schemeClr w14:val="tx1"/>
            </w14:solidFill>
          </w14:textFill>
        </w:rPr>
        <w:t>注册</w:t>
      </w:r>
      <w:r>
        <w:rPr>
          <w:rFonts w:eastAsia="仿宋_GB2312"/>
          <w:color w:val="000000" w:themeColor="text1"/>
          <w:sz w:val="32"/>
          <w:szCs w:val="32"/>
          <w:highlight w:val="none"/>
          <w14:textFill>
            <w14:solidFill>
              <w14:schemeClr w14:val="tx1"/>
            </w14:solidFill>
          </w14:textFill>
        </w:rPr>
        <w:t>申请人和</w:t>
      </w:r>
      <w:r>
        <w:rPr>
          <w:rFonts w:hint="eastAsia" w:eastAsia="仿宋_GB2312"/>
          <w:color w:val="000000" w:themeColor="text1"/>
          <w:sz w:val="32"/>
          <w:szCs w:val="32"/>
          <w:highlight w:val="none"/>
          <w14:textFill>
            <w14:solidFill>
              <w14:schemeClr w14:val="tx1"/>
            </w14:solidFill>
          </w14:textFill>
        </w:rPr>
        <w:t>技术审评</w:t>
      </w:r>
      <w:r>
        <w:rPr>
          <w:rFonts w:eastAsia="仿宋_GB2312"/>
          <w:color w:val="000000" w:themeColor="text1"/>
          <w:sz w:val="32"/>
          <w:szCs w:val="32"/>
          <w:highlight w:val="none"/>
          <w14:textFill>
            <w14:solidFill>
              <w14:schemeClr w14:val="tx1"/>
            </w14:solidFill>
          </w14:textFill>
        </w:rPr>
        <w:t>人员使用的指导</w:t>
      </w:r>
      <w:r>
        <w:rPr>
          <w:rFonts w:hint="eastAsia" w:eastAsia="仿宋_GB2312"/>
          <w:color w:val="000000" w:themeColor="text1"/>
          <w:sz w:val="32"/>
          <w:szCs w:val="32"/>
          <w:highlight w:val="none"/>
          <w14:textFill>
            <w14:solidFill>
              <w14:schemeClr w14:val="tx1"/>
            </w14:solidFill>
          </w14:textFill>
        </w:rPr>
        <w:t>性</w:t>
      </w:r>
      <w:r>
        <w:rPr>
          <w:rFonts w:eastAsia="仿宋_GB2312"/>
          <w:color w:val="000000" w:themeColor="text1"/>
          <w:sz w:val="32"/>
          <w:szCs w:val="32"/>
          <w:highlight w:val="none"/>
          <w14:textFill>
            <w14:solidFill>
              <w14:schemeClr w14:val="tx1"/>
            </w14:solidFill>
          </w14:textFill>
        </w:rPr>
        <w:t>文件，不涉及注册审批等行政事项，亦不作为法规强制执行，如有能够满足法规要求的其他方法，也可以采用，但应提供详细的研究资料和验证资料。应在遵循相关法规的前提下使用本指导原则。</w:t>
      </w:r>
    </w:p>
    <w:p w14:paraId="79766F92">
      <w:pPr>
        <w:spacing w:line="520" w:lineRule="exact"/>
        <w:ind w:firstLine="640"/>
        <w:jc w:val="left"/>
        <w:rPr>
          <w:rFonts w:eastAsia="仿宋_GB2312"/>
          <w:color w:val="000000" w:themeColor="text1"/>
          <w:sz w:val="32"/>
          <w:szCs w:val="20"/>
          <w:highlight w:val="none"/>
          <w14:textFill>
            <w14:solidFill>
              <w14:schemeClr w14:val="tx1"/>
            </w14:solidFill>
          </w14:textFill>
        </w:rPr>
      </w:pPr>
      <w:r>
        <w:rPr>
          <w:rFonts w:eastAsia="仿宋_GB2312"/>
          <w:color w:val="000000" w:themeColor="text1"/>
          <w:sz w:val="32"/>
          <w:szCs w:val="20"/>
          <w:highlight w:val="none"/>
          <w14:textFill>
            <w14:solidFill>
              <w14:schemeClr w14:val="tx1"/>
            </w14:solidFill>
          </w14:textFill>
        </w:rPr>
        <w:t>本指导原则是在现行法规</w:t>
      </w:r>
      <w:r>
        <w:rPr>
          <w:rFonts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20"/>
          <w:highlight w:val="none"/>
          <w14:textFill>
            <w14:solidFill>
              <w14:schemeClr w14:val="tx1"/>
            </w14:solidFill>
          </w14:textFill>
        </w:rPr>
        <w:t>标准体系以及当前认知水平下制定，随着法规</w:t>
      </w:r>
      <w:r>
        <w:rPr>
          <w:rFonts w:hint="eastAsia" w:eastAsia="仿宋_GB2312"/>
          <w:color w:val="000000" w:themeColor="text1"/>
          <w:sz w:val="32"/>
          <w:szCs w:val="20"/>
          <w:highlight w:val="none"/>
          <w14:textFill>
            <w14:solidFill>
              <w14:schemeClr w14:val="tx1"/>
            </w14:solidFill>
          </w14:textFill>
        </w:rPr>
        <w:t>、</w:t>
      </w:r>
      <w:r>
        <w:rPr>
          <w:rFonts w:eastAsia="仿宋_GB2312"/>
          <w:color w:val="000000" w:themeColor="text1"/>
          <w:sz w:val="32"/>
          <w:szCs w:val="20"/>
          <w:highlight w:val="none"/>
          <w14:textFill>
            <w14:solidFill>
              <w14:schemeClr w14:val="tx1"/>
            </w14:solidFill>
          </w14:textFill>
        </w:rPr>
        <w:t>标准</w:t>
      </w:r>
      <w:r>
        <w:rPr>
          <w:rFonts w:hint="eastAsia" w:eastAsia="仿宋_GB2312"/>
          <w:color w:val="000000" w:themeColor="text1"/>
          <w:sz w:val="32"/>
          <w:szCs w:val="20"/>
          <w:highlight w:val="none"/>
          <w14:textFill>
            <w14:solidFill>
              <w14:schemeClr w14:val="tx1"/>
            </w14:solidFill>
          </w14:textFill>
        </w:rPr>
        <w:t>体系</w:t>
      </w:r>
      <w:r>
        <w:rPr>
          <w:rFonts w:eastAsia="仿宋_GB2312"/>
          <w:color w:val="000000" w:themeColor="text1"/>
          <w:sz w:val="32"/>
          <w:szCs w:val="20"/>
          <w:highlight w:val="none"/>
          <w14:textFill>
            <w14:solidFill>
              <w14:schemeClr w14:val="tx1"/>
            </w14:solidFill>
          </w14:textFill>
        </w:rPr>
        <w:t>的不断完善</w:t>
      </w:r>
      <w:r>
        <w:rPr>
          <w:rFonts w:hint="eastAsia" w:eastAsia="仿宋_GB2312"/>
          <w:color w:val="000000" w:themeColor="text1"/>
          <w:sz w:val="32"/>
          <w:szCs w:val="20"/>
          <w:highlight w:val="none"/>
          <w14:textFill>
            <w14:solidFill>
              <w14:schemeClr w14:val="tx1"/>
            </w14:solidFill>
          </w14:textFill>
        </w:rPr>
        <w:t>和</w:t>
      </w:r>
      <w:r>
        <w:rPr>
          <w:rFonts w:eastAsia="仿宋_GB2312"/>
          <w:color w:val="000000" w:themeColor="text1"/>
          <w:sz w:val="32"/>
          <w:szCs w:val="20"/>
          <w:highlight w:val="none"/>
          <w14:textFill>
            <w14:solidFill>
              <w14:schemeClr w14:val="tx1"/>
            </w14:solidFill>
          </w14:textFill>
        </w:rPr>
        <w:t>科学技术的不断发展，</w:t>
      </w:r>
      <w:r>
        <w:rPr>
          <w:rFonts w:eastAsia="仿宋_GB2312"/>
          <w:color w:val="000000" w:themeColor="text1"/>
          <w:sz w:val="32"/>
          <w:szCs w:val="32"/>
          <w:highlight w:val="none"/>
          <w14:textFill>
            <w14:solidFill>
              <w14:schemeClr w14:val="tx1"/>
            </w14:solidFill>
          </w14:textFill>
        </w:rPr>
        <w:t>本指导原则</w:t>
      </w:r>
      <w:r>
        <w:rPr>
          <w:rFonts w:eastAsia="仿宋_GB2312"/>
          <w:color w:val="000000" w:themeColor="text1"/>
          <w:sz w:val="32"/>
          <w:szCs w:val="20"/>
          <w:highlight w:val="none"/>
          <w14:textFill>
            <w14:solidFill>
              <w14:schemeClr w14:val="tx1"/>
            </w14:solidFill>
          </w14:textFill>
        </w:rPr>
        <w:t>相关内容也将适时进行调整</w:t>
      </w:r>
      <w:r>
        <w:rPr>
          <w:rFonts w:hint="eastAsia" w:eastAsia="仿宋_GB2312"/>
          <w:color w:val="000000" w:themeColor="text1"/>
          <w:sz w:val="32"/>
          <w:szCs w:val="20"/>
          <w:highlight w:val="none"/>
          <w14:textFill>
            <w14:solidFill>
              <w14:schemeClr w14:val="tx1"/>
            </w14:solidFill>
          </w14:textFill>
        </w:rPr>
        <w:t>。</w:t>
      </w:r>
    </w:p>
    <w:p w14:paraId="719DA9D9">
      <w:pPr>
        <w:spacing w:line="520" w:lineRule="exact"/>
        <w:ind w:firstLine="640" w:firstLineChars="200"/>
        <w:rPr>
          <w:rFonts w:eastAsia="黑体"/>
          <w:bCs/>
          <w:color w:val="000000" w:themeColor="text1"/>
          <w:sz w:val="32"/>
          <w:szCs w:val="32"/>
          <w:highlight w:val="none"/>
          <w14:textFill>
            <w14:solidFill>
              <w14:schemeClr w14:val="tx1"/>
            </w14:solidFill>
          </w14:textFill>
        </w:rPr>
      </w:pPr>
      <w:r>
        <w:rPr>
          <w:rFonts w:eastAsia="黑体"/>
          <w:bCs/>
          <w:color w:val="000000" w:themeColor="text1"/>
          <w:sz w:val="32"/>
          <w:szCs w:val="32"/>
          <w:highlight w:val="none"/>
          <w14:textFill>
            <w14:solidFill>
              <w14:schemeClr w14:val="tx1"/>
            </w14:solidFill>
          </w14:textFill>
        </w:rPr>
        <w:t>一、适用范围</w:t>
      </w:r>
    </w:p>
    <w:p w14:paraId="58E1F4F6">
      <w:pPr>
        <w:spacing w:line="520" w:lineRule="exact"/>
        <w:ind w:firstLine="640"/>
        <w:jc w:val="left"/>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本指导原则适用于《医疗器械分类目录》中分类编码为07-02-04，管理类别为二类的电子峰速仪。</w:t>
      </w:r>
    </w:p>
    <w:p w14:paraId="68F641A1">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本指导原则范围不包含其他</w:t>
      </w:r>
      <w:r>
        <w:rPr>
          <w:rFonts w:hint="eastAsia" w:eastAsia="仿宋_GB2312"/>
          <w:color w:val="000000" w:themeColor="text1"/>
          <w:sz w:val="32"/>
          <w:szCs w:val="32"/>
          <w:highlight w:val="none"/>
          <w:lang w:val="en-US" w:eastAsia="zh-CN"/>
          <w14:textFill>
            <w14:solidFill>
              <w14:schemeClr w14:val="tx1"/>
            </w14:solidFill>
          </w14:textFill>
        </w:rPr>
        <w:t>工作</w:t>
      </w:r>
      <w:r>
        <w:rPr>
          <w:rFonts w:eastAsia="仿宋_GB2312"/>
          <w:color w:val="000000" w:themeColor="text1"/>
          <w:sz w:val="32"/>
          <w:szCs w:val="32"/>
          <w:highlight w:val="none"/>
          <w14:textFill>
            <w14:solidFill>
              <w14:schemeClr w14:val="tx1"/>
            </w14:solidFill>
          </w14:textFill>
        </w:rPr>
        <w:t>原理</w:t>
      </w:r>
      <w:r>
        <w:rPr>
          <w:rFonts w:hint="eastAsia" w:eastAsia="仿宋_GB2312"/>
          <w:color w:val="000000" w:themeColor="text1"/>
          <w:sz w:val="32"/>
          <w:szCs w:val="32"/>
          <w:highlight w:val="none"/>
          <w:lang w:val="en-US" w:eastAsia="zh-CN"/>
          <w14:textFill>
            <w14:solidFill>
              <w14:schemeClr w14:val="tx1"/>
            </w14:solidFill>
          </w14:textFill>
        </w:rPr>
        <w:t>用于</w:t>
      </w:r>
      <w:r>
        <w:rPr>
          <w:rFonts w:hint="eastAsia" w:eastAsia="仿宋_GB2312"/>
          <w:color w:val="000000" w:themeColor="text1"/>
          <w:sz w:val="32"/>
          <w:szCs w:val="32"/>
          <w:highlight w:val="none"/>
          <w14:textFill>
            <w14:solidFill>
              <w14:schemeClr w14:val="tx1"/>
            </w14:solidFill>
          </w14:textFill>
        </w:rPr>
        <w:t>测量哮喘患者、慢性阻塞肺病患者最大呼气流量</w:t>
      </w:r>
      <w:r>
        <w:rPr>
          <w:rFonts w:eastAsia="仿宋_GB2312"/>
          <w:color w:val="000000" w:themeColor="text1"/>
          <w:sz w:val="32"/>
          <w:szCs w:val="32"/>
          <w:highlight w:val="none"/>
          <w14:textFill>
            <w14:solidFill>
              <w14:schemeClr w14:val="tx1"/>
            </w14:solidFill>
          </w14:textFill>
        </w:rPr>
        <w:t>的设备（如</w:t>
      </w:r>
      <w:r>
        <w:rPr>
          <w:rFonts w:hint="eastAsia" w:eastAsia="仿宋_GB2312"/>
          <w:color w:val="000000" w:themeColor="text1"/>
          <w:sz w:val="32"/>
          <w:szCs w:val="32"/>
          <w:highlight w:val="none"/>
          <w14:textFill>
            <w14:solidFill>
              <w14:schemeClr w14:val="tx1"/>
            </w14:solidFill>
          </w14:textFill>
        </w:rPr>
        <w:t>机械式峰速仪</w:t>
      </w:r>
      <w:r>
        <w:rPr>
          <w:rFonts w:eastAsia="仿宋_GB2312"/>
          <w:color w:val="000000" w:themeColor="text1"/>
          <w:sz w:val="32"/>
          <w:szCs w:val="32"/>
          <w:highlight w:val="none"/>
          <w14:textFill>
            <w14:solidFill>
              <w14:schemeClr w14:val="tx1"/>
            </w14:solidFill>
          </w14:textFill>
        </w:rPr>
        <w:t>等），但在审查这些设备时也可参考本原则部分内容。</w:t>
      </w:r>
    </w:p>
    <w:p w14:paraId="3223E6D5">
      <w:pPr>
        <w:numPr>
          <w:ilvl w:val="0"/>
          <w:numId w:val="1"/>
        </w:numPr>
        <w:spacing w:line="520" w:lineRule="exact"/>
        <w:ind w:firstLine="640" w:firstLineChars="200"/>
        <w:rPr>
          <w:rFonts w:eastAsia="黑体"/>
          <w:bCs/>
          <w:color w:val="000000" w:themeColor="text1"/>
          <w:sz w:val="32"/>
          <w:szCs w:val="32"/>
          <w:highlight w:val="none"/>
          <w14:textFill>
            <w14:solidFill>
              <w14:schemeClr w14:val="tx1"/>
            </w14:solidFill>
          </w14:textFill>
        </w:rPr>
      </w:pPr>
      <w:r>
        <w:rPr>
          <w:rFonts w:hint="eastAsia" w:eastAsia="黑体"/>
          <w:bCs/>
          <w:color w:val="000000" w:themeColor="text1"/>
          <w:sz w:val="32"/>
          <w:szCs w:val="32"/>
          <w:highlight w:val="none"/>
          <w14:textFill>
            <w14:solidFill>
              <w14:schemeClr w14:val="tx1"/>
            </w14:solidFill>
          </w14:textFill>
        </w:rPr>
        <w:t>注册</w:t>
      </w:r>
      <w:r>
        <w:rPr>
          <w:rFonts w:eastAsia="黑体"/>
          <w:bCs/>
          <w:color w:val="000000" w:themeColor="text1"/>
          <w:sz w:val="32"/>
          <w:szCs w:val="32"/>
          <w:highlight w:val="none"/>
          <w14:textFill>
            <w14:solidFill>
              <w14:schemeClr w14:val="tx1"/>
            </w14:solidFill>
          </w14:textFill>
        </w:rPr>
        <w:t>审查要点</w:t>
      </w:r>
    </w:p>
    <w:p w14:paraId="2D8BC023">
      <w:pPr>
        <w:pStyle w:val="3"/>
        <w:keepNext w:val="0"/>
        <w:keepLines w:val="0"/>
        <w:numPr>
          <w:ilvl w:val="0"/>
          <w:numId w:val="2"/>
        </w:numPr>
        <w:ind w:firstLine="640"/>
        <w:rPr>
          <w:rFonts w:ascii="Times New Roman" w:hAnsi="Times New Roman" w:cs="楷体_GB2312"/>
          <w:b w:val="0"/>
          <w:bCs/>
          <w:color w:val="000000" w:themeColor="text1"/>
          <w:highlight w:val="none"/>
          <w14:textFill>
            <w14:solidFill>
              <w14:schemeClr w14:val="tx1"/>
            </w14:solidFill>
          </w14:textFill>
        </w:rPr>
      </w:pPr>
      <w:r>
        <w:rPr>
          <w:rFonts w:hint="eastAsia" w:ascii="Times New Roman" w:hAnsi="Times New Roman" w:cs="楷体_GB2312"/>
          <w:b w:val="0"/>
          <w:bCs/>
          <w:color w:val="000000" w:themeColor="text1"/>
          <w:highlight w:val="none"/>
          <w14:textFill>
            <w14:solidFill>
              <w14:schemeClr w14:val="tx1"/>
            </w14:solidFill>
          </w14:textFill>
        </w:rPr>
        <w:t>监管信息</w:t>
      </w:r>
    </w:p>
    <w:p w14:paraId="1806A2EA">
      <w:pPr>
        <w:spacing w:line="520" w:lineRule="exact"/>
        <w:ind w:firstLine="640" w:firstLineChars="200"/>
        <w:outlineLvl w:val="0"/>
        <w:rPr>
          <w:color w:val="000000" w:themeColor="text1"/>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明确申请表中</w:t>
      </w:r>
      <w:r>
        <w:rPr>
          <w:rFonts w:eastAsia="仿宋_GB2312"/>
          <w:snapToGrid w:val="0"/>
          <w:color w:val="000000" w:themeColor="text1"/>
          <w:sz w:val="32"/>
          <w:szCs w:val="32"/>
          <w:highlight w:val="none"/>
          <w14:textFill>
            <w14:solidFill>
              <w14:schemeClr w14:val="tx1"/>
            </w14:solidFill>
          </w14:textFill>
        </w:rPr>
        <w:t>产品名称、管理类别、分类编码、型号规格、产品组成、适用范围等信息。</w:t>
      </w:r>
    </w:p>
    <w:p w14:paraId="5C6416B6">
      <w:pPr>
        <w:pStyle w:val="4"/>
        <w:keepNext w:val="0"/>
        <w:keepLines w:val="0"/>
        <w:ind w:firstLine="640" w:firstLineChars="200"/>
        <w:rPr>
          <w:rFonts w:hint="default" w:ascii="Times New Roman"/>
          <w:b w:val="0"/>
          <w:bCs/>
          <w:color w:val="000000" w:themeColor="text1"/>
          <w:highlight w:val="none"/>
          <w14:textFill>
            <w14:solidFill>
              <w14:schemeClr w14:val="tx1"/>
            </w14:solidFill>
          </w14:textFill>
        </w:rPr>
      </w:pPr>
      <w:r>
        <w:rPr>
          <w:rFonts w:hint="default" w:ascii="Times New Roman"/>
          <w:b w:val="0"/>
          <w:bCs/>
          <w:color w:val="000000" w:themeColor="text1"/>
          <w:highlight w:val="none"/>
          <w14:textFill>
            <w14:solidFill>
              <w14:schemeClr w14:val="tx1"/>
            </w14:solidFill>
          </w14:textFill>
        </w:rPr>
        <w:t>1.</w:t>
      </w:r>
      <w:r>
        <w:rPr>
          <w:rFonts w:ascii="Times New Roman" w:cs="仿宋_GB2312"/>
          <w:b w:val="0"/>
          <w:bCs/>
          <w:color w:val="000000" w:themeColor="text1"/>
          <w:highlight w:val="none"/>
          <w14:textFill>
            <w14:solidFill>
              <w14:schemeClr w14:val="tx1"/>
            </w14:solidFill>
          </w14:textFill>
        </w:rPr>
        <w:t>产品名称</w:t>
      </w:r>
    </w:p>
    <w:p w14:paraId="20633E5D">
      <w:pPr>
        <w:widowControl/>
        <w:spacing w:line="520" w:lineRule="exact"/>
        <w:ind w:firstLine="640" w:firstLineChars="20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产品的</w:t>
      </w:r>
      <w:r>
        <w:rPr>
          <w:rFonts w:eastAsia="仿宋_GB2312"/>
          <w:color w:val="000000" w:themeColor="text1"/>
          <w:sz w:val="32"/>
          <w:szCs w:val="32"/>
          <w:highlight w:val="none"/>
          <w14:textFill>
            <w14:solidFill>
              <w14:schemeClr w14:val="tx1"/>
            </w14:solidFill>
          </w14:textFill>
        </w:rPr>
        <w:t>命名</w:t>
      </w:r>
      <w:r>
        <w:rPr>
          <w:rFonts w:hint="eastAsia" w:eastAsia="仿宋_GB2312"/>
          <w:color w:val="000000" w:themeColor="text1"/>
          <w:sz w:val="32"/>
          <w:szCs w:val="32"/>
          <w:highlight w:val="none"/>
          <w14:textFill>
            <w14:solidFill>
              <w14:schemeClr w14:val="tx1"/>
            </w14:solidFill>
          </w14:textFill>
        </w:rPr>
        <w:t>应符合《医疗器械通用名称</w:t>
      </w:r>
      <w:r>
        <w:rPr>
          <w:rFonts w:hint="eastAsia" w:eastAsia="仿宋_GB2312" w:cs="仿宋_GB2312"/>
          <w:color w:val="000000" w:themeColor="text1"/>
          <w:sz w:val="32"/>
          <w:szCs w:val="28"/>
          <w:highlight w:val="none"/>
          <w14:textFill>
            <w14:solidFill>
              <w14:schemeClr w14:val="tx1"/>
            </w14:solidFill>
          </w14:textFill>
        </w:rPr>
        <w:t>命名规则》</w:t>
      </w:r>
      <w:r>
        <w:rPr>
          <w:rFonts w:eastAsia="仿宋_GB2312"/>
          <w:color w:val="000000" w:themeColor="text1"/>
          <w:sz w:val="32"/>
          <w:szCs w:val="32"/>
          <w:highlight w:val="none"/>
          <w14:textFill>
            <w14:solidFill>
              <w14:schemeClr w14:val="tx1"/>
            </w14:solidFill>
          </w14:textFill>
        </w:rPr>
        <w:t>《医疗器械分类目录》</w:t>
      </w:r>
      <w:r>
        <w:rPr>
          <w:rFonts w:hint="eastAsia" w:eastAsia="仿宋_GB2312"/>
          <w:color w:val="000000" w:themeColor="text1"/>
          <w:sz w:val="32"/>
          <w:szCs w:val="32"/>
          <w:highlight w:val="none"/>
          <w14:textFill>
            <w14:solidFill>
              <w14:schemeClr w14:val="tx1"/>
            </w14:solidFill>
          </w14:textFill>
        </w:rPr>
        <w:t>，参照</w:t>
      </w:r>
      <w:r>
        <w:rPr>
          <w:rFonts w:hint="eastAsia" w:eastAsia="仿宋_GB2312" w:cs="仿宋_GB2312"/>
          <w:color w:val="000000" w:themeColor="text1"/>
          <w:sz w:val="32"/>
          <w:szCs w:val="28"/>
          <w:highlight w:val="none"/>
          <w14:textFill>
            <w14:solidFill>
              <w14:schemeClr w14:val="tx1"/>
            </w14:solidFill>
          </w14:textFill>
        </w:rPr>
        <w:t>《医疗器械通用名称命名指导原则》《医用诊察和监护器械通用名称命名指导原则》</w:t>
      </w:r>
      <w:r>
        <w:rPr>
          <w:rFonts w:hint="eastAsia" w:eastAsia="仿宋_GB2312"/>
          <w:color w:val="000000" w:themeColor="text1"/>
          <w:sz w:val="32"/>
          <w:szCs w:val="32"/>
          <w:highlight w:val="none"/>
          <w14:textFill>
            <w14:solidFill>
              <w14:schemeClr w14:val="tx1"/>
            </w14:solidFill>
          </w14:textFill>
        </w:rPr>
        <w:t>和相关法规、规范性文件的要求。</w:t>
      </w:r>
    </w:p>
    <w:p w14:paraId="4676EA0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一般可以按“特征词+核心词”的方式命名，例如：</w:t>
      </w:r>
      <w:r>
        <w:rPr>
          <w:rFonts w:hint="eastAsia" w:eastAsia="仿宋_GB2312"/>
          <w:color w:val="000000" w:themeColor="text1"/>
          <w:sz w:val="32"/>
          <w:szCs w:val="32"/>
          <w:highlight w:val="none"/>
          <w14:textFill>
            <w14:solidFill>
              <w14:schemeClr w14:val="tx1"/>
            </w14:solidFill>
          </w14:textFill>
        </w:rPr>
        <w:t>电子峰速仪、</w:t>
      </w:r>
      <w:r>
        <w:rPr>
          <w:rFonts w:hint="eastAsia" w:eastAsia="仿宋_GB2312"/>
          <w:color w:val="000000" w:themeColor="text1"/>
          <w:sz w:val="32"/>
          <w:szCs w:val="32"/>
          <w:highlight w:val="none"/>
          <w:lang w:val="en-US" w:eastAsia="zh-CN"/>
          <w14:textFill>
            <w14:solidFill>
              <w14:schemeClr w14:val="tx1"/>
            </w14:solidFill>
          </w14:textFill>
        </w:rPr>
        <w:t>呼气峰值流量计</w:t>
      </w:r>
      <w:r>
        <w:rPr>
          <w:rFonts w:eastAsia="仿宋_GB2312"/>
          <w:color w:val="000000" w:themeColor="text1"/>
          <w:sz w:val="32"/>
          <w:szCs w:val="32"/>
          <w:highlight w:val="none"/>
          <w14:textFill>
            <w14:solidFill>
              <w14:schemeClr w14:val="tx1"/>
            </w14:solidFill>
          </w14:textFill>
        </w:rPr>
        <w:t>等。</w:t>
      </w:r>
    </w:p>
    <w:p w14:paraId="319007C8">
      <w:pPr>
        <w:overflowPunct w:val="0"/>
        <w:autoSpaceDE w:val="0"/>
        <w:autoSpaceDN w:val="0"/>
        <w:spacing w:line="520" w:lineRule="exact"/>
        <w:ind w:firstLine="640" w:firstLineChars="200"/>
        <w:outlineLvl w:val="2"/>
        <w:rPr>
          <w:rFonts w:eastAsia="仿宋_GB2312"/>
          <w:snapToGrid w:val="0"/>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2.</w:t>
      </w:r>
      <w:r>
        <w:rPr>
          <w:rFonts w:eastAsia="仿宋_GB2312"/>
          <w:snapToGrid w:val="0"/>
          <w:color w:val="000000" w:themeColor="text1"/>
          <w:sz w:val="32"/>
          <w:szCs w:val="32"/>
          <w:highlight w:val="none"/>
          <w14:textFill>
            <w14:solidFill>
              <w14:schemeClr w14:val="tx1"/>
            </w14:solidFill>
          </w14:textFill>
        </w:rPr>
        <w:t>分类编码</w:t>
      </w:r>
    </w:p>
    <w:p w14:paraId="066E3578">
      <w:pPr>
        <w:overflowPunct w:val="0"/>
        <w:autoSpaceDE w:val="0"/>
        <w:autoSpaceDN w:val="0"/>
        <w:spacing w:line="520" w:lineRule="exact"/>
        <w:ind w:firstLine="640" w:firstLineChars="200"/>
        <w:rPr>
          <w:color w:val="000000" w:themeColor="text1"/>
          <w:highlight w:val="none"/>
          <w14:textFill>
            <w14:solidFill>
              <w14:schemeClr w14:val="tx1"/>
            </w14:solidFill>
          </w14:textFill>
        </w:rPr>
      </w:pPr>
      <w:r>
        <w:rPr>
          <w:rFonts w:eastAsia="仿宋_GB2312"/>
          <w:color w:val="000000" w:themeColor="text1"/>
          <w:sz w:val="32"/>
          <w:szCs w:val="28"/>
          <w:highlight w:val="none"/>
          <w14:textFill>
            <w14:solidFill>
              <w14:schemeClr w14:val="tx1"/>
            </w14:solidFill>
          </w14:textFill>
        </w:rPr>
        <w:t>依据《医疗器械分类目录》</w:t>
      </w:r>
      <w:r>
        <w:rPr>
          <w:rFonts w:eastAsia="仿宋_GB2312"/>
          <w:color w:val="000000" w:themeColor="text1"/>
          <w:sz w:val="32"/>
          <w:szCs w:val="32"/>
          <w:highlight w:val="none"/>
          <w14:textFill>
            <w14:solidFill>
              <w14:schemeClr w14:val="tx1"/>
            </w14:solidFill>
          </w14:textFill>
        </w:rPr>
        <w:t>，</w:t>
      </w:r>
      <w:r>
        <w:rPr>
          <w:rFonts w:hint="eastAsia" w:eastAsia="仿宋_GB2312"/>
          <w:snapToGrid w:val="0"/>
          <w:color w:val="000000" w:themeColor="text1"/>
          <w:sz w:val="32"/>
          <w:szCs w:val="32"/>
          <w:highlight w:val="none"/>
          <w14:textFill>
            <w14:solidFill>
              <w14:schemeClr w14:val="tx1"/>
            </w14:solidFill>
          </w14:textFill>
        </w:rPr>
        <w:t>申报</w:t>
      </w:r>
      <w:r>
        <w:rPr>
          <w:rFonts w:eastAsia="仿宋_GB2312"/>
          <w:snapToGrid w:val="0"/>
          <w:color w:val="000000" w:themeColor="text1"/>
          <w:sz w:val="32"/>
          <w:szCs w:val="32"/>
          <w:highlight w:val="none"/>
          <w14:textFill>
            <w14:solidFill>
              <w14:schemeClr w14:val="tx1"/>
            </w14:solidFill>
          </w14:textFill>
        </w:rPr>
        <w:t>产品分类编码为</w:t>
      </w:r>
      <w:r>
        <w:rPr>
          <w:rFonts w:hint="eastAsia" w:eastAsia="仿宋_GB2312"/>
          <w:color w:val="000000" w:themeColor="text1"/>
          <w:sz w:val="32"/>
          <w:szCs w:val="28"/>
          <w:highlight w:val="none"/>
          <w14:textFill>
            <w14:solidFill>
              <w14:schemeClr w14:val="tx1"/>
            </w14:solidFill>
          </w14:textFill>
        </w:rPr>
        <w:t>07-02-04</w:t>
      </w:r>
      <w:r>
        <w:rPr>
          <w:rFonts w:eastAsia="仿宋_GB2312"/>
          <w:snapToGrid w:val="0"/>
          <w:color w:val="000000" w:themeColor="text1"/>
          <w:sz w:val="32"/>
          <w:szCs w:val="32"/>
          <w:highlight w:val="none"/>
          <w14:textFill>
            <w14:solidFill>
              <w14:schemeClr w14:val="tx1"/>
            </w14:solidFill>
          </w14:textFill>
        </w:rPr>
        <w:t>，管理类别为Ⅱ类。</w:t>
      </w:r>
    </w:p>
    <w:p w14:paraId="4CE10C45">
      <w:pPr>
        <w:pStyle w:val="4"/>
        <w:keepNext w:val="0"/>
        <w:keepLines w:val="0"/>
        <w:ind w:firstLine="640" w:firstLineChars="200"/>
        <w:rPr>
          <w:rFonts w:hint="default" w:ascii="Times New Roman"/>
          <w:b w:val="0"/>
          <w:bCs/>
          <w:color w:val="000000" w:themeColor="text1"/>
          <w:highlight w:val="none"/>
          <w14:textFill>
            <w14:solidFill>
              <w14:schemeClr w14:val="tx1"/>
            </w14:solidFill>
          </w14:textFill>
        </w:rPr>
      </w:pPr>
      <w:r>
        <w:rPr>
          <w:rFonts w:ascii="Times New Roman"/>
          <w:b w:val="0"/>
          <w:bCs/>
          <w:color w:val="000000" w:themeColor="text1"/>
          <w:highlight w:val="none"/>
          <w14:textFill>
            <w14:solidFill>
              <w14:schemeClr w14:val="tx1"/>
            </w14:solidFill>
          </w14:textFill>
        </w:rPr>
        <w:t>3</w:t>
      </w:r>
      <w:r>
        <w:rPr>
          <w:rFonts w:hint="default" w:ascii="Times New Roman"/>
          <w:b w:val="0"/>
          <w:bCs/>
          <w:color w:val="000000" w:themeColor="text1"/>
          <w:highlight w:val="none"/>
          <w14:textFill>
            <w14:solidFill>
              <w14:schemeClr w14:val="tx1"/>
            </w14:solidFill>
          </w14:textFill>
        </w:rPr>
        <w:t>.</w:t>
      </w:r>
      <w:r>
        <w:rPr>
          <w:rFonts w:ascii="Times New Roman" w:cs="仿宋_GB2312"/>
          <w:b w:val="0"/>
          <w:bCs/>
          <w:color w:val="000000" w:themeColor="text1"/>
          <w:highlight w:val="none"/>
          <w14:textFill>
            <w14:solidFill>
              <w14:schemeClr w14:val="tx1"/>
            </w14:solidFill>
          </w14:textFill>
        </w:rPr>
        <w:t>注册单元划分的原则和实例</w:t>
      </w:r>
    </w:p>
    <w:p w14:paraId="7B8CD50F">
      <w:pPr>
        <w:spacing w:line="560" w:lineRule="exact"/>
        <w:ind w:firstLine="640"/>
        <w:jc w:val="left"/>
        <w:rPr>
          <w:rFonts w:eastAsia="仿宋_GB2312" w:cs="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产品注册单元划分可参照《医疗器械注册单元划分指导原则》的要求，</w:t>
      </w:r>
      <w:r>
        <w:rPr>
          <w:rFonts w:hint="eastAsia" w:eastAsia="仿宋_GB2312"/>
          <w:color w:val="000000" w:themeColor="text1"/>
          <w:spacing w:val="-4"/>
          <w:sz w:val="32"/>
          <w:szCs w:val="32"/>
          <w:highlight w:val="none"/>
          <w14:textFill>
            <w14:solidFill>
              <w14:schemeClr w14:val="tx1"/>
            </w14:solidFill>
          </w14:textFill>
        </w:rPr>
        <w:t>依据产品适用范围、技术原理、结构组成、性能指标等关键要素进行注册单元划分</w:t>
      </w:r>
      <w:r>
        <w:rPr>
          <w:rFonts w:eastAsia="仿宋_GB2312"/>
          <w:color w:val="000000" w:themeColor="text1"/>
          <w:spacing w:val="-4"/>
          <w:sz w:val="32"/>
          <w:szCs w:val="32"/>
          <w:highlight w:val="none"/>
          <w14:textFill>
            <w14:solidFill>
              <w14:schemeClr w14:val="tx1"/>
            </w14:solidFill>
          </w14:textFill>
        </w:rPr>
        <w:t>。</w:t>
      </w:r>
    </w:p>
    <w:p w14:paraId="04962FBF">
      <w:pPr>
        <w:pStyle w:val="7"/>
        <w:spacing w:line="560" w:lineRule="exact"/>
        <w:ind w:left="0" w:leftChars="0" w:firstLine="640" w:firstLineChars="200"/>
        <w:rPr>
          <w:highlight w:val="none"/>
        </w:rPr>
      </w:pPr>
      <w:r>
        <w:rPr>
          <w:rFonts w:eastAsia="仿宋_GB2312"/>
          <w:color w:val="000000" w:themeColor="text1"/>
          <w:sz w:val="32"/>
          <w:szCs w:val="32"/>
          <w:highlight w:val="none"/>
          <w14:textFill>
            <w14:solidFill>
              <w14:schemeClr w14:val="tx1"/>
            </w14:solidFill>
          </w14:textFill>
        </w:rPr>
        <w:t>技术结构：产品的技术结构不同，</w:t>
      </w:r>
      <w:r>
        <w:rPr>
          <w:rFonts w:hint="eastAsia" w:eastAsia="仿宋_GB2312"/>
          <w:color w:val="000000" w:themeColor="text1"/>
          <w:sz w:val="32"/>
          <w:highlight w:val="none"/>
          <w14:textFill>
            <w14:solidFill>
              <w14:schemeClr w14:val="tx1"/>
            </w14:solidFill>
          </w14:textFill>
        </w:rPr>
        <w:t>核心传感技术不同的，</w:t>
      </w:r>
      <w:r>
        <w:rPr>
          <w:rFonts w:eastAsia="仿宋_GB2312"/>
          <w:color w:val="000000" w:themeColor="text1"/>
          <w:sz w:val="32"/>
          <w:szCs w:val="32"/>
          <w:highlight w:val="none"/>
          <w14:textFill>
            <w14:solidFill>
              <w14:schemeClr w14:val="tx1"/>
            </w14:solidFill>
          </w14:textFill>
        </w:rPr>
        <w:t>应划分为不同的注册单元。</w:t>
      </w:r>
      <w:r>
        <w:rPr>
          <w:rFonts w:hint="eastAsia" w:eastAsia="仿宋_GB2312"/>
          <w:color w:val="000000" w:themeColor="text1"/>
          <w:sz w:val="32"/>
          <w:highlight w:val="none"/>
          <w14:textFill>
            <w14:solidFill>
              <w14:schemeClr w14:val="tx1"/>
            </w14:solidFill>
          </w14:textFill>
        </w:rPr>
        <w:t>例如：压差传感器、涡轮传感器</w:t>
      </w:r>
      <w:r>
        <w:rPr>
          <w:rFonts w:hint="eastAsia" w:eastAsia="仿宋_GB2312"/>
          <w:color w:val="000000" w:themeColor="text1"/>
          <w:sz w:val="32"/>
          <w:highlight w:val="none"/>
          <w:lang w:eastAsia="zh-CN"/>
          <w14:textFill>
            <w14:solidFill>
              <w14:schemeClr w14:val="tx1"/>
            </w14:solidFill>
          </w14:textFill>
        </w:rPr>
        <w:t>、</w:t>
      </w:r>
      <w:r>
        <w:rPr>
          <w:rFonts w:hint="eastAsia" w:eastAsia="仿宋_GB2312"/>
          <w:color w:val="000000" w:themeColor="text1"/>
          <w:sz w:val="32"/>
          <w:highlight w:val="none"/>
          <w:lang w:val="en-US" w:eastAsia="zh-CN"/>
          <w14:textFill>
            <w14:solidFill>
              <w14:schemeClr w14:val="tx1"/>
            </w14:solidFill>
          </w14:textFill>
        </w:rPr>
        <w:t>超声传感器等</w:t>
      </w:r>
      <w:r>
        <w:rPr>
          <w:rFonts w:hint="eastAsia" w:eastAsia="仿宋_GB2312"/>
          <w:color w:val="000000" w:themeColor="text1"/>
          <w:sz w:val="32"/>
          <w:highlight w:val="none"/>
          <w14:textFill>
            <w14:solidFill>
              <w14:schemeClr w14:val="tx1"/>
            </w14:solidFill>
          </w14:textFill>
        </w:rPr>
        <w:t>。</w:t>
      </w:r>
    </w:p>
    <w:p w14:paraId="6126357C">
      <w:pPr>
        <w:pStyle w:val="7"/>
        <w:spacing w:line="560" w:lineRule="exact"/>
        <w:ind w:left="0" w:leftChars="0"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供电模式</w:t>
      </w:r>
      <w:r>
        <w:rPr>
          <w:rFonts w:hint="eastAsia" w:eastAsia="仿宋_GB2312"/>
          <w:color w:val="000000" w:themeColor="text1"/>
          <w:sz w:val="32"/>
          <w:szCs w:val="32"/>
          <w:highlight w:val="none"/>
          <w:lang w:eastAsia="zh-CN"/>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网电源供电的</w:t>
      </w:r>
      <w:r>
        <w:rPr>
          <w:rFonts w:hint="eastAsia" w:eastAsia="仿宋_GB2312"/>
          <w:color w:val="000000" w:themeColor="text1"/>
          <w:sz w:val="32"/>
          <w:szCs w:val="28"/>
          <w:highlight w:val="none"/>
          <w14:textFill>
            <w14:solidFill>
              <w14:schemeClr w14:val="tx1"/>
            </w14:solidFill>
          </w14:textFill>
        </w:rPr>
        <w:t>电子峰速仪</w:t>
      </w:r>
      <w:r>
        <w:rPr>
          <w:rFonts w:eastAsia="仿宋_GB2312"/>
          <w:color w:val="000000" w:themeColor="text1"/>
          <w:sz w:val="32"/>
          <w:szCs w:val="32"/>
          <w:highlight w:val="none"/>
          <w14:textFill>
            <w14:solidFill>
              <w14:schemeClr w14:val="tx1"/>
            </w14:solidFill>
          </w14:textFill>
        </w:rPr>
        <w:t>与电池供电的</w:t>
      </w:r>
      <w:r>
        <w:rPr>
          <w:rFonts w:hint="eastAsia" w:eastAsia="仿宋_GB2312"/>
          <w:color w:val="000000" w:themeColor="text1"/>
          <w:sz w:val="32"/>
          <w:szCs w:val="28"/>
          <w:highlight w:val="none"/>
          <w14:textFill>
            <w14:solidFill>
              <w14:schemeClr w14:val="tx1"/>
            </w14:solidFill>
          </w14:textFill>
        </w:rPr>
        <w:t>电子峰速仪</w:t>
      </w:r>
      <w:r>
        <w:rPr>
          <w:rFonts w:eastAsia="仿宋_GB2312"/>
          <w:color w:val="000000" w:themeColor="text1"/>
          <w:sz w:val="32"/>
          <w:szCs w:val="32"/>
          <w:highlight w:val="none"/>
          <w14:textFill>
            <w14:solidFill>
              <w14:schemeClr w14:val="tx1"/>
            </w14:solidFill>
          </w14:textFill>
        </w:rPr>
        <w:t>应划分为不同的注册单元。</w:t>
      </w:r>
    </w:p>
    <w:p w14:paraId="27AF524B">
      <w:pPr>
        <w:pStyle w:val="3"/>
        <w:keepNext w:val="0"/>
        <w:keepLines w:val="0"/>
        <w:ind w:firstLine="640"/>
        <w:rPr>
          <w:rFonts w:ascii="Times New Roman" w:hAnsi="Times New Roman"/>
          <w:b w:val="0"/>
          <w:bCs/>
          <w:color w:val="000000" w:themeColor="text1"/>
          <w:highlight w:val="none"/>
          <w14:textFill>
            <w14:solidFill>
              <w14:schemeClr w14:val="tx1"/>
            </w14:solidFill>
          </w14:textFill>
        </w:rPr>
      </w:pPr>
      <w:r>
        <w:rPr>
          <w:rFonts w:hint="eastAsia" w:ascii="Times New Roman" w:hAnsi="Times New Roman" w:cs="楷体_GB2312"/>
          <w:b w:val="0"/>
          <w:bCs/>
          <w:color w:val="000000" w:themeColor="text1"/>
          <w:highlight w:val="none"/>
          <w14:textFill>
            <w14:solidFill>
              <w14:schemeClr w14:val="tx1"/>
            </w14:solidFill>
          </w14:textFill>
        </w:rPr>
        <w:t>（二）综述资料</w:t>
      </w:r>
    </w:p>
    <w:p w14:paraId="445FED96">
      <w:pPr>
        <w:overflowPunct w:val="0"/>
        <w:autoSpaceDE w:val="0"/>
        <w:autoSpaceDN w:val="0"/>
        <w:spacing w:line="520" w:lineRule="exact"/>
        <w:ind w:firstLine="640" w:firstLineChars="200"/>
        <w:outlineLvl w:val="2"/>
        <w:rPr>
          <w:color w:val="000000" w:themeColor="text1"/>
          <w:szCs w:val="32"/>
          <w:highlight w:val="none"/>
          <w14:textFill>
            <w14:solidFill>
              <w14:schemeClr w14:val="tx1"/>
            </w14:solidFill>
          </w14:textFill>
        </w:rPr>
      </w:pPr>
      <w:r>
        <w:rPr>
          <w:rFonts w:eastAsia="仿宋_GB2312"/>
          <w:bCs/>
          <w:iCs/>
          <w:color w:val="000000" w:themeColor="text1"/>
          <w:sz w:val="32"/>
          <w:szCs w:val="28"/>
          <w:highlight w:val="none"/>
          <w14:textFill>
            <w14:solidFill>
              <w14:schemeClr w14:val="tx1"/>
            </w14:solidFill>
          </w14:textFill>
        </w:rPr>
        <w:t>1</w:t>
      </w:r>
      <w:r>
        <w:rPr>
          <w:rFonts w:hint="eastAsia" w:eastAsia="仿宋_GB2312"/>
          <w:bCs/>
          <w:iCs/>
          <w:color w:val="000000" w:themeColor="text1"/>
          <w:sz w:val="32"/>
          <w:szCs w:val="28"/>
          <w:highlight w:val="none"/>
          <w14:textFill>
            <w14:solidFill>
              <w14:schemeClr w14:val="tx1"/>
            </w14:solidFill>
          </w14:textFill>
        </w:rPr>
        <w:t>.</w:t>
      </w:r>
      <w:r>
        <w:rPr>
          <w:rFonts w:hint="eastAsia" w:eastAsia="仿宋_GB2312" w:cs="仿宋_GB2312"/>
          <w:bCs/>
          <w:color w:val="000000" w:themeColor="text1"/>
          <w:sz w:val="32"/>
          <w:szCs w:val="28"/>
          <w:highlight w:val="none"/>
          <w14:textFill>
            <w14:solidFill>
              <w14:schemeClr w14:val="tx1"/>
            </w14:solidFill>
          </w14:textFill>
        </w:rPr>
        <w:t>概述</w:t>
      </w:r>
    </w:p>
    <w:p w14:paraId="6DFC0BB3">
      <w:pPr>
        <w:spacing w:line="520" w:lineRule="exact"/>
        <w:ind w:firstLine="640"/>
        <w:jc w:val="left"/>
        <w:rPr>
          <w:rFonts w:eastAsia="仿宋_GB2312"/>
          <w:color w:val="000000" w:themeColor="text1"/>
          <w:spacing w:val="-4"/>
          <w:sz w:val="32"/>
          <w:szCs w:val="32"/>
          <w:highlight w:val="none"/>
          <w14:textFill>
            <w14:solidFill>
              <w14:schemeClr w14:val="tx1"/>
            </w14:solidFill>
          </w14:textFill>
        </w:rPr>
      </w:pPr>
      <w:r>
        <w:rPr>
          <w:rFonts w:hint="eastAsia" w:eastAsia="仿宋_GB2312"/>
          <w:color w:val="000000" w:themeColor="text1"/>
          <w:spacing w:val="-4"/>
          <w:sz w:val="32"/>
          <w:szCs w:val="32"/>
          <w:highlight w:val="none"/>
          <w14:textFill>
            <w14:solidFill>
              <w14:schemeClr w14:val="tx1"/>
            </w14:solidFill>
          </w14:textFill>
        </w:rPr>
        <w:t>申请人应</w:t>
      </w:r>
      <w:r>
        <w:rPr>
          <w:rFonts w:eastAsia="仿宋_GB2312"/>
          <w:color w:val="000000" w:themeColor="text1"/>
          <w:spacing w:val="-4"/>
          <w:sz w:val="32"/>
          <w:szCs w:val="32"/>
          <w:highlight w:val="none"/>
          <w14:textFill>
            <w14:solidFill>
              <w14:schemeClr w14:val="tx1"/>
            </w14:solidFill>
          </w14:textFill>
        </w:rPr>
        <w:t>描述申报产品的通用名称及其确定依据，描述产品的管理类别、分类编码。</w:t>
      </w:r>
    </w:p>
    <w:p w14:paraId="5A3E3D1E">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如适用，应描述有关申报产品的背景信息概述或特别细节，如：申报产品的历史概述、历次提交的信息，与其他经批准上市产品的关系等。</w:t>
      </w:r>
    </w:p>
    <w:p w14:paraId="35AD596B">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2.产品描述</w:t>
      </w:r>
    </w:p>
    <w:p w14:paraId="2F58C4FB">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2.1器械及操作原理描述</w:t>
      </w:r>
    </w:p>
    <w:p w14:paraId="583C58EE">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2.1.1工作原理</w:t>
      </w:r>
    </w:p>
    <w:p w14:paraId="79D782A0">
      <w:pPr>
        <w:spacing w:line="520" w:lineRule="exact"/>
        <w:ind w:firstLine="640"/>
        <w:jc w:val="left"/>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通过受检者口含与</w:t>
      </w:r>
      <w:r>
        <w:rPr>
          <w:rFonts w:hint="eastAsia" w:eastAsia="仿宋_GB2312"/>
          <w:color w:val="000000" w:themeColor="text1"/>
          <w:sz w:val="32"/>
          <w:szCs w:val="32"/>
          <w:highlight w:val="none"/>
          <w:lang w:val="en-US" w:eastAsia="zh-CN"/>
          <w14:textFill>
            <w14:solidFill>
              <w14:schemeClr w14:val="tx1"/>
            </w14:solidFill>
          </w14:textFill>
        </w:rPr>
        <w:t>设备</w:t>
      </w:r>
      <w:r>
        <w:rPr>
          <w:rFonts w:hint="eastAsia" w:eastAsia="仿宋_GB2312"/>
          <w:color w:val="000000" w:themeColor="text1"/>
          <w:sz w:val="32"/>
          <w:szCs w:val="32"/>
          <w:highlight w:val="none"/>
          <w14:textFill>
            <w14:solidFill>
              <w14:schemeClr w14:val="tx1"/>
            </w14:solidFill>
          </w14:textFill>
        </w:rPr>
        <w:t>连接的咬嘴，吸气</w:t>
      </w:r>
      <w:r>
        <w:rPr>
          <w:rFonts w:hint="eastAsia" w:eastAsia="仿宋_GB2312"/>
          <w:color w:val="000000" w:themeColor="text1"/>
          <w:sz w:val="32"/>
          <w:szCs w:val="32"/>
          <w:highlight w:val="none"/>
          <w:lang w:val="en-US" w:eastAsia="zh-CN"/>
          <w14:textFill>
            <w14:solidFill>
              <w14:schemeClr w14:val="tx1"/>
            </w14:solidFill>
          </w14:textFill>
        </w:rPr>
        <w:t>至</w:t>
      </w:r>
      <w:r>
        <w:rPr>
          <w:rFonts w:hint="eastAsia" w:eastAsia="仿宋_GB2312"/>
          <w:color w:val="000000" w:themeColor="text1"/>
          <w:sz w:val="32"/>
          <w:szCs w:val="32"/>
          <w:highlight w:val="none"/>
          <w14:textFill>
            <w14:solidFill>
              <w14:schemeClr w14:val="tx1"/>
            </w14:solidFill>
          </w14:textFill>
        </w:rPr>
        <w:t>肺膨胀到最大后立即用最大力量</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或者</w:t>
      </w:r>
      <w:r>
        <w:rPr>
          <w:rFonts w:hint="eastAsia" w:eastAsia="仿宋_GB2312"/>
          <w:color w:val="000000" w:themeColor="text1"/>
          <w:sz w:val="32"/>
          <w:szCs w:val="32"/>
          <w:highlight w:val="none"/>
          <w14:textFill>
            <w14:solidFill>
              <w14:schemeClr w14:val="tx1"/>
            </w14:solidFill>
          </w14:textFill>
        </w:rPr>
        <w:t>最快速度</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开始呼气</w:t>
      </w:r>
      <w:r>
        <w:rPr>
          <w:rFonts w:hint="eastAsia" w:eastAsia="仿宋_GB2312"/>
          <w:color w:val="000000" w:themeColor="text1"/>
          <w:sz w:val="32"/>
          <w:szCs w:val="32"/>
          <w:highlight w:val="none"/>
          <w:lang w:val="en-US" w:eastAsia="zh-CN"/>
          <w14:textFill>
            <w14:solidFill>
              <w14:schemeClr w14:val="tx1"/>
            </w14:solidFill>
          </w14:textFill>
        </w:rPr>
        <w:t>将肺部气体全部排出</w:t>
      </w:r>
      <w:r>
        <w:rPr>
          <w:rFonts w:hint="eastAsia" w:eastAsia="仿宋_GB2312"/>
          <w:color w:val="000000" w:themeColor="text1"/>
          <w:sz w:val="32"/>
          <w:szCs w:val="32"/>
          <w:highlight w:val="none"/>
          <w14:textFill>
            <w14:solidFill>
              <w14:schemeClr w14:val="tx1"/>
            </w14:solidFill>
          </w14:textFill>
        </w:rPr>
        <w:t>，利用内置的叶轮旋转或压力传感器等核心</w:t>
      </w:r>
      <w:r>
        <w:rPr>
          <w:rFonts w:hint="eastAsia" w:eastAsia="仿宋_GB2312"/>
          <w:color w:val="000000" w:themeColor="text1"/>
          <w:sz w:val="32"/>
          <w:szCs w:val="32"/>
          <w:highlight w:val="none"/>
          <w:lang w:val="en-US" w:eastAsia="zh-CN"/>
          <w14:textFill>
            <w14:solidFill>
              <w14:schemeClr w14:val="tx1"/>
            </w14:solidFill>
          </w14:textFill>
        </w:rPr>
        <w:t>流量</w:t>
      </w:r>
      <w:r>
        <w:rPr>
          <w:rFonts w:hint="eastAsia" w:eastAsia="仿宋_GB2312"/>
          <w:color w:val="000000" w:themeColor="text1"/>
          <w:sz w:val="32"/>
          <w:szCs w:val="32"/>
          <w:highlight w:val="none"/>
          <w14:textFill>
            <w14:solidFill>
              <w14:schemeClr w14:val="tx1"/>
            </w14:solidFill>
          </w14:textFill>
        </w:rPr>
        <w:t>检测部件</w:t>
      </w:r>
      <w:r>
        <w:rPr>
          <w:rFonts w:hint="eastAsia" w:eastAsia="仿宋_GB2312"/>
          <w:color w:val="000000" w:themeColor="text1"/>
          <w:sz w:val="32"/>
          <w:szCs w:val="32"/>
          <w:highlight w:val="none"/>
          <w:lang w:val="en-US" w:eastAsia="zh-CN"/>
          <w14:textFill>
            <w14:solidFill>
              <w14:schemeClr w14:val="tx1"/>
            </w14:solidFill>
          </w14:textFill>
        </w:rPr>
        <w:t>或电路</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获取流量变化</w:t>
      </w:r>
      <w:r>
        <w:rPr>
          <w:rFonts w:hint="eastAsia" w:ascii="Times New Roman" w:hAnsi="Times New Roman" w:eastAsia="仿宋_GB2312"/>
          <w:color w:val="000000" w:themeColor="text1"/>
          <w:sz w:val="32"/>
          <w:szCs w:val="28"/>
          <w:highlight w:val="none"/>
          <w14:textFill>
            <w14:solidFill>
              <w14:schemeClr w14:val="tx1"/>
            </w14:solidFill>
          </w14:textFill>
        </w:rPr>
        <w:t>某一瞬间</w:t>
      </w:r>
      <w:r>
        <w:rPr>
          <w:rFonts w:hint="eastAsia" w:eastAsia="仿宋_GB2312"/>
          <w:color w:val="000000" w:themeColor="text1"/>
          <w:sz w:val="32"/>
          <w:szCs w:val="32"/>
          <w:highlight w:val="none"/>
          <w:lang w:val="en-US" w:eastAsia="zh-CN"/>
          <w14:textFill>
            <w14:solidFill>
              <w14:schemeClr w14:val="tx1"/>
            </w14:solidFill>
          </w14:textFill>
        </w:rPr>
        <w:t>电信号值P，</w:t>
      </w:r>
      <w:r>
        <w:rPr>
          <w:rFonts w:hint="eastAsia" w:eastAsia="仿宋_GB2312"/>
          <w:color w:val="000000" w:themeColor="text1"/>
          <w:sz w:val="32"/>
          <w:szCs w:val="32"/>
          <w:highlight w:val="none"/>
          <w14:textFill>
            <w14:solidFill>
              <w14:schemeClr w14:val="tx1"/>
            </w14:solidFill>
          </w14:textFill>
        </w:rPr>
        <w:t>通过算法</w:t>
      </w:r>
      <w:r>
        <w:rPr>
          <w:rFonts w:hint="eastAsia" w:eastAsia="仿宋_GB2312"/>
          <w:color w:val="000000" w:themeColor="text1"/>
          <w:sz w:val="32"/>
          <w:szCs w:val="32"/>
          <w:highlight w:val="none"/>
          <w:lang w:val="en-US" w:eastAsia="zh-CN"/>
          <w14:textFill>
            <w14:solidFill>
              <w14:schemeClr w14:val="tx1"/>
            </w14:solidFill>
          </w14:textFill>
        </w:rPr>
        <w:t>将电信号值转换为流量值Q,如图1在呼气</w:t>
      </w:r>
      <w:r>
        <w:rPr>
          <w:rFonts w:hint="eastAsia" w:ascii="Times New Roman" w:hAnsi="Times New Roman" w:eastAsia="仿宋_GB2312"/>
          <w:color w:val="000000" w:themeColor="text1"/>
          <w:sz w:val="32"/>
          <w:szCs w:val="28"/>
          <w:highlight w:val="none"/>
          <w14:textFill>
            <w14:solidFill>
              <w14:schemeClr w14:val="tx1"/>
            </w14:solidFill>
          </w14:textFill>
        </w:rPr>
        <w:t>时间t内</w:t>
      </w:r>
      <w:r>
        <w:rPr>
          <w:rFonts w:hint="eastAsia" w:eastAsia="仿宋_GB2312"/>
          <w:color w:val="000000" w:themeColor="text1"/>
          <w:sz w:val="32"/>
          <w:szCs w:val="32"/>
          <w:highlight w:val="none"/>
          <w14:textFill>
            <w14:solidFill>
              <w14:schemeClr w14:val="tx1"/>
            </w14:solidFill>
          </w14:textFill>
        </w:rPr>
        <w:t>计算并校准</w:t>
      </w:r>
      <w:r>
        <w:rPr>
          <w:rFonts w:hint="eastAsia" w:eastAsia="仿宋_GB2312"/>
          <w:color w:val="000000" w:themeColor="text1"/>
          <w:sz w:val="32"/>
          <w:szCs w:val="28"/>
          <w:highlight w:val="none"/>
          <w:lang w:val="en-US" w:eastAsia="zh-CN"/>
          <w14:textFill>
            <w14:solidFill>
              <w14:schemeClr w14:val="tx1"/>
            </w14:solidFill>
          </w14:textFill>
        </w:rPr>
        <w:t>最大值</w:t>
      </w:r>
      <w:r>
        <w:rPr>
          <w:rFonts w:hint="eastAsia" w:ascii="Times New Roman" w:hAnsi="Times New Roman" w:eastAsia="仿宋_GB2312"/>
          <w:color w:val="000000" w:themeColor="text1"/>
          <w:sz w:val="32"/>
          <w:szCs w:val="28"/>
          <w:highlight w:val="none"/>
          <w14:textFill>
            <w14:solidFill>
              <w14:schemeClr w14:val="tx1"/>
            </w14:solidFill>
          </w14:textFill>
        </w:rPr>
        <w:t>Q</w:t>
      </w:r>
      <w:r>
        <w:rPr>
          <w:rFonts w:hint="eastAsia" w:ascii="Times New Roman" w:hAnsi="Times New Roman" w:eastAsia="仿宋_GB2312"/>
          <w:color w:val="000000" w:themeColor="text1"/>
          <w:sz w:val="32"/>
          <w:szCs w:val="28"/>
          <w:highlight w:val="none"/>
          <w:shd w:val="clear" w:color="FFFFFF" w:fill="D9D9D9"/>
          <w:vertAlign w:val="subscript"/>
          <w:lang w:val="en-US" w:eastAsia="zh-CN"/>
          <w14:textFill>
            <w14:solidFill>
              <w14:schemeClr w14:val="tx1"/>
            </w14:solidFill>
          </w14:textFill>
        </w:rPr>
        <w:t>max</w:t>
      </w:r>
      <w:r>
        <w:rPr>
          <w:rFonts w:hint="eastAsia" w:eastAsia="仿宋_GB2312"/>
          <w:color w:val="000000" w:themeColor="text1"/>
          <w:sz w:val="32"/>
          <w:szCs w:val="32"/>
          <w:highlight w:val="none"/>
          <w14:textFill>
            <w14:solidFill>
              <w14:schemeClr w14:val="tx1"/>
            </w14:solidFill>
          </w14:textFill>
        </w:rPr>
        <w:t>，直接输出或显示数值，用于评估气道通畅程度。申请人应根据产品的具体结构对产品的工作原理进行详细描述。</w:t>
      </w:r>
    </w:p>
    <w:p w14:paraId="3938D4E6">
      <w:pPr>
        <w:spacing w:line="360" w:lineRule="auto"/>
        <w:ind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339590" cy="207073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l="132" t="278" r="-132" b="9189"/>
                    <a:stretch>
                      <a:fillRect/>
                    </a:stretch>
                  </pic:blipFill>
                  <pic:spPr>
                    <a:xfrm>
                      <a:off x="0" y="0"/>
                      <a:ext cx="4339590" cy="2070735"/>
                    </a:xfrm>
                    <a:prstGeom prst="rect">
                      <a:avLst/>
                    </a:prstGeom>
                    <a:noFill/>
                    <a:ln>
                      <a:noFill/>
                    </a:ln>
                  </pic:spPr>
                </pic:pic>
              </a:graphicData>
            </a:graphic>
          </wp:inline>
        </w:drawing>
      </w:r>
      <w:r>
        <w:rPr>
          <w:color w:val="000000" w:themeColor="text1"/>
          <w:sz w:val="21"/>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794385</wp:posOffset>
                </wp:positionH>
                <wp:positionV relativeFrom="paragraph">
                  <wp:posOffset>1260475</wp:posOffset>
                </wp:positionV>
                <wp:extent cx="2510155" cy="864870"/>
                <wp:effectExtent l="0" t="0" r="4445" b="11430"/>
                <wp:wrapNone/>
                <wp:docPr id="5" name="文本框 5"/>
                <wp:cNvGraphicFramePr/>
                <a:graphic xmlns:a="http://schemas.openxmlformats.org/drawingml/2006/main">
                  <a:graphicData uri="http://schemas.microsoft.com/office/word/2010/wordprocessingShape">
                    <wps:wsp>
                      <wps:cNvSpPr txBox="1"/>
                      <wps:spPr>
                        <a:xfrm>
                          <a:off x="3531235" y="7505700"/>
                          <a:ext cx="2510155" cy="8648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D0DAC58">
                            <w:pPr>
                              <w:spacing w:line="240" w:lineRule="exact"/>
                              <w:rPr>
                                <w:rFonts w:hint="eastAsia"/>
                                <w:sz w:val="15"/>
                                <w:szCs w:val="18"/>
                                <w:lang w:val="en-US" w:eastAsia="zh-CN"/>
                              </w:rPr>
                            </w:pPr>
                            <w:r>
                              <w:rPr>
                                <w:rFonts w:hint="eastAsia"/>
                                <w:sz w:val="15"/>
                                <w:szCs w:val="18"/>
                                <w:lang w:val="en-US" w:eastAsia="zh-CN"/>
                              </w:rPr>
                              <w:t>说明：</w:t>
                            </w:r>
                          </w:p>
                          <w:p w14:paraId="482F164E">
                            <w:pPr>
                              <w:spacing w:line="240" w:lineRule="exact"/>
                              <w:rPr>
                                <w:rFonts w:hint="eastAsia"/>
                                <w:sz w:val="15"/>
                                <w:szCs w:val="18"/>
                                <w:lang w:val="en-US" w:eastAsia="zh-CN"/>
                              </w:rPr>
                            </w:pPr>
                            <w:r>
                              <w:rPr>
                                <w:rFonts w:hint="eastAsia"/>
                                <w:sz w:val="15"/>
                                <w:szCs w:val="18"/>
                                <w:lang w:val="en-US" w:eastAsia="zh-CN"/>
                              </w:rPr>
                              <w:t>X   呼气时间，单位ms</w:t>
                            </w:r>
                          </w:p>
                          <w:p w14:paraId="5F704551">
                            <w:pPr>
                              <w:spacing w:line="240" w:lineRule="exact"/>
                              <w:rPr>
                                <w:rFonts w:hint="eastAsia"/>
                                <w:sz w:val="15"/>
                                <w:szCs w:val="18"/>
                                <w:lang w:val="en-US" w:eastAsia="zh-CN"/>
                              </w:rPr>
                            </w:pPr>
                            <w:r>
                              <w:rPr>
                                <w:rFonts w:hint="eastAsia"/>
                                <w:sz w:val="15"/>
                                <w:szCs w:val="18"/>
                                <w:lang w:val="en-US" w:eastAsia="zh-CN"/>
                              </w:rPr>
                              <w:t>Y   呼气流量峰值百分比</w:t>
                            </w:r>
                          </w:p>
                          <w:p w14:paraId="7BF7BDDB">
                            <w:pPr>
                              <w:spacing w:line="240" w:lineRule="exact"/>
                              <w:rPr>
                                <w:rFonts w:hint="default"/>
                                <w:sz w:val="15"/>
                                <w:szCs w:val="18"/>
                                <w:lang w:val="en-US" w:eastAsia="zh-CN"/>
                              </w:rPr>
                            </w:pPr>
                            <w:r>
                              <w:rPr>
                                <w:rFonts w:hint="eastAsia"/>
                                <w:sz w:val="15"/>
                                <w:szCs w:val="18"/>
                                <w:lang w:val="en-US" w:eastAsia="zh-CN"/>
                              </w:rPr>
                              <w:t>A   A型呼气流量参考曲线</w:t>
                            </w:r>
                          </w:p>
                          <w:p w14:paraId="609C087B">
                            <w:pPr>
                              <w:spacing w:line="240" w:lineRule="exact"/>
                              <w:rPr>
                                <w:rFonts w:hint="default"/>
                                <w:sz w:val="15"/>
                                <w:szCs w:val="18"/>
                                <w:lang w:val="en-US" w:eastAsia="zh-CN"/>
                              </w:rPr>
                            </w:pPr>
                            <w:r>
                              <w:rPr>
                                <w:rFonts w:hint="eastAsia"/>
                                <w:sz w:val="15"/>
                                <w:szCs w:val="18"/>
                                <w:lang w:val="en-US" w:eastAsia="zh-CN"/>
                              </w:rPr>
                              <w:t>B   B型呼气流量参考曲线</w:t>
                            </w:r>
                          </w:p>
                          <w:p w14:paraId="03779CE3">
                            <w:pPr>
                              <w:spacing w:line="240" w:lineRule="exact"/>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55pt;margin-top:99.25pt;height:68.1pt;width:197.65pt;z-index:251659264;mso-width-relative:page;mso-height-relative:page;" fillcolor="#FFFFFF [3201]" filled="t" stroked="f" coordsize="21600,21600" o:gfxdata="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Of&#10;x07XAAAACwEAAA8AAAAAAAAAAQAgAAAAIgAAAGRycy9kb3ducmV2LnhtbFBLAQIUABQAAAAIAIdO&#10;4kAoC6PwXQIAAJsEAAAOAAAAAAAAAAEAIAAAACYBAABkcnMvZTJvRG9jLnhtbFBLBQYAAAAABgAG&#10;AFkBAAD1BQAAAAA=&#10;">
                <v:fill on="t" focussize="0,0"/>
                <v:stroke on="f" weight="0.5pt"/>
                <v:imagedata o:title=""/>
                <o:lock v:ext="edit" aspectratio="f"/>
                <v:textbox>
                  <w:txbxContent>
                    <w:p w14:paraId="4D0DAC58">
                      <w:pPr>
                        <w:spacing w:line="240" w:lineRule="exact"/>
                        <w:rPr>
                          <w:rFonts w:hint="eastAsia"/>
                          <w:sz w:val="15"/>
                          <w:szCs w:val="18"/>
                          <w:lang w:val="en-US" w:eastAsia="zh-CN"/>
                        </w:rPr>
                      </w:pPr>
                      <w:r>
                        <w:rPr>
                          <w:rFonts w:hint="eastAsia"/>
                          <w:sz w:val="15"/>
                          <w:szCs w:val="18"/>
                          <w:lang w:val="en-US" w:eastAsia="zh-CN"/>
                        </w:rPr>
                        <w:t>说明：</w:t>
                      </w:r>
                    </w:p>
                    <w:p w14:paraId="482F164E">
                      <w:pPr>
                        <w:spacing w:line="240" w:lineRule="exact"/>
                        <w:rPr>
                          <w:rFonts w:hint="eastAsia"/>
                          <w:sz w:val="15"/>
                          <w:szCs w:val="18"/>
                          <w:lang w:val="en-US" w:eastAsia="zh-CN"/>
                        </w:rPr>
                      </w:pPr>
                      <w:r>
                        <w:rPr>
                          <w:rFonts w:hint="eastAsia"/>
                          <w:sz w:val="15"/>
                          <w:szCs w:val="18"/>
                          <w:lang w:val="en-US" w:eastAsia="zh-CN"/>
                        </w:rPr>
                        <w:t>X   呼气时间，单位ms</w:t>
                      </w:r>
                    </w:p>
                    <w:p w14:paraId="5F704551">
                      <w:pPr>
                        <w:spacing w:line="240" w:lineRule="exact"/>
                        <w:rPr>
                          <w:rFonts w:hint="eastAsia"/>
                          <w:sz w:val="15"/>
                          <w:szCs w:val="18"/>
                          <w:lang w:val="en-US" w:eastAsia="zh-CN"/>
                        </w:rPr>
                      </w:pPr>
                      <w:r>
                        <w:rPr>
                          <w:rFonts w:hint="eastAsia"/>
                          <w:sz w:val="15"/>
                          <w:szCs w:val="18"/>
                          <w:lang w:val="en-US" w:eastAsia="zh-CN"/>
                        </w:rPr>
                        <w:t>Y   呼气流量峰值百分比</w:t>
                      </w:r>
                    </w:p>
                    <w:p w14:paraId="7BF7BDDB">
                      <w:pPr>
                        <w:spacing w:line="240" w:lineRule="exact"/>
                        <w:rPr>
                          <w:rFonts w:hint="default"/>
                          <w:sz w:val="15"/>
                          <w:szCs w:val="18"/>
                          <w:lang w:val="en-US" w:eastAsia="zh-CN"/>
                        </w:rPr>
                      </w:pPr>
                      <w:r>
                        <w:rPr>
                          <w:rFonts w:hint="eastAsia"/>
                          <w:sz w:val="15"/>
                          <w:szCs w:val="18"/>
                          <w:lang w:val="en-US" w:eastAsia="zh-CN"/>
                        </w:rPr>
                        <w:t>A   A型呼气流量参考曲线</w:t>
                      </w:r>
                    </w:p>
                    <w:p w14:paraId="609C087B">
                      <w:pPr>
                        <w:spacing w:line="240" w:lineRule="exact"/>
                        <w:rPr>
                          <w:rFonts w:hint="default"/>
                          <w:sz w:val="15"/>
                          <w:szCs w:val="18"/>
                          <w:lang w:val="en-US" w:eastAsia="zh-CN"/>
                        </w:rPr>
                      </w:pPr>
                      <w:r>
                        <w:rPr>
                          <w:rFonts w:hint="eastAsia"/>
                          <w:sz w:val="15"/>
                          <w:szCs w:val="18"/>
                          <w:lang w:val="en-US" w:eastAsia="zh-CN"/>
                        </w:rPr>
                        <w:t>B   B型呼气流量参考曲线</w:t>
                      </w:r>
                    </w:p>
                    <w:p w14:paraId="03779CE3">
                      <w:pPr>
                        <w:spacing w:line="240" w:lineRule="exact"/>
                        <w:rPr>
                          <w:rFonts w:hint="default"/>
                          <w:lang w:val="en-US" w:eastAsia="zh-CN"/>
                        </w:rPr>
                      </w:pPr>
                    </w:p>
                  </w:txbxContent>
                </v:textbox>
              </v:shape>
            </w:pict>
          </mc:Fallback>
        </mc:AlternateContent>
      </w:r>
    </w:p>
    <w:p w14:paraId="35C17911">
      <w:pPr>
        <w:spacing w:line="360" w:lineRule="auto"/>
        <w:ind w:firstLine="0"/>
        <w:jc w:val="center"/>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图1:时间-流量曲线</w:t>
      </w:r>
    </w:p>
    <w:p w14:paraId="12993A46">
      <w:pPr>
        <w:spacing w:line="360" w:lineRule="auto"/>
        <w:ind w:firstLine="624" w:firstLineChars="200"/>
        <w:outlineLvl w:val="1"/>
        <w:rPr>
          <w:rFonts w:hint="eastAsia" w:ascii="Times New Roman" w:hAnsi="Times New Roman" w:eastAsia="仿宋_GB2312" w:cs="仿宋_GB2312"/>
          <w:bCs w:val="0"/>
          <w:color w:val="000000" w:themeColor="text1"/>
          <w:spacing w:val="-4"/>
          <w:sz w:val="32"/>
          <w:szCs w:val="28"/>
          <w:highlight w:val="none"/>
          <w14:textFill>
            <w14:solidFill>
              <w14:schemeClr w14:val="tx1"/>
            </w14:solidFill>
          </w14:textFill>
        </w:rPr>
      </w:pPr>
      <w:r>
        <w:rPr>
          <w:rFonts w:hint="eastAsia" w:ascii="Times New Roman" w:hAnsi="Times New Roman" w:eastAsia="仿宋_GB2312" w:cs="仿宋_GB2312"/>
          <w:bCs w:val="0"/>
          <w:color w:val="000000" w:themeColor="text1"/>
          <w:spacing w:val="-4"/>
          <w:sz w:val="32"/>
          <w:szCs w:val="28"/>
          <w:highlight w:val="none"/>
          <w14:textFill>
            <w14:solidFill>
              <w14:schemeClr w14:val="tx1"/>
            </w14:solidFill>
          </w14:textFill>
        </w:rPr>
        <w:t>在综述资料中，</w:t>
      </w:r>
      <w:r>
        <w:rPr>
          <w:rFonts w:hint="eastAsia" w:ascii="Times New Roman" w:hAnsi="Times New Roman" w:eastAsia="仿宋_GB2312" w:cs="仿宋_GB2312"/>
          <w:bCs w:val="0"/>
          <w:color w:val="000000" w:themeColor="text1"/>
          <w:spacing w:val="-4"/>
          <w:sz w:val="32"/>
          <w:szCs w:val="28"/>
          <w:highlight w:val="none"/>
          <w:lang w:eastAsia="zh-CN"/>
          <w14:textFill>
            <w14:solidFill>
              <w14:schemeClr w14:val="tx1"/>
            </w14:solidFill>
          </w14:textFill>
        </w:rPr>
        <w:t>注册申请人</w:t>
      </w:r>
      <w:r>
        <w:rPr>
          <w:rFonts w:hint="eastAsia" w:ascii="Times New Roman" w:hAnsi="Times New Roman" w:eastAsia="仿宋_GB2312" w:cs="仿宋_GB2312"/>
          <w:bCs w:val="0"/>
          <w:color w:val="000000" w:themeColor="text1"/>
          <w:spacing w:val="-4"/>
          <w:sz w:val="32"/>
          <w:szCs w:val="28"/>
          <w:highlight w:val="none"/>
          <w14:textFill>
            <w14:solidFill>
              <w14:schemeClr w14:val="tx1"/>
            </w14:solidFill>
          </w14:textFill>
        </w:rPr>
        <w:t>应在产品描述部分明确产品的工作原理和流量传感器的测量原理。</w:t>
      </w:r>
    </w:p>
    <w:p w14:paraId="61DA4531">
      <w:pPr>
        <w:spacing w:line="360" w:lineRule="auto"/>
        <w:ind w:firstLine="640" w:firstLineChars="200"/>
        <w:rPr>
          <w:rFonts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t>目前常见的流量传感器测量原理如下：</w:t>
      </w:r>
    </w:p>
    <w:p w14:paraId="2DFC9E07">
      <w:pPr>
        <w:spacing w:line="360" w:lineRule="auto"/>
        <w:ind w:firstLine="640" w:firstLineChars="200"/>
        <w:rPr>
          <w:rFonts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t>压差式：利用在一定阻力的流通管道中气流的压力P变化与流量的依从关系测定流量R=ΔP/Q。压差式流量传感器包括两部分:已知阻力或阻力曲线的流量压力变换器:实现气体流量与压差的一次变换，根据流经该变换器的气体流量大小不同，变换器两端敏感处相应的压力差，即压差信号产生相应变化。压差传感器</w:t>
      </w:r>
      <w:r>
        <w:rPr>
          <w:rFonts w:ascii="Times New Roman" w:hAnsi="Times New Roman" w:eastAsia="仿宋_GB2312"/>
          <w:color w:val="000000" w:themeColor="text1"/>
          <w:sz w:val="32"/>
          <w:szCs w:val="28"/>
          <w:highlight w:val="none"/>
          <w14:textFill>
            <w14:solidFill>
              <w14:schemeClr w14:val="tx1"/>
            </w14:solidFill>
          </w14:textFill>
        </w:rPr>
        <w:t>:</w:t>
      </w:r>
      <w:r>
        <w:rPr>
          <w:rFonts w:hint="eastAsia" w:ascii="Times New Roman" w:hAnsi="Times New Roman" w:eastAsia="仿宋_GB2312"/>
          <w:color w:val="000000" w:themeColor="text1"/>
          <w:sz w:val="32"/>
          <w:szCs w:val="28"/>
          <w:highlight w:val="none"/>
          <w14:textFill>
            <w14:solidFill>
              <w14:schemeClr w14:val="tx1"/>
            </w14:solidFill>
          </w14:textFill>
        </w:rPr>
        <w:t>将与流量成一定比例关系的压差信号转换成一定的电信号，经处理后以数字或曲线图形显示。如图1：</w:t>
      </w:r>
    </w:p>
    <w:p w14:paraId="45DE1A25">
      <w:pPr>
        <w:widowControl/>
        <w:jc w:val="center"/>
        <w:rPr>
          <w:rFonts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drawing>
          <wp:anchor distT="0" distB="0" distL="114300" distR="114300" simplePos="0" relativeHeight="251660288" behindDoc="0" locked="0" layoutInCell="1" allowOverlap="1">
            <wp:simplePos x="0" y="0"/>
            <wp:positionH relativeFrom="column">
              <wp:posOffset>939800</wp:posOffset>
            </wp:positionH>
            <wp:positionV relativeFrom="paragraph">
              <wp:posOffset>91440</wp:posOffset>
            </wp:positionV>
            <wp:extent cx="3727450" cy="3023870"/>
            <wp:effectExtent l="0" t="0" r="6350" b="11430"/>
            <wp:wrapNone/>
            <wp:docPr id="4"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descr="图片1"/>
                    <pic:cNvPicPr>
                      <a:picLocks noChangeAspect="1"/>
                    </pic:cNvPicPr>
                  </pic:nvPicPr>
                  <pic:blipFill>
                    <a:blip r:embed="rId7"/>
                    <a:stretch>
                      <a:fillRect/>
                    </a:stretch>
                  </pic:blipFill>
                  <pic:spPr>
                    <a:xfrm>
                      <a:off x="0" y="0"/>
                      <a:ext cx="3727450" cy="3023870"/>
                    </a:xfrm>
                    <a:prstGeom prst="rect">
                      <a:avLst/>
                    </a:prstGeom>
                    <a:noFill/>
                    <a:ln>
                      <a:noFill/>
                    </a:ln>
                  </pic:spPr>
                </pic:pic>
              </a:graphicData>
            </a:graphic>
          </wp:anchor>
        </w:drawing>
      </w:r>
    </w:p>
    <w:p w14:paraId="03961F41">
      <w:pPr>
        <w:widowControl/>
        <w:jc w:val="center"/>
        <w:rPr>
          <w:rFonts w:ascii="Times New Roman" w:hAnsi="Times New Roman" w:eastAsia="仿宋_GB2312"/>
          <w:color w:val="000000" w:themeColor="text1"/>
          <w:sz w:val="32"/>
          <w:szCs w:val="28"/>
          <w:highlight w:val="none"/>
          <w14:textFill>
            <w14:solidFill>
              <w14:schemeClr w14:val="tx1"/>
            </w14:solidFill>
          </w14:textFill>
        </w:rPr>
      </w:pPr>
    </w:p>
    <w:p w14:paraId="1C1C3932">
      <w:pPr>
        <w:widowControl/>
        <w:jc w:val="center"/>
        <w:rPr>
          <w:rFonts w:ascii="Times New Roman" w:hAnsi="Times New Roman" w:eastAsia="仿宋_GB2312"/>
          <w:color w:val="000000" w:themeColor="text1"/>
          <w:sz w:val="32"/>
          <w:szCs w:val="28"/>
          <w:highlight w:val="none"/>
          <w14:textFill>
            <w14:solidFill>
              <w14:schemeClr w14:val="tx1"/>
            </w14:solidFill>
          </w14:textFill>
        </w:rPr>
      </w:pPr>
    </w:p>
    <w:p w14:paraId="6CBF940F">
      <w:pPr>
        <w:ind w:firstLine="640" w:firstLineChars="200"/>
        <w:jc w:val="center"/>
        <w:rPr>
          <w:rFonts w:ascii="Times New Roman" w:hAnsi="Times New Roman" w:eastAsia="仿宋_GB2312"/>
          <w:color w:val="000000" w:themeColor="text1"/>
          <w:sz w:val="32"/>
          <w:szCs w:val="28"/>
          <w:highlight w:val="none"/>
          <w14:textFill>
            <w14:solidFill>
              <w14:schemeClr w14:val="tx1"/>
            </w14:solidFill>
          </w14:textFill>
        </w:rPr>
      </w:pPr>
    </w:p>
    <w:p w14:paraId="4D768E9A">
      <w:pPr>
        <w:ind w:firstLine="640" w:firstLineChars="200"/>
        <w:jc w:val="center"/>
        <w:rPr>
          <w:rFonts w:ascii="Times New Roman" w:hAnsi="Times New Roman" w:eastAsia="仿宋_GB2312"/>
          <w:color w:val="000000" w:themeColor="text1"/>
          <w:sz w:val="32"/>
          <w:szCs w:val="28"/>
          <w:highlight w:val="none"/>
          <w14:textFill>
            <w14:solidFill>
              <w14:schemeClr w14:val="tx1"/>
            </w14:solidFill>
          </w14:textFill>
        </w:rPr>
      </w:pPr>
    </w:p>
    <w:p w14:paraId="572306EC">
      <w:pPr>
        <w:ind w:firstLine="640" w:firstLineChars="200"/>
        <w:jc w:val="center"/>
        <w:rPr>
          <w:rFonts w:ascii="Times New Roman" w:hAnsi="Times New Roman" w:eastAsia="仿宋_GB2312"/>
          <w:color w:val="000000" w:themeColor="text1"/>
          <w:sz w:val="32"/>
          <w:szCs w:val="28"/>
          <w:highlight w:val="none"/>
          <w14:textFill>
            <w14:solidFill>
              <w14:schemeClr w14:val="tx1"/>
            </w14:solidFill>
          </w14:textFill>
        </w:rPr>
      </w:pPr>
    </w:p>
    <w:p w14:paraId="4991A6C5">
      <w:pPr>
        <w:ind w:firstLine="640" w:firstLineChars="200"/>
        <w:jc w:val="center"/>
        <w:rPr>
          <w:rFonts w:ascii="Times New Roman" w:hAnsi="Times New Roman" w:eastAsia="仿宋_GB2312"/>
          <w:color w:val="000000" w:themeColor="text1"/>
          <w:sz w:val="32"/>
          <w:szCs w:val="28"/>
          <w:highlight w:val="none"/>
          <w14:textFill>
            <w14:solidFill>
              <w14:schemeClr w14:val="tx1"/>
            </w14:solidFill>
          </w14:textFill>
        </w:rPr>
      </w:pPr>
    </w:p>
    <w:p w14:paraId="6A4DB57C">
      <w:pPr>
        <w:rPr>
          <w:rFonts w:ascii="Times New Roman" w:hAnsi="Times New Roman" w:eastAsia="仿宋_GB2312"/>
          <w:color w:val="000000" w:themeColor="text1"/>
          <w:sz w:val="32"/>
          <w:szCs w:val="28"/>
          <w:highlight w:val="none"/>
          <w14:textFill>
            <w14:solidFill>
              <w14:schemeClr w14:val="tx1"/>
            </w14:solidFill>
          </w14:textFill>
        </w:rPr>
      </w:pPr>
    </w:p>
    <w:p w14:paraId="2727E2AF">
      <w:pPr>
        <w:jc w:val="center"/>
        <w:rPr>
          <w:rFonts w:ascii="Times New Roman" w:hAnsi="Times New Roman" w:eastAsia="黑体" w:cs="黑体"/>
          <w:color w:val="000000" w:themeColor="text1"/>
          <w:sz w:val="28"/>
          <w:szCs w:val="28"/>
          <w:highlight w:val="none"/>
          <w14:textFill>
            <w14:solidFill>
              <w14:schemeClr w14:val="tx1"/>
            </w14:solidFill>
          </w14:textFill>
        </w:rPr>
      </w:pPr>
      <w:r>
        <w:rPr>
          <w:rFonts w:hint="eastAsia" w:ascii="Times New Roman" w:hAnsi="Times New Roman" w:eastAsia="黑体" w:cs="黑体"/>
          <w:color w:val="000000" w:themeColor="text1"/>
          <w:sz w:val="28"/>
          <w:szCs w:val="28"/>
          <w:highlight w:val="none"/>
          <w14:textFill>
            <w14:solidFill>
              <w14:schemeClr w14:val="tx1"/>
            </w14:solidFill>
          </w14:textFill>
        </w:rPr>
        <w:t>图1 压差式</w:t>
      </w:r>
    </w:p>
    <w:p w14:paraId="05B1A325">
      <w:pPr>
        <w:ind w:firstLine="640" w:firstLineChars="200"/>
        <w:rPr>
          <w:rFonts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t>超声式：在呼吸管道的两侧放置两对超声波发射和接收装置，超声波借助空气进行传播，传播所需的时间取决于传播距离（管径大小），分别为</w:t>
      </w:r>
      <w:r>
        <w:rPr>
          <w:rFonts w:ascii="Times New Roman" w:hAnsi="Times New Roman" w:eastAsia="仿宋_GB2312"/>
          <w:color w:val="000000" w:themeColor="text1"/>
          <w:sz w:val="32"/>
          <w:szCs w:val="28"/>
          <w:highlight w:val="none"/>
          <w14:textFill>
            <w14:solidFill>
              <w14:schemeClr w14:val="tx1"/>
            </w14:solidFill>
          </w14:textFill>
        </w:rPr>
        <w:t>t1</w:t>
      </w:r>
      <w:r>
        <w:rPr>
          <w:rFonts w:hint="eastAsia" w:ascii="Times New Roman" w:hAnsi="Times New Roman" w:eastAsia="仿宋_GB2312"/>
          <w:color w:val="000000" w:themeColor="text1"/>
          <w:sz w:val="32"/>
          <w:szCs w:val="28"/>
          <w:highlight w:val="none"/>
          <w14:textFill>
            <w14:solidFill>
              <w14:schemeClr w14:val="tx1"/>
            </w14:solidFill>
          </w14:textFill>
        </w:rPr>
        <w:t>和</w:t>
      </w:r>
      <w:r>
        <w:rPr>
          <w:rFonts w:ascii="Times New Roman" w:hAnsi="Times New Roman" w:eastAsia="仿宋_GB2312"/>
          <w:color w:val="000000" w:themeColor="text1"/>
          <w:sz w:val="32"/>
          <w:szCs w:val="28"/>
          <w:highlight w:val="none"/>
          <w14:textFill>
            <w14:solidFill>
              <w14:schemeClr w14:val="tx1"/>
            </w14:solidFill>
          </w14:textFill>
        </w:rPr>
        <w:t>t2</w:t>
      </w:r>
      <w:r>
        <w:rPr>
          <w:rFonts w:hint="eastAsia" w:ascii="Times New Roman" w:hAnsi="Times New Roman" w:eastAsia="仿宋_GB2312"/>
          <w:color w:val="000000" w:themeColor="text1"/>
          <w:sz w:val="32"/>
          <w:szCs w:val="28"/>
          <w:highlight w:val="none"/>
          <w14:textFill>
            <w14:solidFill>
              <w14:schemeClr w14:val="tx1"/>
            </w14:solidFill>
          </w14:textFill>
        </w:rPr>
        <w:t>。在流量为零时，</w:t>
      </w:r>
      <w:r>
        <w:rPr>
          <w:rFonts w:ascii="Times New Roman" w:hAnsi="Times New Roman" w:eastAsia="仿宋_GB2312"/>
          <w:color w:val="000000" w:themeColor="text1"/>
          <w:sz w:val="32"/>
          <w:szCs w:val="28"/>
          <w:highlight w:val="none"/>
          <w14:textFill>
            <w14:solidFill>
              <w14:schemeClr w14:val="tx1"/>
            </w14:solidFill>
          </w14:textFill>
        </w:rPr>
        <w:t>t1=t2</w:t>
      </w:r>
      <w:r>
        <w:rPr>
          <w:rFonts w:hint="eastAsia" w:ascii="Times New Roman" w:hAnsi="Times New Roman" w:eastAsia="仿宋_GB2312"/>
          <w:color w:val="000000" w:themeColor="text1"/>
          <w:sz w:val="32"/>
          <w:szCs w:val="28"/>
          <w:highlight w:val="none"/>
          <w14:textFill>
            <w14:solidFill>
              <w14:schemeClr w14:val="tx1"/>
            </w14:solidFill>
          </w14:textFill>
        </w:rPr>
        <w:t>，所以</w:t>
      </w:r>
      <w:r>
        <w:rPr>
          <w:rFonts w:ascii="Times New Roman" w:hAnsi="Times New Roman" w:eastAsia="仿宋_GB2312"/>
          <w:color w:val="000000" w:themeColor="text1"/>
          <w:sz w:val="32"/>
          <w:szCs w:val="28"/>
          <w:highlight w:val="none"/>
          <w14:textFill>
            <w14:solidFill>
              <w14:schemeClr w14:val="tx1"/>
            </w14:solidFill>
          </w14:textFill>
        </w:rPr>
        <w:t> </w:t>
      </w:r>
      <w:r>
        <w:rPr>
          <w:rFonts w:hint="eastAsia" w:ascii="Times New Roman" w:hAnsi="Times New Roman" w:eastAsia="仿宋_GB2312"/>
          <w:color w:val="000000" w:themeColor="text1"/>
          <w:sz w:val="32"/>
          <w:szCs w:val="28"/>
          <w:highlight w:val="none"/>
          <w14:textFill>
            <w14:solidFill>
              <w14:schemeClr w14:val="tx1"/>
            </w14:solidFill>
          </w14:textFill>
        </w:rPr>
        <w:t>△</w:t>
      </w:r>
      <w:r>
        <w:rPr>
          <w:rFonts w:ascii="Times New Roman" w:hAnsi="Times New Roman" w:eastAsia="仿宋_GB2312"/>
          <w:color w:val="000000" w:themeColor="text1"/>
          <w:sz w:val="32"/>
          <w:szCs w:val="28"/>
          <w:highlight w:val="none"/>
          <w14:textFill>
            <w14:solidFill>
              <w14:schemeClr w14:val="tx1"/>
            </w14:solidFill>
          </w14:textFill>
        </w:rPr>
        <w:t>t=</w:t>
      </w:r>
      <w:r>
        <w:rPr>
          <w:rFonts w:hint="eastAsia" w:ascii="Times New Roman" w:hAnsi="Times New Roman" w:eastAsia="仿宋_GB2312"/>
          <w:color w:val="000000" w:themeColor="text1"/>
          <w:sz w:val="32"/>
          <w:szCs w:val="28"/>
          <w:highlight w:val="none"/>
          <w:lang w:eastAsia="zh-CN"/>
          <w14:textFill>
            <w14:solidFill>
              <w14:schemeClr w14:val="tx1"/>
            </w14:solidFill>
          </w14:textFill>
        </w:rPr>
        <w:t>（</w:t>
      </w:r>
      <w:r>
        <w:rPr>
          <w:rFonts w:ascii="Times New Roman" w:hAnsi="Times New Roman" w:eastAsia="仿宋_GB2312"/>
          <w:color w:val="000000" w:themeColor="text1"/>
          <w:sz w:val="32"/>
          <w:szCs w:val="28"/>
          <w:highlight w:val="none"/>
          <w14:textFill>
            <w14:solidFill>
              <w14:schemeClr w14:val="tx1"/>
            </w14:solidFill>
          </w14:textFill>
        </w:rPr>
        <w:t>t1-t2</w:t>
      </w:r>
      <w:r>
        <w:rPr>
          <w:rFonts w:hint="eastAsia" w:ascii="Times New Roman" w:hAnsi="Times New Roman" w:eastAsia="仿宋_GB2312"/>
          <w:color w:val="000000" w:themeColor="text1"/>
          <w:sz w:val="32"/>
          <w:szCs w:val="28"/>
          <w:highlight w:val="none"/>
          <w:lang w:eastAsia="zh-CN"/>
          <w14:textFill>
            <w14:solidFill>
              <w14:schemeClr w14:val="tx1"/>
            </w14:solidFill>
          </w14:textFill>
        </w:rPr>
        <w:t>）</w:t>
      </w:r>
      <w:r>
        <w:rPr>
          <w:rFonts w:ascii="Times New Roman" w:hAnsi="Times New Roman" w:eastAsia="仿宋_GB2312"/>
          <w:color w:val="000000" w:themeColor="text1"/>
          <w:sz w:val="32"/>
          <w:szCs w:val="28"/>
          <w:highlight w:val="none"/>
          <w14:textFill>
            <w14:solidFill>
              <w14:schemeClr w14:val="tx1"/>
            </w14:solidFill>
          </w14:textFill>
        </w:rPr>
        <w:t>=0</w:t>
      </w:r>
      <w:r>
        <w:rPr>
          <w:rFonts w:hint="eastAsia" w:ascii="Times New Roman" w:hAnsi="Times New Roman" w:eastAsia="仿宋_GB2312"/>
          <w:color w:val="000000" w:themeColor="text1"/>
          <w:sz w:val="32"/>
          <w:szCs w:val="28"/>
          <w:highlight w:val="none"/>
          <w14:textFill>
            <w14:solidFill>
              <w14:schemeClr w14:val="tx1"/>
            </w14:solidFill>
          </w14:textFill>
        </w:rPr>
        <w:t>；当气流通过管道时，与气流同向的超声信号传播加快，而与气流反向的超声信号传播减慢，所以时间的差值△</w:t>
      </w:r>
      <w:r>
        <w:rPr>
          <w:rFonts w:ascii="Times New Roman" w:hAnsi="Times New Roman" w:eastAsia="仿宋_GB2312"/>
          <w:color w:val="000000" w:themeColor="text1"/>
          <w:sz w:val="32"/>
          <w:szCs w:val="28"/>
          <w:highlight w:val="none"/>
          <w14:textFill>
            <w14:solidFill>
              <w14:schemeClr w14:val="tx1"/>
            </w14:solidFill>
          </w14:textFill>
        </w:rPr>
        <w:t xml:space="preserve">t </w:t>
      </w:r>
      <w:r>
        <w:rPr>
          <w:rFonts w:hint="eastAsia" w:ascii="Times New Roman" w:hAnsi="Times New Roman" w:eastAsia="仿宋_GB2312"/>
          <w:color w:val="000000" w:themeColor="text1"/>
          <w:sz w:val="32"/>
          <w:szCs w:val="28"/>
          <w:highlight w:val="none"/>
          <w14:textFill>
            <w14:solidFill>
              <w14:schemeClr w14:val="tx1"/>
            </w14:solidFill>
          </w14:textFill>
        </w:rPr>
        <w:t>与流量的大小与方向完全成正比。如图2：</w:t>
      </w:r>
    </w:p>
    <w:p w14:paraId="62DB9E65">
      <w:pPr>
        <w:ind w:firstLine="640" w:firstLineChars="200"/>
        <w:rPr>
          <w:rFonts w:ascii="Times New Roman" w:hAnsi="Times New Roman" w:eastAsia="仿宋_GB2312"/>
          <w:color w:val="000000" w:themeColor="text1"/>
          <w:sz w:val="32"/>
          <w:szCs w:val="28"/>
          <w:highlight w:val="none"/>
          <w14:textFill>
            <w14:solidFill>
              <w14:schemeClr w14:val="tx1"/>
            </w14:solidFill>
          </w14:textFill>
        </w:rPr>
      </w:pPr>
      <w:r>
        <w:rPr>
          <w:rFonts w:ascii="Times New Roman" w:hAnsi="Times New Roman" w:eastAsia="仿宋_GB2312"/>
          <w:color w:val="000000" w:themeColor="text1"/>
          <w:sz w:val="32"/>
          <w:szCs w:val="28"/>
          <w:highlight w:val="none"/>
          <w14:textFill>
            <w14:solidFill>
              <w14:schemeClr w14:val="tx1"/>
            </w14:solidFill>
          </w14:textFill>
        </w:rPr>
        <w:drawing>
          <wp:anchor distT="0" distB="0" distL="114300" distR="114300" simplePos="0" relativeHeight="251661312" behindDoc="0" locked="0" layoutInCell="1" allowOverlap="1">
            <wp:simplePos x="0" y="0"/>
            <wp:positionH relativeFrom="column">
              <wp:posOffset>857250</wp:posOffset>
            </wp:positionH>
            <wp:positionV relativeFrom="paragraph">
              <wp:posOffset>34290</wp:posOffset>
            </wp:positionV>
            <wp:extent cx="3902075" cy="2300605"/>
            <wp:effectExtent l="0" t="0" r="9525" b="10795"/>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902075" cy="2300605"/>
                    </a:xfrm>
                    <a:prstGeom prst="rect">
                      <a:avLst/>
                    </a:prstGeom>
                    <a:noFill/>
                    <a:ln>
                      <a:noFill/>
                    </a:ln>
                  </pic:spPr>
                </pic:pic>
              </a:graphicData>
            </a:graphic>
          </wp:anchor>
        </w:drawing>
      </w:r>
    </w:p>
    <w:p w14:paraId="36D65937">
      <w:pPr>
        <w:jc w:val="left"/>
        <w:rPr>
          <w:rFonts w:ascii="Times New Roman" w:hAnsi="Times New Roman" w:eastAsia="仿宋_GB2312"/>
          <w:color w:val="000000" w:themeColor="text1"/>
          <w:sz w:val="32"/>
          <w:szCs w:val="28"/>
          <w:highlight w:val="none"/>
          <w14:textFill>
            <w14:solidFill>
              <w14:schemeClr w14:val="tx1"/>
            </w14:solidFill>
          </w14:textFill>
        </w:rPr>
      </w:pPr>
    </w:p>
    <w:p w14:paraId="61D1052B">
      <w:pPr>
        <w:ind w:firstLine="640" w:firstLineChars="200"/>
        <w:jc w:val="center"/>
        <w:rPr>
          <w:rFonts w:ascii="Times New Roman" w:hAnsi="Times New Roman" w:eastAsia="仿宋_GB2312"/>
          <w:color w:val="000000" w:themeColor="text1"/>
          <w:sz w:val="32"/>
          <w:szCs w:val="28"/>
          <w:highlight w:val="none"/>
          <w14:textFill>
            <w14:solidFill>
              <w14:schemeClr w14:val="tx1"/>
            </w14:solidFill>
          </w14:textFill>
        </w:rPr>
      </w:pPr>
    </w:p>
    <w:p w14:paraId="71D045D0">
      <w:pPr>
        <w:ind w:firstLine="640" w:firstLineChars="200"/>
        <w:rPr>
          <w:rFonts w:ascii="Times New Roman" w:hAnsi="Times New Roman" w:eastAsia="仿宋_GB2312"/>
          <w:color w:val="000000" w:themeColor="text1"/>
          <w:sz w:val="32"/>
          <w:szCs w:val="28"/>
          <w:highlight w:val="none"/>
          <w14:textFill>
            <w14:solidFill>
              <w14:schemeClr w14:val="tx1"/>
            </w14:solidFill>
          </w14:textFill>
        </w:rPr>
      </w:pPr>
    </w:p>
    <w:p w14:paraId="3BFADB64">
      <w:pPr>
        <w:rPr>
          <w:rFonts w:ascii="Times New Roman" w:hAnsi="Times New Roman" w:eastAsia="仿宋_GB2312"/>
          <w:color w:val="000000" w:themeColor="text1"/>
          <w:sz w:val="32"/>
          <w:szCs w:val="28"/>
          <w:highlight w:val="none"/>
          <w14:textFill>
            <w14:solidFill>
              <w14:schemeClr w14:val="tx1"/>
            </w14:solidFill>
          </w14:textFill>
        </w:rPr>
      </w:pPr>
    </w:p>
    <w:p w14:paraId="30E76268">
      <w:pPr>
        <w:jc w:val="center"/>
        <w:rPr>
          <w:rFonts w:ascii="Times New Roman" w:hAnsi="Times New Roman" w:eastAsia="仿宋_GB2312"/>
          <w:color w:val="000000" w:themeColor="text1"/>
          <w:sz w:val="32"/>
          <w:szCs w:val="28"/>
          <w:highlight w:val="none"/>
          <w14:textFill>
            <w14:solidFill>
              <w14:schemeClr w14:val="tx1"/>
            </w14:solidFill>
          </w14:textFill>
        </w:rPr>
      </w:pPr>
    </w:p>
    <w:p w14:paraId="4AF4E110">
      <w:pPr>
        <w:jc w:val="center"/>
        <w:rPr>
          <w:rFonts w:ascii="Times New Roman" w:hAnsi="Times New Roman" w:eastAsia="黑体" w:cs="黑体"/>
          <w:color w:val="000000" w:themeColor="text1"/>
          <w:sz w:val="28"/>
          <w:szCs w:val="28"/>
          <w:highlight w:val="none"/>
          <w14:textFill>
            <w14:solidFill>
              <w14:schemeClr w14:val="tx1"/>
            </w14:solidFill>
          </w14:textFill>
        </w:rPr>
      </w:pPr>
      <w:r>
        <w:rPr>
          <w:rFonts w:hint="eastAsia" w:ascii="Times New Roman" w:hAnsi="Times New Roman" w:eastAsia="黑体" w:cs="黑体"/>
          <w:color w:val="000000" w:themeColor="text1"/>
          <w:sz w:val="28"/>
          <w:szCs w:val="28"/>
          <w:highlight w:val="none"/>
          <w14:textFill>
            <w14:solidFill>
              <w14:schemeClr w14:val="tx1"/>
            </w14:solidFill>
          </w14:textFill>
        </w:rPr>
        <w:t>图2 超声式</w:t>
      </w:r>
    </w:p>
    <w:p w14:paraId="0AABE3C1">
      <w:pPr>
        <w:autoSpaceDE w:val="0"/>
        <w:autoSpaceDN w:val="0"/>
        <w:adjustRightInd w:val="0"/>
        <w:ind w:firstLine="640" w:firstLineChars="200"/>
        <w:jc w:val="left"/>
        <w:rPr>
          <w:rFonts w:hint="eastAsia"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t>涡轮式：依据转动部件涡轮的转动速度与流体速度成正比的特性进行测量。3.2.4性能指标气流通过时推动涡轮转动，涡轮式采用磁电调制或光电调制原理，把涡轮的机械转动信号转换成电信号输出。如图3：</w:t>
      </w:r>
    </w:p>
    <w:p w14:paraId="4E982781">
      <w:pPr>
        <w:autoSpaceDE w:val="0"/>
        <w:autoSpaceDN w:val="0"/>
        <w:adjustRightInd w:val="0"/>
        <w:ind w:firstLine="640" w:firstLineChars="200"/>
        <w:jc w:val="left"/>
        <w:rPr>
          <w:rFonts w:hint="eastAsia" w:ascii="Times New Roman" w:hAnsi="Times New Roman" w:eastAsia="仿宋_GB2312"/>
          <w:color w:val="000000" w:themeColor="text1"/>
          <w:sz w:val="32"/>
          <w:szCs w:val="28"/>
          <w:highlight w:val="none"/>
          <w14:textFill>
            <w14:solidFill>
              <w14:schemeClr w14:val="tx1"/>
            </w14:solidFill>
          </w14:textFill>
        </w:rPr>
      </w:pPr>
      <w:r>
        <w:rPr>
          <w:rFonts w:hint="eastAsia" w:ascii="Times New Roman" w:hAnsi="Times New Roman" w:eastAsia="仿宋_GB2312"/>
          <w:color w:val="000000" w:themeColor="text1"/>
          <w:sz w:val="32"/>
          <w:szCs w:val="28"/>
          <w:highlight w:val="none"/>
          <w14:textFill>
            <w14:solidFill>
              <w14:schemeClr w14:val="tx1"/>
            </w14:solidFill>
          </w14:textFill>
        </w:rPr>
        <w:drawing>
          <wp:anchor distT="0" distB="0" distL="114300" distR="114300" simplePos="0" relativeHeight="251662336" behindDoc="0" locked="0" layoutInCell="1" allowOverlap="1">
            <wp:simplePos x="0" y="0"/>
            <wp:positionH relativeFrom="column">
              <wp:posOffset>927100</wp:posOffset>
            </wp:positionH>
            <wp:positionV relativeFrom="paragraph">
              <wp:posOffset>128270</wp:posOffset>
            </wp:positionV>
            <wp:extent cx="2922905" cy="1856105"/>
            <wp:effectExtent l="0" t="0" r="10795" b="10795"/>
            <wp:wrapTopAndBottom/>
            <wp:docPr id="2" name="图片 1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图片2"/>
                    <pic:cNvPicPr>
                      <a:picLocks noChangeAspect="1"/>
                    </pic:cNvPicPr>
                  </pic:nvPicPr>
                  <pic:blipFill>
                    <a:blip r:embed="rId9"/>
                    <a:stretch>
                      <a:fillRect/>
                    </a:stretch>
                  </pic:blipFill>
                  <pic:spPr>
                    <a:xfrm>
                      <a:off x="0" y="0"/>
                      <a:ext cx="2922905" cy="1856105"/>
                    </a:xfrm>
                    <a:prstGeom prst="rect">
                      <a:avLst/>
                    </a:prstGeom>
                    <a:noFill/>
                    <a:ln>
                      <a:noFill/>
                    </a:ln>
                  </pic:spPr>
                </pic:pic>
              </a:graphicData>
            </a:graphic>
          </wp:anchor>
        </w:drawing>
      </w:r>
    </w:p>
    <w:p w14:paraId="387A1966">
      <w:pPr>
        <w:autoSpaceDE w:val="0"/>
        <w:autoSpaceDN w:val="0"/>
        <w:adjustRightInd w:val="0"/>
        <w:ind w:firstLine="560" w:firstLineChars="200"/>
        <w:jc w:val="center"/>
        <w:rPr>
          <w:rFonts w:ascii="Times New Roman" w:hAnsi="Times New Roman" w:eastAsia="黑体" w:cs="黑体"/>
          <w:color w:val="000000" w:themeColor="text1"/>
          <w:sz w:val="28"/>
          <w:szCs w:val="28"/>
          <w:highlight w:val="none"/>
          <w14:textFill>
            <w14:solidFill>
              <w14:schemeClr w14:val="tx1"/>
            </w14:solidFill>
          </w14:textFill>
        </w:rPr>
      </w:pPr>
      <w:r>
        <w:rPr>
          <w:rFonts w:hint="eastAsia" w:ascii="Times New Roman" w:hAnsi="Times New Roman" w:eastAsia="黑体" w:cs="黑体"/>
          <w:color w:val="000000" w:themeColor="text1"/>
          <w:sz w:val="28"/>
          <w:szCs w:val="28"/>
          <w:highlight w:val="none"/>
          <w14:textFill>
            <w14:solidFill>
              <w14:schemeClr w14:val="tx1"/>
            </w14:solidFill>
          </w14:textFill>
        </w:rPr>
        <w:t>图3 涡轮式</w:t>
      </w:r>
    </w:p>
    <w:p w14:paraId="16E110C1">
      <w:pPr>
        <w:spacing w:line="360" w:lineRule="auto"/>
        <w:ind w:firstLine="624" w:firstLineChars="200"/>
        <w:outlineLvl w:val="1"/>
        <w:rPr>
          <w:rFonts w:hint="eastAsia" w:ascii="Times New Roman" w:hAnsi="Times New Roman" w:eastAsia="仿宋_GB2312" w:cs="仿宋_GB2312"/>
          <w:bCs w:val="0"/>
          <w:color w:val="000000" w:themeColor="text1"/>
          <w:spacing w:val="-4"/>
          <w:sz w:val="32"/>
          <w:szCs w:val="28"/>
          <w:highlight w:val="none"/>
          <w14:textFill>
            <w14:solidFill>
              <w14:schemeClr w14:val="tx1"/>
            </w14:solidFill>
          </w14:textFill>
        </w:rPr>
      </w:pPr>
    </w:p>
    <w:p w14:paraId="38288EEB">
      <w:pPr>
        <w:spacing w:line="520" w:lineRule="exact"/>
        <w:ind w:firstLine="640" w:firstLineChars="200"/>
        <w:rPr>
          <w:color w:val="000000" w:themeColor="text1"/>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因该产品为非直接治疗类医疗器械，故本指导原则不包含产品作用机理的内容。</w:t>
      </w:r>
    </w:p>
    <w:p w14:paraId="67F87C24">
      <w:pPr>
        <w:spacing w:line="520" w:lineRule="exact"/>
        <w:ind w:firstLine="640" w:firstLineChars="200"/>
        <w:outlineLvl w:val="1"/>
        <w:rPr>
          <w:rFonts w:eastAsia="仿宋_GB2312"/>
          <w:bCs/>
          <w:iCs/>
          <w:color w:val="000000" w:themeColor="text1"/>
          <w:sz w:val="32"/>
          <w:szCs w:val="28"/>
          <w:highlight w:val="none"/>
          <w14:textFill>
            <w14:solidFill>
              <w14:schemeClr w14:val="tx1"/>
            </w14:solidFill>
          </w14:textFill>
        </w:rPr>
      </w:pPr>
      <w:r>
        <w:rPr>
          <w:rFonts w:hint="eastAsia" w:eastAsia="仿宋_GB2312"/>
          <w:bCs/>
          <w:iCs/>
          <w:color w:val="000000" w:themeColor="text1"/>
          <w:sz w:val="32"/>
          <w:szCs w:val="28"/>
          <w:highlight w:val="none"/>
          <w14:textFill>
            <w14:solidFill>
              <w14:schemeClr w14:val="tx1"/>
            </w14:solidFill>
          </w14:textFill>
        </w:rPr>
        <w:t>2.1.2结构组成</w:t>
      </w:r>
    </w:p>
    <w:p w14:paraId="0C370D85">
      <w:pPr>
        <w:spacing w:line="520" w:lineRule="exact"/>
        <w:ind w:firstLine="640"/>
        <w:jc w:val="left"/>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通常由</w:t>
      </w:r>
      <w:r>
        <w:rPr>
          <w:rFonts w:hint="eastAsia" w:eastAsia="仿宋_GB2312"/>
          <w:color w:val="000000" w:themeColor="text1"/>
          <w:sz w:val="32"/>
          <w:szCs w:val="32"/>
          <w:highlight w:val="none"/>
          <w:lang w:val="en-US" w:eastAsia="zh-CN"/>
          <w14:textFill>
            <w14:solidFill>
              <w14:schemeClr w14:val="tx1"/>
            </w14:solidFill>
          </w14:textFill>
        </w:rPr>
        <w:t>主机和</w:t>
      </w:r>
      <w:r>
        <w:rPr>
          <w:rFonts w:hint="eastAsia" w:eastAsia="仿宋_GB2312"/>
          <w:color w:val="000000" w:themeColor="text1"/>
          <w:sz w:val="32"/>
          <w:szCs w:val="32"/>
          <w:highlight w:val="none"/>
          <w14:textFill>
            <w14:solidFill>
              <w14:schemeClr w14:val="tx1"/>
            </w14:solidFill>
          </w14:textFill>
        </w:rPr>
        <w:t>咬嘴</w:t>
      </w:r>
      <w:r>
        <w:rPr>
          <w:rFonts w:hint="eastAsia" w:eastAsia="仿宋_GB2312"/>
          <w:color w:val="000000" w:themeColor="text1"/>
          <w:sz w:val="32"/>
          <w:szCs w:val="32"/>
          <w:highlight w:val="none"/>
          <w:lang w:val="en-US" w:eastAsia="zh-CN"/>
          <w14:textFill>
            <w14:solidFill>
              <w14:schemeClr w14:val="tx1"/>
            </w14:solidFill>
          </w14:textFill>
        </w:rPr>
        <w:t>组成，其中主机由</w:t>
      </w:r>
      <w:r>
        <w:rPr>
          <w:rFonts w:hint="eastAsia" w:eastAsia="仿宋_GB2312"/>
          <w:color w:val="000000" w:themeColor="text1"/>
          <w:sz w:val="32"/>
          <w:szCs w:val="32"/>
          <w:highlight w:val="none"/>
          <w14:textFill>
            <w14:solidFill>
              <w14:schemeClr w14:val="tx1"/>
            </w14:solidFill>
          </w14:textFill>
        </w:rPr>
        <w:t>基础承载部件、气流测量部件、人机交互部件组成。基础承载部件</w:t>
      </w:r>
      <w:r>
        <w:rPr>
          <w:rFonts w:hint="eastAsia" w:eastAsia="仿宋_GB2312"/>
          <w:color w:val="000000" w:themeColor="text1"/>
          <w:sz w:val="32"/>
          <w:szCs w:val="32"/>
          <w:highlight w:val="none"/>
          <w:lang w:val="en-US" w:eastAsia="zh-CN"/>
          <w14:textFill>
            <w14:solidFill>
              <w14:schemeClr w14:val="tx1"/>
            </w14:solidFill>
          </w14:textFill>
        </w:rPr>
        <w:t>应符合人体工程学，</w:t>
      </w:r>
      <w:r>
        <w:rPr>
          <w:rFonts w:hint="eastAsia" w:eastAsia="仿宋_GB2312"/>
          <w:color w:val="000000" w:themeColor="text1"/>
          <w:sz w:val="32"/>
          <w:szCs w:val="32"/>
          <w:highlight w:val="none"/>
          <w14:textFill>
            <w14:solidFill>
              <w14:schemeClr w14:val="tx1"/>
            </w14:solidFill>
          </w14:textFill>
        </w:rPr>
        <w:t>气流测量部件核心为电子传感模块，</w:t>
      </w:r>
      <w:r>
        <w:rPr>
          <w:rFonts w:hint="eastAsia" w:eastAsia="仿宋_GB2312"/>
          <w:color w:val="000000" w:themeColor="text1"/>
          <w:sz w:val="32"/>
          <w:szCs w:val="32"/>
          <w:highlight w:val="none"/>
          <w:lang w:val="en-US" w:eastAsia="zh-CN"/>
          <w14:textFill>
            <w14:solidFill>
              <w14:schemeClr w14:val="tx1"/>
            </w14:solidFill>
          </w14:textFill>
        </w:rPr>
        <w:t>人机交互界面</w:t>
      </w:r>
      <w:r>
        <w:rPr>
          <w:rFonts w:hint="eastAsia" w:eastAsia="仿宋_GB2312"/>
          <w:color w:val="000000" w:themeColor="text1"/>
          <w:sz w:val="32"/>
          <w:szCs w:val="32"/>
          <w:highlight w:val="none"/>
          <w14:textFill>
            <w14:solidFill>
              <w14:schemeClr w14:val="tx1"/>
            </w14:solidFill>
          </w14:textFill>
        </w:rPr>
        <w:t>显示方式包括数字显示</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曲线图形显示、颜色显示</w:t>
      </w:r>
      <w:r>
        <w:rPr>
          <w:rFonts w:hint="eastAsia" w:eastAsia="仿宋_GB2312"/>
          <w:color w:val="000000" w:themeColor="text1"/>
          <w:sz w:val="32"/>
          <w:szCs w:val="32"/>
          <w:highlight w:val="none"/>
          <w14:textFill>
            <w14:solidFill>
              <w14:schemeClr w14:val="tx1"/>
            </w14:solidFill>
          </w14:textFill>
        </w:rPr>
        <w:t>等</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人机交互软件功能包含</w:t>
      </w:r>
      <w:r>
        <w:rPr>
          <w:rFonts w:hint="eastAsia" w:eastAsia="仿宋_GB2312"/>
          <w:color w:val="000000" w:themeColor="text1"/>
          <w:sz w:val="32"/>
          <w:szCs w:val="32"/>
          <w:highlight w:val="none"/>
          <w14:textFill>
            <w14:solidFill>
              <w14:schemeClr w14:val="tx1"/>
            </w14:solidFill>
          </w14:textFill>
        </w:rPr>
        <w:t>数据存储、数据传输</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历史查询及</w:t>
      </w:r>
      <w:r>
        <w:rPr>
          <w:rFonts w:hint="eastAsia" w:eastAsia="仿宋_GB2312"/>
          <w:color w:val="000000" w:themeColor="text1"/>
          <w:sz w:val="32"/>
          <w:szCs w:val="32"/>
          <w:highlight w:val="none"/>
          <w:lang w:val="en-US" w:eastAsia="zh-CN"/>
          <w14:textFill>
            <w14:solidFill>
              <w14:schemeClr w14:val="tx1"/>
            </w14:solidFill>
          </w14:textFill>
        </w:rPr>
        <w:t>其他软件服务</w:t>
      </w:r>
      <w:r>
        <w:rPr>
          <w:rFonts w:hint="eastAsia" w:eastAsia="仿宋_GB2312"/>
          <w:color w:val="000000" w:themeColor="text1"/>
          <w:sz w:val="32"/>
          <w:szCs w:val="32"/>
          <w:highlight w:val="none"/>
          <w14:textFill>
            <w14:solidFill>
              <w14:schemeClr w14:val="tx1"/>
            </w14:solidFill>
          </w14:textFill>
        </w:rPr>
        <w:t>功能的专用软件或硬件模块。咬嘴分为可重复使用和一次性使用两种。</w:t>
      </w:r>
    </w:p>
    <w:p w14:paraId="7F533ECB">
      <w:pPr>
        <w:spacing w:line="520" w:lineRule="exact"/>
        <w:ind w:firstLine="640"/>
        <w:jc w:val="left"/>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2.1.3产品分类</w:t>
      </w:r>
    </w:p>
    <w:p w14:paraId="14E1FB1D">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按适用人群可划分为：成人型（适配成人呼吸道尺寸）、儿童型（适配儿童呼吸道尺寸，多采用特殊咬嘴设计）、通用型（可通过更换咬嘴适配不同人群）</w:t>
      </w:r>
    </w:p>
    <w:p w14:paraId="0454C7AD">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按产品电源部分可划分为：</w:t>
      </w:r>
      <w:r>
        <w:rPr>
          <w:rFonts w:hint="eastAsia" w:eastAsia="仿宋_GB2312"/>
          <w:color w:val="000000" w:themeColor="text1"/>
          <w:sz w:val="32"/>
          <w:szCs w:val="32"/>
          <w:highlight w:val="none"/>
          <w:lang w:val="en-US" w:eastAsia="zh-CN"/>
          <w14:textFill>
            <w14:solidFill>
              <w14:schemeClr w14:val="tx1"/>
            </w14:solidFill>
          </w14:textFill>
        </w:rPr>
        <w:t>内部电源</w:t>
      </w:r>
      <w:r>
        <w:rPr>
          <w:rFonts w:hint="eastAsia" w:eastAsia="仿宋_GB2312"/>
          <w:color w:val="000000" w:themeColor="text1"/>
          <w:sz w:val="32"/>
          <w:szCs w:val="32"/>
          <w:highlight w:val="none"/>
          <w14:textFill>
            <w14:solidFill>
              <w14:schemeClr w14:val="tx1"/>
            </w14:solidFill>
          </w14:textFill>
        </w:rPr>
        <w:t>型（内置可充电电池或干电池）、外接电源型（通过 USB 等接口外接电源供电）</w:t>
      </w:r>
    </w:p>
    <w:p w14:paraId="6BD99C53">
      <w:pPr>
        <w:spacing w:line="520" w:lineRule="exact"/>
        <w:ind w:firstLine="640"/>
        <w:jc w:val="left"/>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按核心测量原理可划分为：利用</w:t>
      </w:r>
      <w:r>
        <w:rPr>
          <w:rFonts w:hint="eastAsia" w:eastAsia="仿宋_GB2312"/>
          <w:color w:val="000000" w:themeColor="text1"/>
          <w:sz w:val="32"/>
          <w:szCs w:val="20"/>
          <w:highlight w:val="none"/>
          <w14:textFill>
            <w14:solidFill>
              <w14:schemeClr w14:val="tx1"/>
            </w14:solidFill>
          </w14:textFill>
        </w:rPr>
        <w:t>压差传感器、</w:t>
      </w:r>
      <w:r>
        <w:rPr>
          <w:rFonts w:hint="eastAsia" w:eastAsia="仿宋_GB2312"/>
          <w:color w:val="000000" w:themeColor="text1"/>
          <w:sz w:val="32"/>
          <w:szCs w:val="20"/>
          <w:highlight w:val="none"/>
          <w:lang w:val="en-US" w:eastAsia="zh-CN"/>
          <w14:textFill>
            <w14:solidFill>
              <w14:schemeClr w14:val="tx1"/>
            </w14:solidFill>
          </w14:textFill>
        </w:rPr>
        <w:t>超声传感器、</w:t>
      </w:r>
      <w:r>
        <w:rPr>
          <w:rFonts w:hint="eastAsia" w:eastAsia="仿宋_GB2312"/>
          <w:color w:val="000000" w:themeColor="text1"/>
          <w:sz w:val="32"/>
          <w:szCs w:val="20"/>
          <w:highlight w:val="none"/>
          <w14:textFill>
            <w14:solidFill>
              <w14:schemeClr w14:val="tx1"/>
            </w14:solidFill>
          </w14:textFill>
        </w:rPr>
        <w:t>涡轮传感器</w:t>
      </w:r>
      <w:r>
        <w:rPr>
          <w:rFonts w:hint="eastAsia" w:eastAsia="仿宋_GB2312"/>
          <w:color w:val="000000" w:themeColor="text1"/>
          <w:sz w:val="32"/>
          <w:szCs w:val="32"/>
          <w:highlight w:val="none"/>
          <w14:textFill>
            <w14:solidFill>
              <w14:schemeClr w14:val="tx1"/>
            </w14:solidFill>
          </w14:textFill>
        </w:rPr>
        <w:t>将气流信号转换为电信号</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通过算法计算最大呼气流量值</w:t>
      </w:r>
      <w:r>
        <w:rPr>
          <w:rFonts w:hint="eastAsia" w:eastAsia="仿宋_GB2312"/>
          <w:color w:val="000000" w:themeColor="text1"/>
          <w:sz w:val="32"/>
          <w:szCs w:val="32"/>
          <w:highlight w:val="none"/>
          <w14:textFill>
            <w14:solidFill>
              <w14:schemeClr w14:val="tx1"/>
            </w14:solidFill>
          </w14:textFill>
        </w:rPr>
        <w:t>。</w:t>
      </w:r>
    </w:p>
    <w:p w14:paraId="302BA788">
      <w:pPr>
        <w:spacing w:line="520" w:lineRule="exact"/>
        <w:ind w:firstLine="64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按使用环境划分为：家用型（主机与咬嘴一体设计，</w:t>
      </w:r>
      <w:r>
        <w:rPr>
          <w:rFonts w:hint="eastAsia" w:eastAsia="仿宋_GB2312"/>
          <w:color w:val="000000" w:themeColor="text1"/>
          <w:sz w:val="32"/>
          <w:szCs w:val="32"/>
          <w:highlight w:val="none"/>
          <w14:textFill>
            <w14:solidFill>
              <w14:schemeClr w14:val="tx1"/>
            </w14:solidFill>
          </w14:textFill>
        </w:rPr>
        <w:t>咬嘴</w:t>
      </w:r>
      <w:r>
        <w:rPr>
          <w:rFonts w:hint="eastAsia" w:eastAsia="仿宋_GB2312"/>
          <w:color w:val="000000" w:themeColor="text1"/>
          <w:sz w:val="32"/>
          <w:szCs w:val="32"/>
          <w:highlight w:val="none"/>
          <w:lang w:val="en-US" w:eastAsia="zh-CN"/>
          <w14:textFill>
            <w14:solidFill>
              <w14:schemeClr w14:val="tx1"/>
            </w14:solidFill>
          </w14:textFill>
        </w:rPr>
        <w:t>专人重复使用）、医疗机构型（主机与咬嘴分体设计一次性使用）</w:t>
      </w:r>
    </w:p>
    <w:p w14:paraId="10CF6BD4">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2.2型号规格</w:t>
      </w:r>
    </w:p>
    <w:p w14:paraId="0B861893">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应明确申报产品的型号规格及其划分原则。对于存在多种型号、规格的产品，需明确各型号、规格的区别，应采用对比表及带有说明性文字的图片、图表，对各种型号、规格的结构组成、功能、产品特征和运行模式、技术参数等方面加以描述。</w:t>
      </w:r>
    </w:p>
    <w:p w14:paraId="72C3892B">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2.3包装说明</w:t>
      </w:r>
    </w:p>
    <w:p w14:paraId="52425502">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说明所有产品组成的包装信息。描述产品包装的组成部分，对于每个组成部分，详细描述包装清单和包装方式，并提供包装图示。若</w:t>
      </w:r>
      <w:r>
        <w:rPr>
          <w:rFonts w:hint="eastAsia" w:eastAsia="仿宋_GB2312" w:cs="仿宋_GB2312"/>
          <w:bCs/>
          <w:color w:val="000000" w:themeColor="text1"/>
          <w:sz w:val="32"/>
          <w:szCs w:val="28"/>
          <w:highlight w:val="none"/>
          <w:lang w:val="en-US" w:eastAsia="zh-CN"/>
          <w14:textFill>
            <w14:solidFill>
              <w14:schemeClr w14:val="tx1"/>
            </w14:solidFill>
          </w14:textFill>
        </w:rPr>
        <w:t>咬</w:t>
      </w:r>
      <w:r>
        <w:rPr>
          <w:rFonts w:hint="eastAsia" w:eastAsia="仿宋_GB2312" w:cs="仿宋_GB2312"/>
          <w:bCs/>
          <w:color w:val="000000" w:themeColor="text1"/>
          <w:sz w:val="32"/>
          <w:szCs w:val="28"/>
          <w:highlight w:val="none"/>
          <w14:textFill>
            <w14:solidFill>
              <w14:schemeClr w14:val="tx1"/>
            </w14:solidFill>
          </w14:textFill>
        </w:rPr>
        <w:t>嘴为外购的有备案号的产品，建议说明。</w:t>
      </w:r>
    </w:p>
    <w:p w14:paraId="3931CCBC">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2.4研发历程</w:t>
      </w:r>
    </w:p>
    <w:p w14:paraId="42E3D16E">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阐述申请注册产品的研发背景和目的。如有参考的同类产品或前代产品，需提供同类产品或前代产品的信息，并说明选择其作为研发参考的原因。</w:t>
      </w:r>
    </w:p>
    <w:p w14:paraId="0C5D7287">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2.5与同类和/或前代产品的参考和比较</w:t>
      </w:r>
    </w:p>
    <w:p w14:paraId="310583F9">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列表比较说明申报产品与同类产品和/或前代产品在工作原理、结构组成、制造材料、性能指标、以及适用范围等方面的异同。</w:t>
      </w:r>
    </w:p>
    <w:p w14:paraId="06ACDB39">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3.适用范围和禁忌证</w:t>
      </w:r>
    </w:p>
    <w:p w14:paraId="20CBE17C">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3.1适用范围</w:t>
      </w:r>
    </w:p>
    <w:p w14:paraId="1882E0BB">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适用范围应根据产品的具体类型进行描述。</w:t>
      </w:r>
    </w:p>
    <w:p w14:paraId="7171F36D">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适用范围可表述为：“用于测量哮喘患者、慢性阻塞肺病患者最大呼气流量，测量患者呼出气受限制的程度，可监测哮喘病情”。</w:t>
      </w:r>
    </w:p>
    <w:p w14:paraId="292C97D9">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3.2预期使用环境</w:t>
      </w:r>
    </w:p>
    <w:p w14:paraId="5F769963">
      <w:pPr>
        <w:tabs>
          <w:tab w:val="left" w:pos="8040"/>
        </w:tabs>
        <w:overflowPunct w:val="0"/>
        <w:spacing w:line="520" w:lineRule="exact"/>
        <w:ind w:firstLine="640" w:firstLineChars="200"/>
        <w:rPr>
          <w:rFonts w:hint="eastAsia"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需明确对申报产品预期使用的地点和使用环境的要求</w:t>
      </w:r>
      <w:r>
        <w:rPr>
          <w:rFonts w:hint="eastAsia" w:eastAsia="仿宋_GB2312"/>
          <w:color w:val="000000" w:themeColor="text1"/>
          <w:sz w:val="32"/>
          <w:szCs w:val="28"/>
          <w:highlight w:val="none"/>
          <w14:textFill>
            <w14:solidFill>
              <w14:schemeClr w14:val="tx1"/>
            </w14:solidFill>
          </w14:textFill>
        </w:rPr>
        <w:t>。</w:t>
      </w:r>
    </w:p>
    <w:p w14:paraId="269A0782">
      <w:pPr>
        <w:spacing w:line="520" w:lineRule="exact"/>
        <w:ind w:firstLine="636" w:firstLineChars="200"/>
        <w:rPr>
          <w:rFonts w:hint="eastAsia" w:eastAsia="仿宋_GB2312"/>
          <w:color w:val="000000" w:themeColor="text1"/>
          <w:sz w:val="32"/>
          <w:szCs w:val="28"/>
          <w:highlight w:val="none"/>
          <w14:textFill>
            <w14:solidFill>
              <w14:schemeClr w14:val="tx1"/>
            </w14:solidFill>
          </w14:textFill>
        </w:rPr>
      </w:pPr>
      <w:r>
        <w:rPr>
          <w:rFonts w:ascii="Times New Roman" w:hAnsi="Times New Roman" w:eastAsia="仿宋_GB2312" w:cs="Times New Roman"/>
          <w:color w:val="000000"/>
          <w:spacing w:val="-1"/>
          <w:sz w:val="32"/>
          <w:szCs w:val="32"/>
          <w:highlight w:val="none"/>
        </w:rPr>
        <w:t>使用环境要求应包括：温度、湿度</w:t>
      </w:r>
      <w:r>
        <w:rPr>
          <w:rFonts w:hint="eastAsia" w:ascii="Times New Roman" w:hAnsi="Times New Roman" w:eastAsia="仿宋_GB2312" w:cs="Times New Roman"/>
          <w:color w:val="000000"/>
          <w:spacing w:val="-1"/>
          <w:sz w:val="32"/>
          <w:szCs w:val="32"/>
          <w:highlight w:val="none"/>
        </w:rPr>
        <w:t>、海拔</w:t>
      </w:r>
      <w:r>
        <w:rPr>
          <w:rFonts w:hint="eastAsia" w:ascii="Times New Roman" w:hAnsi="Times New Roman" w:eastAsia="仿宋_GB2312" w:cs="Times New Roman"/>
          <w:color w:val="000000"/>
          <w:spacing w:val="-1"/>
          <w:sz w:val="32"/>
          <w:szCs w:val="32"/>
          <w:highlight w:val="none"/>
          <w:lang w:val="en-US" w:eastAsia="zh-CN"/>
        </w:rPr>
        <w:t>高度</w:t>
      </w:r>
      <w:r>
        <w:rPr>
          <w:rFonts w:hint="eastAsia" w:ascii="Times New Roman" w:hAnsi="Times New Roman" w:eastAsia="仿宋_GB2312" w:cs="Times New Roman"/>
          <w:color w:val="000000"/>
          <w:spacing w:val="-1"/>
          <w:sz w:val="32"/>
          <w:szCs w:val="32"/>
          <w:highlight w:val="none"/>
        </w:rPr>
        <w:t>、</w:t>
      </w:r>
      <w:r>
        <w:rPr>
          <w:rFonts w:ascii="Times New Roman" w:hAnsi="Times New Roman" w:eastAsia="仿宋_GB2312" w:cs="Times New Roman"/>
          <w:color w:val="000000"/>
          <w:spacing w:val="-1"/>
          <w:sz w:val="32"/>
          <w:szCs w:val="32"/>
          <w:highlight w:val="none"/>
        </w:rPr>
        <w:t>大气压</w:t>
      </w:r>
      <w:r>
        <w:rPr>
          <w:rFonts w:hint="eastAsia" w:ascii="Times New Roman" w:hAnsi="Times New Roman" w:eastAsia="仿宋_GB2312" w:cs="Times New Roman"/>
          <w:color w:val="000000"/>
          <w:spacing w:val="-1"/>
          <w:sz w:val="32"/>
          <w:szCs w:val="32"/>
          <w:highlight w:val="none"/>
          <w:lang w:val="en-US" w:eastAsia="zh-CN"/>
        </w:rPr>
        <w:t>力</w:t>
      </w:r>
      <w:r>
        <w:rPr>
          <w:rFonts w:ascii="Times New Roman" w:hAnsi="Times New Roman" w:eastAsia="仿宋_GB2312" w:cs="Times New Roman"/>
          <w:color w:val="000000"/>
          <w:spacing w:val="-1"/>
          <w:sz w:val="32"/>
          <w:szCs w:val="32"/>
          <w:highlight w:val="none"/>
        </w:rPr>
        <w:t>等。</w:t>
      </w:r>
    </w:p>
    <w:p w14:paraId="008714ED">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3.3适用人群</w:t>
      </w:r>
    </w:p>
    <w:p w14:paraId="10879FAF">
      <w:pPr>
        <w:tabs>
          <w:tab w:val="left" w:pos="8040"/>
        </w:tabs>
        <w:topLinePunct/>
        <w:adjustRightInd w:val="0"/>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应详述产品的适用人群。</w:t>
      </w:r>
    </w:p>
    <w:p w14:paraId="40177270">
      <w:pPr>
        <w:overflowPunct w:val="0"/>
        <w:autoSpaceDE w:val="0"/>
        <w:autoSpaceDN w:val="0"/>
        <w:spacing w:line="520" w:lineRule="exact"/>
        <w:ind w:right="210" w:firstLine="640" w:firstLineChars="200"/>
        <w:outlineLvl w:val="3"/>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3.4禁忌证</w:t>
      </w:r>
    </w:p>
    <w:p w14:paraId="14CC21AF">
      <w:pPr>
        <w:pStyle w:val="32"/>
        <w:widowControl w:val="0"/>
        <w:spacing w:line="240" w:lineRule="auto"/>
        <w:ind w:firstLine="624"/>
        <w:rPr>
          <w:rFonts w:ascii="Times New Roman" w:hAnsi="Times New Roman" w:eastAsia="仿宋_GB2312"/>
          <w:color w:val="000000" w:themeColor="text1"/>
          <w:highlight w:val="none"/>
          <w14:textFill>
            <w14:solidFill>
              <w14:schemeClr w14:val="tx1"/>
            </w14:solidFill>
          </w14:textFill>
        </w:rPr>
      </w:pPr>
      <w:r>
        <w:rPr>
          <w:rFonts w:hint="eastAsia" w:ascii="Times New Roman" w:hAnsi="Times New Roman" w:eastAsia="仿宋_GB2312" w:cs="仿宋_GB2312"/>
          <w:color w:val="000000" w:themeColor="text1"/>
          <w:sz w:val="32"/>
          <w:szCs w:val="28"/>
          <w:highlight w:val="none"/>
          <w14:textFill>
            <w14:solidFill>
              <w14:schemeClr w14:val="tx1"/>
            </w14:solidFill>
          </w14:textFill>
        </w:rPr>
        <w:t>应当明确说明该产品禁忌应用的特定人群、身体状况等。例如：无法配合完成深吸气后快速用力呼气动作的人群（如神志不清、严重意识障碍者、婴幼儿及无自主呼吸控制能力的儿童）禁止使用；对产品咬嘴材质（如ABS、聚碳酸酯、硅胶等）过敏者禁止使用；存在严重面部畸形、口腔颌面损伤或气道结构异常，导致无法正常含接咬嘴的患者禁止使用；处于急性呼吸衰竭、气胸、大咯血等危急重症状态，无法耐受呼气动作的患者禁止使用。</w:t>
      </w:r>
    </w:p>
    <w:p w14:paraId="39542491">
      <w:pPr>
        <w:spacing w:line="520" w:lineRule="exact"/>
        <w:ind w:firstLine="640" w:firstLineChars="200"/>
        <w:outlineLvl w:val="2"/>
        <w:rPr>
          <w:rFonts w:eastAsia="仿宋_GB2312"/>
          <w:color w:val="000000" w:themeColor="text1"/>
          <w:sz w:val="32"/>
          <w:szCs w:val="28"/>
          <w:highlight w:val="none"/>
          <w14:textFill>
            <w14:solidFill>
              <w14:schemeClr w14:val="tx1"/>
            </w14:solidFill>
          </w14:textFill>
        </w:rPr>
      </w:pPr>
      <w:bookmarkStart w:id="0" w:name="_Toc1588"/>
      <w:r>
        <w:rPr>
          <w:rFonts w:hint="eastAsia" w:eastAsia="仿宋_GB2312"/>
          <w:color w:val="000000" w:themeColor="text1"/>
          <w:sz w:val="32"/>
          <w:szCs w:val="28"/>
          <w:highlight w:val="none"/>
          <w14:textFill>
            <w14:solidFill>
              <w14:schemeClr w14:val="tx1"/>
            </w14:solidFill>
          </w14:textFill>
        </w:rPr>
        <w:t>4.申报产品上市历史</w:t>
      </w:r>
      <w:bookmarkEnd w:id="0"/>
    </w:p>
    <w:p w14:paraId="0D293AD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如适用，应提供申报产品在各国家或地区的上市批准时间、销售情况。</w:t>
      </w:r>
    </w:p>
    <w:p w14:paraId="3BFB77C1">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如适用，应提供申报产品上市后不良事件及召回情况，如不良事件及召回情况描述、原因分析、处理和解决方案、对安全有效性影响的分析评价等。</w:t>
      </w:r>
    </w:p>
    <w:p w14:paraId="098A8FB2">
      <w:pPr>
        <w:spacing w:line="520" w:lineRule="exact"/>
        <w:ind w:firstLine="640" w:firstLineChars="20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olor w:val="000000" w:themeColor="text1"/>
          <w:sz w:val="32"/>
          <w:szCs w:val="32"/>
          <w:highlight w:val="none"/>
          <w:lang w:val="en-US" w:eastAsia="zh-CN"/>
          <w14:textFill>
            <w14:solidFill>
              <w14:schemeClr w14:val="tx1"/>
            </w14:solidFill>
          </w14:textFill>
        </w:rPr>
        <w:t>5.其他需说明的内容</w:t>
      </w:r>
    </w:p>
    <w:p w14:paraId="382F9097">
      <w:pPr>
        <w:spacing w:line="520" w:lineRule="exact"/>
        <w:ind w:firstLine="640" w:firstLineChars="200"/>
        <w:rPr>
          <w:rFonts w:hint="default" w:eastAsia="仿宋_GB2312"/>
          <w:color w:val="000000" w:themeColor="text1"/>
          <w:sz w:val="32"/>
          <w:szCs w:val="32"/>
          <w:highlight w:val="none"/>
          <w:lang w:val="en-US" w:eastAsia="zh-CN"/>
          <w14:textFill>
            <w14:solidFill>
              <w14:schemeClr w14:val="tx1"/>
            </w14:solidFill>
          </w14:textFill>
        </w:rPr>
      </w:pPr>
      <w:r>
        <w:rPr>
          <w:rFonts w:hint="eastAsia" w:eastAsia="仿宋_GB2312" w:cs="仿宋_GB2312"/>
          <w:bCs/>
          <w:color w:val="000000" w:themeColor="text1"/>
          <w:sz w:val="32"/>
          <w:szCs w:val="28"/>
          <w:highlight w:val="none"/>
          <w14:textFill>
            <w14:solidFill>
              <w14:schemeClr w14:val="tx1"/>
            </w14:solidFill>
          </w14:textFill>
        </w:rPr>
        <w:t>如适用，明确与申报产品联合使用实现预期用途的其他产品的详细信息，若配合已获批的其他医用诊察和监护器械使用，应提供注册证编号和国家药监局网站公布的注册证信息。</w:t>
      </w:r>
    </w:p>
    <w:p w14:paraId="2291A6D5">
      <w:pPr>
        <w:pStyle w:val="3"/>
        <w:keepNext w:val="0"/>
        <w:keepLines w:val="0"/>
        <w:ind w:firstLine="640"/>
        <w:rPr>
          <w:rFonts w:ascii="Times New Roman" w:hAnsi="Times New Roman"/>
          <w:b w:val="0"/>
          <w:bCs/>
          <w:color w:val="000000" w:themeColor="text1"/>
          <w:highlight w:val="none"/>
          <w14:textFill>
            <w14:solidFill>
              <w14:schemeClr w14:val="tx1"/>
            </w14:solidFill>
          </w14:textFill>
        </w:rPr>
      </w:pPr>
      <w:r>
        <w:rPr>
          <w:rFonts w:hint="eastAsia" w:ascii="Times New Roman" w:hAnsi="Times New Roman" w:cs="楷体_GB2312"/>
          <w:b w:val="0"/>
          <w:bCs/>
          <w:color w:val="000000" w:themeColor="text1"/>
          <w:highlight w:val="none"/>
          <w14:textFill>
            <w14:solidFill>
              <w14:schemeClr w14:val="tx1"/>
            </w14:solidFill>
          </w14:textFill>
        </w:rPr>
        <w:t>（三）非临床资料</w:t>
      </w:r>
    </w:p>
    <w:p w14:paraId="1FD0C92F">
      <w:pPr>
        <w:spacing w:line="520" w:lineRule="exact"/>
        <w:ind w:firstLine="640" w:firstLineChars="200"/>
        <w:jc w:val="left"/>
        <w:outlineLvl w:val="2"/>
        <w:rPr>
          <w:rFonts w:eastAsia="仿宋_GB2312" w:cs="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w:t>
      </w:r>
      <w:r>
        <w:rPr>
          <w:rFonts w:hint="eastAsia" w:eastAsia="仿宋_GB2312"/>
          <w:color w:val="000000" w:themeColor="text1"/>
          <w:sz w:val="32"/>
          <w:szCs w:val="32"/>
          <w:highlight w:val="none"/>
          <w14:textFill>
            <w14:solidFill>
              <w14:schemeClr w14:val="tx1"/>
            </w14:solidFill>
          </w14:textFill>
        </w:rPr>
        <w:t>产品</w:t>
      </w:r>
      <w:r>
        <w:rPr>
          <w:rFonts w:hint="eastAsia" w:eastAsia="仿宋_GB2312" w:cs="仿宋_GB2312"/>
          <w:color w:val="000000" w:themeColor="text1"/>
          <w:sz w:val="32"/>
          <w:szCs w:val="32"/>
          <w:highlight w:val="none"/>
          <w14:textFill>
            <w14:solidFill>
              <w14:schemeClr w14:val="tx1"/>
            </w14:solidFill>
          </w14:textFill>
        </w:rPr>
        <w:t>风险管理资料</w:t>
      </w:r>
    </w:p>
    <w:p w14:paraId="61F1B013">
      <w:pPr>
        <w:spacing w:line="520" w:lineRule="exact"/>
        <w:ind w:firstLine="640" w:firstLineChars="200"/>
        <w:rPr>
          <w:rFonts w:eastAsia="仿宋_GB2312"/>
          <w:bCs/>
          <w:iCs/>
          <w:color w:val="000000" w:themeColor="text1"/>
          <w:sz w:val="32"/>
          <w:szCs w:val="28"/>
          <w:highlight w:val="none"/>
          <w14:textFill>
            <w14:solidFill>
              <w14:schemeClr w14:val="tx1"/>
            </w14:solidFill>
          </w14:textFill>
        </w:rPr>
      </w:pPr>
      <w:r>
        <w:rPr>
          <w:rFonts w:hint="eastAsia" w:eastAsia="仿宋_GB2312"/>
          <w:bCs/>
          <w:iCs/>
          <w:color w:val="000000" w:themeColor="text1"/>
          <w:sz w:val="32"/>
          <w:szCs w:val="28"/>
          <w:highlight w:val="none"/>
          <w14:textFill>
            <w14:solidFill>
              <w14:schemeClr w14:val="tx1"/>
            </w14:solidFill>
          </w14:textFill>
        </w:rPr>
        <w:t>申请人可参考GB/T 42062及</w:t>
      </w:r>
      <w:r>
        <w:rPr>
          <w:rFonts w:eastAsia="仿宋_GB2312"/>
          <w:color w:val="000000" w:themeColor="text1"/>
          <w:sz w:val="32"/>
          <w:szCs w:val="32"/>
          <w:highlight w:val="none"/>
          <w14:textFill>
            <w14:solidFill>
              <w14:schemeClr w14:val="tx1"/>
            </w14:solidFill>
          </w14:textFill>
        </w:rPr>
        <w:t>YY/T 1437</w:t>
      </w:r>
      <w:r>
        <w:rPr>
          <w:rFonts w:hint="eastAsia" w:eastAsia="仿宋_GB2312"/>
          <w:bCs/>
          <w:iCs/>
          <w:color w:val="000000" w:themeColor="text1"/>
          <w:sz w:val="32"/>
          <w:szCs w:val="28"/>
          <w:highlight w:val="none"/>
          <w14:textFill>
            <w14:solidFill>
              <w14:schemeClr w14:val="tx1"/>
            </w14:solidFill>
          </w14:textFill>
        </w:rPr>
        <w:t>标准对产品进行全生命周期风险管理，提交风险管理资料。</w:t>
      </w:r>
    </w:p>
    <w:p w14:paraId="4C372E11">
      <w:pPr>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lang w:val="zh-CN"/>
          <w14:textFill>
            <w14:solidFill>
              <w14:schemeClr w14:val="tx1"/>
            </w14:solidFill>
          </w14:textFill>
        </w:rPr>
        <w:t>申请人需重点说明：申报产品的研制阶段已对有关可能的危</w:t>
      </w:r>
      <w:r>
        <w:rPr>
          <w:rFonts w:eastAsia="仿宋_GB2312"/>
          <w:snapToGrid w:val="0"/>
          <w:color w:val="000000" w:themeColor="text1"/>
          <w:sz w:val="32"/>
          <w:szCs w:val="32"/>
          <w:highlight w:val="none"/>
          <w14:textFill>
            <w14:solidFill>
              <w14:schemeClr w14:val="tx1"/>
            </w14:solidFill>
          </w14:textFill>
        </w:rPr>
        <w:t>险</w:t>
      </w:r>
      <w:r>
        <w:rPr>
          <w:rFonts w:eastAsia="仿宋_GB2312"/>
          <w:snapToGrid w:val="0"/>
          <w:color w:val="000000" w:themeColor="text1"/>
          <w:sz w:val="32"/>
          <w:szCs w:val="32"/>
          <w:highlight w:val="none"/>
          <w:lang w:val="zh-CN"/>
          <w14:textFill>
            <w14:solidFill>
              <w14:schemeClr w14:val="tx1"/>
            </w14:solidFill>
          </w14:textFill>
        </w:rPr>
        <w:t>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p>
    <w:p w14:paraId="5E3792D4">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lang w:val="zh-CN"/>
          <w14:textFill>
            <w14:solidFill>
              <w14:schemeClr w14:val="tx1"/>
            </w14:solidFill>
          </w14:textFill>
        </w:rPr>
        <w:t>风险管理报告一般包括以下内容：</w:t>
      </w:r>
    </w:p>
    <w:p w14:paraId="0D8A81CD">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1.1</w:t>
      </w:r>
      <w:r>
        <w:rPr>
          <w:rFonts w:eastAsia="仿宋_GB2312"/>
          <w:snapToGrid w:val="0"/>
          <w:color w:val="000000" w:themeColor="text1"/>
          <w:sz w:val="32"/>
          <w:szCs w:val="32"/>
          <w:highlight w:val="none"/>
          <w:lang w:val="zh-CN"/>
          <w14:textFill>
            <w14:solidFill>
              <w14:schemeClr w14:val="tx1"/>
            </w14:solidFill>
          </w14:textFill>
        </w:rPr>
        <w:t>申报产品的风险管理组织。</w:t>
      </w:r>
    </w:p>
    <w:p w14:paraId="5D4612D6">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1.2</w:t>
      </w:r>
      <w:r>
        <w:rPr>
          <w:rFonts w:eastAsia="仿宋_GB2312"/>
          <w:snapToGrid w:val="0"/>
          <w:color w:val="000000" w:themeColor="text1"/>
          <w:sz w:val="32"/>
          <w:szCs w:val="32"/>
          <w:highlight w:val="none"/>
          <w:lang w:val="zh-CN"/>
          <w14:textFill>
            <w14:solidFill>
              <w14:schemeClr w14:val="tx1"/>
            </w14:solidFill>
          </w14:textFill>
        </w:rPr>
        <w:t>申报产品的组成。</w:t>
      </w:r>
    </w:p>
    <w:p w14:paraId="4B67B4B1">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1.3</w:t>
      </w:r>
      <w:r>
        <w:rPr>
          <w:rFonts w:eastAsia="仿宋_GB2312"/>
          <w:snapToGrid w:val="0"/>
          <w:color w:val="000000" w:themeColor="text1"/>
          <w:sz w:val="32"/>
          <w:szCs w:val="32"/>
          <w:highlight w:val="none"/>
          <w:lang w:val="zh-CN"/>
          <w14:textFill>
            <w14:solidFill>
              <w14:schemeClr w14:val="tx1"/>
            </w14:solidFill>
          </w14:textFill>
        </w:rPr>
        <w:t>申报产品符合的安全标准。</w:t>
      </w:r>
    </w:p>
    <w:p w14:paraId="55C259F3">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1.4</w:t>
      </w:r>
      <w:r>
        <w:rPr>
          <w:rFonts w:eastAsia="仿宋_GB2312"/>
          <w:snapToGrid w:val="0"/>
          <w:color w:val="000000" w:themeColor="text1"/>
          <w:sz w:val="32"/>
          <w:szCs w:val="32"/>
          <w:highlight w:val="none"/>
          <w:lang w:val="zh-CN"/>
          <w14:textFill>
            <w14:solidFill>
              <w14:schemeClr w14:val="tx1"/>
            </w14:solidFill>
          </w14:textFill>
        </w:rPr>
        <w:t>申报产品的预期用途，与安全性有关的特征的判定。</w:t>
      </w:r>
    </w:p>
    <w:p w14:paraId="4F88F03A">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1.5</w:t>
      </w:r>
      <w:r>
        <w:rPr>
          <w:rFonts w:eastAsia="仿宋_GB2312"/>
          <w:snapToGrid w:val="0"/>
          <w:color w:val="000000" w:themeColor="text1"/>
          <w:sz w:val="32"/>
          <w:szCs w:val="32"/>
          <w:highlight w:val="none"/>
          <w:lang w:val="zh-CN"/>
          <w14:textFill>
            <w14:solidFill>
              <w14:schemeClr w14:val="tx1"/>
            </w14:solidFill>
          </w14:textFill>
        </w:rPr>
        <w:t>对申报产品的可能危</w:t>
      </w:r>
      <w:r>
        <w:rPr>
          <w:rFonts w:eastAsia="仿宋_GB2312"/>
          <w:snapToGrid w:val="0"/>
          <w:color w:val="000000" w:themeColor="text1"/>
          <w:sz w:val="32"/>
          <w:szCs w:val="32"/>
          <w:highlight w:val="none"/>
          <w14:textFill>
            <w14:solidFill>
              <w14:schemeClr w14:val="tx1"/>
            </w14:solidFill>
          </w14:textFill>
        </w:rPr>
        <w:t>险</w:t>
      </w:r>
      <w:r>
        <w:rPr>
          <w:rFonts w:eastAsia="仿宋_GB2312"/>
          <w:snapToGrid w:val="0"/>
          <w:color w:val="000000" w:themeColor="text1"/>
          <w:sz w:val="32"/>
          <w:szCs w:val="32"/>
          <w:highlight w:val="none"/>
          <w:lang w:val="zh-CN"/>
          <w14:textFill>
            <w14:solidFill>
              <w14:schemeClr w14:val="tx1"/>
            </w14:solidFill>
          </w14:textFill>
        </w:rPr>
        <w:t>作出判定（见附</w:t>
      </w:r>
      <w:r>
        <w:rPr>
          <w:rFonts w:hint="eastAsia" w:eastAsia="仿宋_GB2312"/>
          <w:snapToGrid w:val="0"/>
          <w:color w:val="000000" w:themeColor="text1"/>
          <w:sz w:val="32"/>
          <w:szCs w:val="32"/>
          <w:highlight w:val="none"/>
          <w:lang w:val="zh-CN"/>
          <w14:textFill>
            <w14:solidFill>
              <w14:schemeClr w14:val="tx1"/>
            </w14:solidFill>
          </w14:textFill>
        </w:rPr>
        <w:t>表1</w:t>
      </w:r>
      <w:r>
        <w:rPr>
          <w:rFonts w:eastAsia="仿宋_GB2312"/>
          <w:snapToGrid w:val="0"/>
          <w:color w:val="000000" w:themeColor="text1"/>
          <w:sz w:val="32"/>
          <w:szCs w:val="32"/>
          <w:highlight w:val="none"/>
          <w:lang w:val="zh-CN"/>
          <w14:textFill>
            <w14:solidFill>
              <w14:schemeClr w14:val="tx1"/>
            </w14:solidFill>
          </w14:textFill>
        </w:rPr>
        <w:t>）。</w:t>
      </w:r>
    </w:p>
    <w:p w14:paraId="55A8CEA8">
      <w:pPr>
        <w:overflowPunct w:val="0"/>
        <w:autoSpaceDE w:val="0"/>
        <w:autoSpaceDN w:val="0"/>
        <w:adjustRightInd w:val="0"/>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1.6</w:t>
      </w:r>
      <w:r>
        <w:rPr>
          <w:rFonts w:eastAsia="仿宋_GB2312"/>
          <w:snapToGrid w:val="0"/>
          <w:color w:val="000000" w:themeColor="text1"/>
          <w:sz w:val="32"/>
          <w:szCs w:val="32"/>
          <w:highlight w:val="none"/>
          <w:lang w:val="zh-CN"/>
          <w14:textFill>
            <w14:solidFill>
              <w14:schemeClr w14:val="tx1"/>
            </w14:solidFill>
          </w14:textFill>
        </w:rPr>
        <w:t>对所判定的危</w:t>
      </w:r>
      <w:r>
        <w:rPr>
          <w:rFonts w:eastAsia="仿宋_GB2312"/>
          <w:snapToGrid w:val="0"/>
          <w:color w:val="000000" w:themeColor="text1"/>
          <w:sz w:val="32"/>
          <w:szCs w:val="32"/>
          <w:highlight w:val="none"/>
          <w14:textFill>
            <w14:solidFill>
              <w14:schemeClr w14:val="tx1"/>
            </w14:solidFill>
          </w14:textFill>
        </w:rPr>
        <w:t>险</w:t>
      </w:r>
      <w:r>
        <w:rPr>
          <w:rFonts w:eastAsia="仿宋_GB2312"/>
          <w:snapToGrid w:val="0"/>
          <w:color w:val="000000" w:themeColor="text1"/>
          <w:sz w:val="32"/>
          <w:szCs w:val="32"/>
          <w:highlight w:val="none"/>
          <w:lang w:val="zh-CN"/>
          <w14:textFill>
            <w14:solidFill>
              <w14:schemeClr w14:val="tx1"/>
            </w14:solidFill>
          </w14:textFill>
        </w:rPr>
        <w:t>采取的降低风险的控制措施。</w:t>
      </w:r>
    </w:p>
    <w:p w14:paraId="07D884CB">
      <w:pPr>
        <w:spacing w:line="520" w:lineRule="exact"/>
        <w:ind w:firstLine="640" w:firstLineChars="200"/>
        <w:rPr>
          <w:color w:val="000000" w:themeColor="text1"/>
          <w:highlight w:val="none"/>
          <w14:textFill>
            <w14:solidFill>
              <w14:schemeClr w14:val="tx1"/>
            </w14:solidFill>
          </w14:textFill>
        </w:rPr>
      </w:pPr>
      <w:r>
        <w:rPr>
          <w:rFonts w:eastAsia="仿宋_GB2312"/>
          <w:snapToGrid w:val="0"/>
          <w:color w:val="000000" w:themeColor="text1"/>
          <w:sz w:val="32"/>
          <w:szCs w:val="32"/>
          <w:highlight w:val="none"/>
          <w14:textFill>
            <w14:solidFill>
              <w14:schemeClr w14:val="tx1"/>
            </w14:solidFill>
          </w14:textFill>
        </w:rPr>
        <w:t>1.7</w:t>
      </w:r>
      <w:r>
        <w:rPr>
          <w:rFonts w:eastAsia="仿宋_GB2312"/>
          <w:snapToGrid w:val="0"/>
          <w:color w:val="000000" w:themeColor="text1"/>
          <w:sz w:val="32"/>
          <w:szCs w:val="32"/>
          <w:highlight w:val="none"/>
          <w:lang w:val="zh-CN"/>
          <w14:textFill>
            <w14:solidFill>
              <w14:schemeClr w14:val="tx1"/>
            </w14:solidFill>
          </w14:textFill>
        </w:rPr>
        <w:t>对采取控制措施后的剩余风险进行估计和评价</w:t>
      </w:r>
      <w:r>
        <w:rPr>
          <w:color w:val="000000" w:themeColor="text1"/>
          <w:highlight w:val="none"/>
          <w14:textFill>
            <w14:solidFill>
              <w14:schemeClr w14:val="tx1"/>
            </w14:solidFill>
          </w14:textFill>
        </w:rPr>
        <w:t>。</w:t>
      </w:r>
    </w:p>
    <w:p w14:paraId="74544A88">
      <w:pPr>
        <w:spacing w:line="520" w:lineRule="exact"/>
        <w:ind w:firstLine="640" w:firstLineChars="200"/>
        <w:rPr>
          <w:rFonts w:eastAsia="仿宋_GB2312"/>
          <w:snapToGrid w:val="0"/>
          <w:color w:val="000000" w:themeColor="text1"/>
          <w:sz w:val="32"/>
          <w:szCs w:val="32"/>
          <w:highlight w:val="none"/>
          <w:lang w:val="zh-CN"/>
          <w14:textFill>
            <w14:solidFill>
              <w14:schemeClr w14:val="tx1"/>
            </w14:solidFill>
          </w14:textFill>
        </w:rPr>
      </w:pPr>
      <w:r>
        <w:rPr>
          <w:rFonts w:eastAsia="仿宋_GB2312"/>
          <w:snapToGrid w:val="0"/>
          <w:color w:val="000000" w:themeColor="text1"/>
          <w:sz w:val="32"/>
          <w:szCs w:val="32"/>
          <w:highlight w:val="none"/>
          <w:lang w:val="zh-CN"/>
          <w14:textFill>
            <w14:solidFill>
              <w14:schemeClr w14:val="tx1"/>
            </w14:solidFill>
          </w14:textFill>
        </w:rPr>
        <w:t>1.8对风险管理计划的实施情况</w:t>
      </w:r>
      <w:r>
        <w:rPr>
          <w:rFonts w:eastAsia="仿宋_GB2312"/>
          <w:snapToGrid w:val="0"/>
          <w:color w:val="000000" w:themeColor="text1"/>
          <w:sz w:val="32"/>
          <w:szCs w:val="32"/>
          <w:highlight w:val="none"/>
          <w14:textFill>
            <w14:solidFill>
              <w14:schemeClr w14:val="tx1"/>
            </w14:solidFill>
          </w14:textFill>
        </w:rPr>
        <w:t>进行</w:t>
      </w:r>
      <w:r>
        <w:rPr>
          <w:rFonts w:eastAsia="仿宋_GB2312"/>
          <w:snapToGrid w:val="0"/>
          <w:color w:val="000000" w:themeColor="text1"/>
          <w:sz w:val="32"/>
          <w:szCs w:val="32"/>
          <w:highlight w:val="none"/>
          <w:lang w:val="zh-CN"/>
          <w14:textFill>
            <w14:solidFill>
              <w14:schemeClr w14:val="tx1"/>
            </w14:solidFill>
          </w14:textFill>
        </w:rPr>
        <w:t>评审。</w:t>
      </w:r>
    </w:p>
    <w:p w14:paraId="41AAE2D6">
      <w:pPr>
        <w:spacing w:line="520" w:lineRule="exact"/>
        <w:ind w:firstLine="640" w:firstLineChars="200"/>
        <w:rPr>
          <w:color w:val="000000" w:themeColor="text1"/>
          <w:highlight w:val="none"/>
          <w14:textFill>
            <w14:solidFill>
              <w14:schemeClr w14:val="tx1"/>
            </w14:solidFill>
          </w14:textFill>
        </w:rPr>
      </w:pPr>
      <w:r>
        <w:rPr>
          <w:rFonts w:eastAsia="仿宋_GB2312"/>
          <w:snapToGrid w:val="0"/>
          <w:color w:val="000000" w:themeColor="text1"/>
          <w:sz w:val="32"/>
          <w:szCs w:val="32"/>
          <w:highlight w:val="none"/>
          <w:lang w:val="zh-CN"/>
          <w14:textFill>
            <w14:solidFill>
              <w14:schemeClr w14:val="tx1"/>
            </w14:solidFill>
          </w14:textFill>
        </w:rPr>
        <w:t>1.9</w:t>
      </w:r>
      <w:r>
        <w:rPr>
          <w:rFonts w:eastAsia="仿宋_GB2312"/>
          <w:snapToGrid w:val="0"/>
          <w:color w:val="000000" w:themeColor="text1"/>
          <w:sz w:val="32"/>
          <w:szCs w:val="32"/>
          <w:highlight w:val="none"/>
          <w14:textFill>
            <w14:solidFill>
              <w14:schemeClr w14:val="tx1"/>
            </w14:solidFill>
          </w14:textFill>
        </w:rPr>
        <w:t>对生产和生产后活动收集与评审信息。</w:t>
      </w:r>
    </w:p>
    <w:p w14:paraId="613163E3">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3.产品技术要求及检验报告</w:t>
      </w:r>
    </w:p>
    <w:p w14:paraId="7007E81C">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3.1申报产品适用标准情况</w:t>
      </w:r>
    </w:p>
    <w:p w14:paraId="27F08E04">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14:paraId="1207E643">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w:t>
      </w:r>
      <w:r>
        <w:rPr>
          <w:rFonts w:eastAsia="仿宋_GB2312"/>
          <w:color w:val="000000" w:themeColor="text1"/>
          <w:sz w:val="32"/>
          <w:szCs w:val="32"/>
          <w:highlight w:val="none"/>
          <w14:textFill>
            <w14:solidFill>
              <w14:schemeClr w14:val="tx1"/>
            </w14:solidFill>
          </w14:textFill>
        </w:rPr>
        <w:t>产品技术要求</w:t>
      </w:r>
    </w:p>
    <w:p w14:paraId="377600BB">
      <w:pPr>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产品技术要求的编制应符合《医疗器械产品技术要求编写指导原则》的要求。本条款给出需要考虑的产品主要性能指标。</w:t>
      </w:r>
      <w:r>
        <w:rPr>
          <w:rFonts w:hint="eastAsia" w:eastAsia="仿宋_GB2312"/>
          <w:color w:val="000000" w:themeColor="text1"/>
          <w:sz w:val="32"/>
          <w:szCs w:val="32"/>
          <w:highlight w:val="none"/>
          <w14:textFill>
            <w14:solidFill>
              <w14:schemeClr w14:val="tx1"/>
            </w14:solidFill>
          </w14:textFill>
        </w:rPr>
        <w:t>注册申请人应</w:t>
      </w:r>
      <w:r>
        <w:rPr>
          <w:rFonts w:eastAsia="仿宋_GB2312"/>
          <w:color w:val="000000" w:themeColor="text1"/>
          <w:sz w:val="32"/>
          <w:szCs w:val="32"/>
          <w:highlight w:val="none"/>
          <w14:textFill>
            <w14:solidFill>
              <w14:schemeClr w14:val="tx1"/>
            </w14:solidFill>
          </w14:textFill>
        </w:rPr>
        <w:t>参考相应的国家标准、行业标准，根据产品技术特点制定相应的性能指标</w:t>
      </w:r>
      <w:r>
        <w:rPr>
          <w:rFonts w:hint="eastAsia" w:eastAsia="仿宋_GB2312"/>
          <w:color w:val="000000" w:themeColor="text1"/>
          <w:sz w:val="32"/>
          <w:szCs w:val="32"/>
          <w:highlight w:val="none"/>
          <w14:textFill>
            <w14:solidFill>
              <w14:schemeClr w14:val="tx1"/>
            </w14:solidFill>
          </w14:textFill>
        </w:rPr>
        <w:t>要求，</w:t>
      </w:r>
      <w:r>
        <w:rPr>
          <w:rFonts w:eastAsia="仿宋_GB2312"/>
          <w:color w:val="000000" w:themeColor="text1"/>
          <w:sz w:val="32"/>
          <w:szCs w:val="32"/>
          <w:highlight w:val="none"/>
          <w14:textFill>
            <w14:solidFill>
              <w14:schemeClr w14:val="tx1"/>
            </w14:solidFill>
          </w14:textFill>
        </w:rPr>
        <w:t>如不采用以下条款（包括国家标准、行业标准要求），应当说明理由。</w:t>
      </w:r>
    </w:p>
    <w:p w14:paraId="28177568">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3.2.1产品型号/规格及其划分说明</w:t>
      </w:r>
    </w:p>
    <w:p w14:paraId="4BF2600D">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说明产品的型号、规格，明确产品型号、规格的划分说明，明确不同型号产品的差异。</w:t>
      </w:r>
    </w:p>
    <w:p w14:paraId="2E38EE3E">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3.2.2 若包含软件组件，应明确软件的名称、型号规格（若适用）、发布版本、完整版本命名规则。软件模块（含医用中间件）若有单独的版本、版本命名规则均需说明。</w:t>
      </w:r>
    </w:p>
    <w:p w14:paraId="295BE678">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性能指标</w:t>
      </w:r>
    </w:p>
    <w:p w14:paraId="29ABCB29">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产品性能指标及检验方法是产品检验的依据，性能指标应为可进行客观判定的成品的功能性、安全性指标。性能要求包括但不限于如下条款。</w:t>
      </w:r>
    </w:p>
    <w:p w14:paraId="52839F37">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.1外观与结构应符合注册申请人规定的要求。</w:t>
      </w:r>
    </w:p>
    <w:p w14:paraId="7E8CED38">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.2测量范围（如容量、流速）、分度值、测量误差、线性度、气流阻力、频率响应应符合YY／T 1438《麻醉和呼吸设备 评价自主呼吸者 肺功能的呼气峰值流量计》的要求。</w:t>
      </w:r>
    </w:p>
    <w:p w14:paraId="1A6D498C">
      <w:pPr>
        <w:pStyle w:val="33"/>
        <w:spacing w:line="520" w:lineRule="exact"/>
        <w:ind w:firstLine="646" w:firstLineChars="202"/>
        <w:rPr>
          <w:rFonts w:hint="eastAsia"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3.2.</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3</w:t>
      </w:r>
      <w:r>
        <w:rPr>
          <w:rFonts w:hint="eastAsia" w:ascii="Times New Roman" w:hAnsi="Times New Roman" w:eastAsia="仿宋_GB2312"/>
          <w:color w:val="000000" w:themeColor="text1"/>
          <w:sz w:val="32"/>
          <w:szCs w:val="32"/>
          <w:highlight w:val="none"/>
          <w14:textFill>
            <w14:solidFill>
              <w14:schemeClr w14:val="tx1"/>
            </w14:solidFill>
          </w14:textFill>
        </w:rPr>
        <w:t>.3软件功能应参照《医疗器械软件注册审查指导原则（2022年修订版）》明确软件的性能指标。</w:t>
      </w:r>
    </w:p>
    <w:p w14:paraId="38DF77B5">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.4电气安全性能应符合GB 9706.1、YY9706.102、YY9706.108（具有报警功能适用）、YY9706.111（家用）的全部要求。</w:t>
      </w:r>
    </w:p>
    <w:p w14:paraId="194B4188">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5</w:t>
      </w:r>
      <w:r>
        <w:rPr>
          <w:rFonts w:hint="eastAsia" w:eastAsia="仿宋_GB2312"/>
          <w:color w:val="000000" w:themeColor="text1"/>
          <w:sz w:val="32"/>
          <w:szCs w:val="32"/>
          <w:highlight w:val="none"/>
          <w14:textFill>
            <w14:solidFill>
              <w14:schemeClr w14:val="tx1"/>
            </w14:solidFill>
          </w14:textFill>
        </w:rPr>
        <w:t>无菌或微生物限度</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如适用</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：咬嘴若为无菌一次性使用产品，则应达到无菌要求，可参考《中华人民共和国药典》中无菌项目的要求进行检测；若在出厂前进行微生物控制，则应对微生物限度作出要求。</w:t>
      </w:r>
    </w:p>
    <w:p w14:paraId="12E5D5B8">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6</w:t>
      </w:r>
      <w:r>
        <w:rPr>
          <w:rFonts w:hint="eastAsia" w:eastAsia="仿宋_GB2312"/>
          <w:color w:val="000000" w:themeColor="text1"/>
          <w:sz w:val="32"/>
          <w:szCs w:val="32"/>
          <w:highlight w:val="none"/>
          <w14:textFill>
            <w14:solidFill>
              <w14:schemeClr w14:val="tx1"/>
            </w14:solidFill>
          </w14:textFill>
        </w:rPr>
        <w:t>环氧乙烷残留量</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如适用</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：若咬嘴经环氧乙烷</w:t>
      </w:r>
      <w:r>
        <w:rPr>
          <w:rFonts w:hint="eastAsia" w:eastAsia="仿宋_GB2312"/>
          <w:color w:val="000000" w:themeColor="text1"/>
          <w:sz w:val="32"/>
          <w:szCs w:val="32"/>
          <w:highlight w:val="none"/>
          <w:lang w:val="en-US" w:eastAsia="zh-CN"/>
          <w14:textFill>
            <w14:solidFill>
              <w14:schemeClr w14:val="tx1"/>
            </w14:solidFill>
          </w14:textFill>
        </w:rPr>
        <w:t>灭菌</w:t>
      </w:r>
      <w:r>
        <w:rPr>
          <w:rFonts w:hint="eastAsia" w:eastAsia="仿宋_GB2312"/>
          <w:color w:val="000000" w:themeColor="text1"/>
          <w:sz w:val="32"/>
          <w:szCs w:val="32"/>
          <w:highlight w:val="none"/>
          <w14:textFill>
            <w14:solidFill>
              <w14:schemeClr w14:val="tx1"/>
            </w14:solidFill>
          </w14:textFill>
        </w:rPr>
        <w:t>，则环氧乙烷残留量指标应符合GB/T 16886.7的要求。</w:t>
      </w:r>
    </w:p>
    <w:p w14:paraId="177F6E0E">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w:t>
      </w:r>
      <w:r>
        <w:rPr>
          <w:rFonts w:hint="eastAsia" w:eastAsia="仿宋_GB2312"/>
          <w:color w:val="000000" w:themeColor="text1"/>
          <w:sz w:val="32"/>
          <w:szCs w:val="32"/>
          <w:highlight w:val="none"/>
          <w:lang w:val="en-US" w:eastAsia="zh-CN"/>
          <w14:textFill>
            <w14:solidFill>
              <w14:schemeClr w14:val="tx1"/>
            </w14:solidFill>
          </w14:textFill>
        </w:rPr>
        <w:t>3</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7</w:t>
      </w:r>
      <w:r>
        <w:rPr>
          <w:rFonts w:hint="eastAsia" w:eastAsia="仿宋_GB2312"/>
          <w:color w:val="000000" w:themeColor="text1"/>
          <w:sz w:val="32"/>
          <w:szCs w:val="32"/>
          <w:highlight w:val="none"/>
          <w14:textFill>
            <w14:solidFill>
              <w14:schemeClr w14:val="tx1"/>
            </w14:solidFill>
          </w14:textFill>
        </w:rPr>
        <w:t xml:space="preserve"> 其它性能要求</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如适用</w:t>
      </w:r>
      <w:r>
        <w:rPr>
          <w:rFonts w:hint="eastAsia" w:eastAsia="仿宋_GB2312"/>
          <w:color w:val="000000" w:themeColor="text1"/>
          <w:sz w:val="32"/>
          <w:szCs w:val="32"/>
          <w:highlight w:val="none"/>
          <w:lang w:eastAsia="zh-CN"/>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w:t>
      </w:r>
    </w:p>
    <w:p w14:paraId="785F1434">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电池要求：应明确更换或充电后使用时间；</w:t>
      </w:r>
    </w:p>
    <w:p w14:paraId="069F6E7D">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数据安全要求：数据储存、传输应明确数据接口、用户访问控制要求</w:t>
      </w:r>
      <w:r>
        <w:rPr>
          <w:rFonts w:eastAsia="仿宋_GB2312"/>
          <w:color w:val="000000" w:themeColor="text1"/>
          <w:sz w:val="32"/>
          <w:szCs w:val="32"/>
          <w:highlight w:val="none"/>
          <w14:textFill>
            <w14:solidFill>
              <w14:schemeClr w14:val="tx1"/>
            </w14:solidFill>
          </w14:textFill>
        </w:rPr>
        <w:t>。</w:t>
      </w:r>
    </w:p>
    <w:p w14:paraId="6D63E2C2">
      <w:pPr>
        <w:spacing w:line="520" w:lineRule="exact"/>
        <w:ind w:firstLine="640" w:firstLineChars="200"/>
        <w:outlineLvl w:val="1"/>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3.3产品检验报告</w:t>
      </w:r>
    </w:p>
    <w:p w14:paraId="1F066EF0">
      <w:pPr>
        <w:tabs>
          <w:tab w:val="left" w:pos="6078"/>
        </w:tabs>
        <w:spacing w:line="520" w:lineRule="exact"/>
        <w:ind w:firstLine="640" w:firstLineChars="200"/>
        <w:rPr>
          <w:rFonts w:eastAsia="仿宋_GB2312" w:cs="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注册申请人应提供产品检验报告，检验报告可以是注册申请人出具的自检报告，也可以是委托有资质的医疗器械检验机构出具的检验报告。</w:t>
      </w:r>
    </w:p>
    <w:p w14:paraId="5F58E373">
      <w:pPr>
        <w:spacing w:line="520" w:lineRule="exact"/>
        <w:ind w:firstLine="640" w:firstLineChars="200"/>
        <w:rPr>
          <w:rFonts w:eastAsia="仿宋_GB2312"/>
          <w:color w:val="000000" w:themeColor="text1"/>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检验报告中的产品结构组成、标识标签等信息应当与其他申报资料中的一致。检验报告应提供包含软件版本信息的软件用户界面图片，包括软件发布版本及软件完整版本。如无用户界面需列明软件完整版本</w:t>
      </w:r>
      <w:r>
        <w:rPr>
          <w:rFonts w:hint="eastAsia" w:eastAsia="仿宋_GB2312" w:cs="仿宋_GB2312"/>
          <w:bCs/>
          <w:color w:val="000000" w:themeColor="text1"/>
          <w:sz w:val="32"/>
          <w:szCs w:val="32"/>
          <w:highlight w:val="none"/>
          <w14:textFill>
            <w14:solidFill>
              <w14:schemeClr w14:val="tx1"/>
            </w14:solidFill>
          </w14:textFill>
        </w:rPr>
        <w:t>。</w:t>
      </w:r>
    </w:p>
    <w:p w14:paraId="69EDEBB3">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s="仿宋_GB2312"/>
          <w:bCs/>
          <w:color w:val="000000" w:themeColor="text1"/>
          <w:sz w:val="32"/>
          <w:szCs w:val="32"/>
          <w:highlight w:val="none"/>
          <w14:textFill>
            <w14:solidFill>
              <w14:schemeClr w14:val="tx1"/>
            </w14:solidFill>
          </w14:textFill>
        </w:rPr>
        <w:t>如选择同一注册单元中的典型产品型号规格进行检验，</w:t>
      </w:r>
      <w:r>
        <w:rPr>
          <w:rFonts w:eastAsia="仿宋_GB2312" w:cs="仿宋_GB2312"/>
          <w:bCs/>
          <w:color w:val="000000" w:themeColor="text1"/>
          <w:sz w:val="32"/>
          <w:szCs w:val="32"/>
          <w:highlight w:val="none"/>
          <w14:textFill>
            <w14:solidFill>
              <w14:schemeClr w14:val="tx1"/>
            </w14:solidFill>
          </w14:textFill>
        </w:rPr>
        <w:t>应说</w:t>
      </w:r>
      <w:r>
        <w:rPr>
          <w:rFonts w:hint="eastAsia" w:eastAsia="仿宋_GB2312"/>
          <w:color w:val="000000" w:themeColor="text1"/>
          <w:sz w:val="32"/>
          <w:szCs w:val="28"/>
          <w:highlight w:val="none"/>
          <w14:textFill>
            <w14:solidFill>
              <w14:schemeClr w14:val="tx1"/>
            </w14:solidFill>
          </w14:textFill>
        </w:rPr>
        <w:t>明检验用型号规格的典型性。同一注册单元内所检验的典型产品型号规格应当是能够代表本注册单元内其他产品型号规格安全性和有效性的产品型号规格。若申报的产品包括多个型号规格，原则上选取功能最齐全、结构最复杂、风险最高的型号规格进行检验。如果检测一个典型型号不能覆盖其他型号的全部性能指标，可以选择多个典型型号规格，也可对其他型号规格不能被覆盖的部分进行差异检测。</w:t>
      </w:r>
    </w:p>
    <w:p w14:paraId="0AE1F1FF">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4.研究资料</w:t>
      </w:r>
    </w:p>
    <w:p w14:paraId="6DE18C0D">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lang w:val="zh-TW" w:eastAsia="zh-TW"/>
          <w14:textFill>
            <w14:solidFill>
              <w14:schemeClr w14:val="tx1"/>
            </w14:solidFill>
          </w14:textFill>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采用建模研究的，应当提供产品建模研究资料。</w:t>
      </w:r>
    </w:p>
    <w:p w14:paraId="7E0FD863">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4.1性能研究</w:t>
      </w:r>
    </w:p>
    <w:p w14:paraId="64146419">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应当提供产品性能研究资料以及产品技术要求的研究和编制说明，包括功能性、安全性指标的确定依据，应根据产品的工作原理、作用机理描述设计输入来源以及临床意义，明确申报产品所采用的标准或方法、采用的原因及理论基础等。研究资料应重点阐述以下内容：</w:t>
      </w:r>
      <w:r>
        <w:rPr>
          <w:rFonts w:hint="eastAsia" w:eastAsia="仿宋_GB2312"/>
          <w:color w:val="000000" w:themeColor="text1"/>
          <w:sz w:val="32"/>
          <w:szCs w:val="32"/>
          <w:highlight w:val="none"/>
          <w14:textFill>
            <w14:solidFill>
              <w14:schemeClr w14:val="tx1"/>
            </w14:solidFill>
          </w14:textFill>
        </w:rPr>
        <w:t>测量范围（如容量、流速）、线性度、气流阻力、频率响应、按键和触控功能</w:t>
      </w:r>
      <w:r>
        <w:rPr>
          <w:rFonts w:hint="eastAsia" w:eastAsia="仿宋_GB2312"/>
          <w:color w:val="000000" w:themeColor="text1"/>
          <w:sz w:val="32"/>
          <w:szCs w:val="28"/>
          <w:highlight w:val="none"/>
          <w14:textFill>
            <w14:solidFill>
              <w14:schemeClr w14:val="tx1"/>
            </w14:solidFill>
          </w14:textFill>
        </w:rPr>
        <w:t>、</w:t>
      </w:r>
      <w:r>
        <w:rPr>
          <w:rFonts w:hint="eastAsia" w:eastAsia="仿宋_GB2312"/>
          <w:color w:val="000000" w:themeColor="text1"/>
          <w:sz w:val="32"/>
          <w:szCs w:val="28"/>
          <w:highlight w:val="none"/>
          <w:lang w:val="en-US" w:eastAsia="zh-CN"/>
          <w14:textFill>
            <w14:solidFill>
              <w14:schemeClr w14:val="tx1"/>
            </w14:solidFill>
          </w14:textFill>
        </w:rPr>
        <w:t>咬</w:t>
      </w:r>
      <w:r>
        <w:rPr>
          <w:rFonts w:hint="eastAsia" w:eastAsia="仿宋_GB2312"/>
          <w:color w:val="000000" w:themeColor="text1"/>
          <w:sz w:val="32"/>
          <w:szCs w:val="28"/>
          <w:highlight w:val="none"/>
          <w14:textFill>
            <w14:solidFill>
              <w14:schemeClr w14:val="tx1"/>
            </w14:solidFill>
          </w14:textFill>
        </w:rPr>
        <w:t>嘴连接牢固度、外壳机械强度、工作环境适应性、电气安全、电磁兼容性等方面内容。</w:t>
      </w:r>
    </w:p>
    <w:p w14:paraId="2A6AF710">
      <w:pPr>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hint="eastAsia" w:eastAsia="仿宋_GB2312"/>
          <w:color w:val="000000" w:themeColor="text1"/>
          <w:sz w:val="32"/>
          <w:szCs w:val="28"/>
          <w:highlight w:val="none"/>
          <w14:textFill>
            <w14:solidFill>
              <w14:schemeClr w14:val="tx1"/>
            </w14:solidFill>
          </w14:textFill>
        </w:rPr>
        <w:t>4.2电气系统安全性研究</w:t>
      </w:r>
    </w:p>
    <w:p w14:paraId="3638AC9A">
      <w:pPr>
        <w:overflowPunct w:val="0"/>
        <w:autoSpaceDE w:val="0"/>
        <w:autoSpaceDN w:val="0"/>
        <w:spacing w:line="520" w:lineRule="exact"/>
        <w:ind w:firstLine="640" w:firstLineChars="200"/>
        <w:rPr>
          <w:rFonts w:eastAsia="仿宋_GB2312"/>
          <w:color w:val="000000" w:themeColor="text1"/>
          <w:sz w:val="32"/>
          <w:szCs w:val="28"/>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应当提供电气安全性、机械和环境保护以及电磁兼容性的研究资料，说明适用的标准以及开展的研究。</w:t>
      </w:r>
    </w:p>
    <w:p w14:paraId="1C0A99AD">
      <w:pPr>
        <w:spacing w:line="520" w:lineRule="exact"/>
        <w:ind w:firstLine="640" w:firstLineChars="200"/>
        <w:jc w:val="left"/>
        <w:outlineLvl w:val="2"/>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3</w:t>
      </w:r>
      <w:r>
        <w:rPr>
          <w:rFonts w:hint="eastAsia" w:eastAsia="仿宋_GB2312" w:cs="仿宋_GB2312"/>
          <w:bCs/>
          <w:color w:val="000000" w:themeColor="text1"/>
          <w:sz w:val="32"/>
          <w:szCs w:val="28"/>
          <w:highlight w:val="none"/>
          <w14:textFill>
            <w14:solidFill>
              <w14:schemeClr w14:val="tx1"/>
            </w14:solidFill>
          </w14:textFill>
        </w:rPr>
        <w:t>软件研究</w:t>
      </w:r>
    </w:p>
    <w:p w14:paraId="563B5E1F">
      <w:pPr>
        <w:spacing w:line="520" w:lineRule="exact"/>
        <w:ind w:firstLine="640" w:firstLineChars="200"/>
        <w:jc w:val="left"/>
        <w:outlineLvl w:val="2"/>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电子峰速仪及其软件的安全级别通常为中等级别。注册申请人应当参照《医疗器械软件注册审查指导原则》提供自研软件研究报告。</w:t>
      </w:r>
    </w:p>
    <w:p w14:paraId="3E96BD61">
      <w:pPr>
        <w:spacing w:line="520" w:lineRule="exact"/>
        <w:ind w:firstLine="640" w:firstLineChars="200"/>
        <w:jc w:val="left"/>
        <w:outlineLvl w:val="2"/>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根据《医疗器械软件注册审查指导原则》的要求和申报产品软件组成的实际情况，申请人应提交自研软件研究报告、现成软件研究报告、外部软件环境评估报告、GB/T 25000.51 自测报告（亦可提交自检报告或检验报告代替自测报告）。</w:t>
      </w:r>
    </w:p>
    <w:p w14:paraId="1C8AFC1E">
      <w:pPr>
        <w:pStyle w:val="33"/>
        <w:spacing w:line="520" w:lineRule="exact"/>
        <w:ind w:firstLine="640"/>
        <w:rPr>
          <w:rFonts w:hint="eastAsia" w:ascii="Times New Roman" w:hAnsi="Times New Roman" w:eastAsia="仿宋_GB2312" w:cs="Times New Roman"/>
          <w:color w:val="000000" w:themeColor="text1"/>
          <w:sz w:val="32"/>
          <w:szCs w:val="28"/>
          <w:highlight w:val="none"/>
          <w:lang w:val="en-US" w:eastAsia="zh-CN"/>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电子峰速仪的</w:t>
      </w:r>
      <w:r>
        <w:rPr>
          <w:rFonts w:hint="eastAsia" w:eastAsia="仿宋_GB2312"/>
          <w:color w:val="000000" w:themeColor="text1"/>
          <w:sz w:val="32"/>
          <w:szCs w:val="32"/>
          <w:highlight w:val="none"/>
          <w:lang w:val="en-US" w:eastAsia="zh-CN"/>
          <w14:textFill>
            <w14:solidFill>
              <w14:schemeClr w14:val="tx1"/>
            </w14:solidFill>
          </w14:textFill>
        </w:rPr>
        <w:t>软件</w:t>
      </w:r>
      <w:r>
        <w:rPr>
          <w:rFonts w:hint="eastAsia" w:eastAsia="仿宋_GB2312"/>
          <w:color w:val="000000" w:themeColor="text1"/>
          <w:sz w:val="32"/>
          <w:szCs w:val="28"/>
          <w:highlight w:val="none"/>
          <w:lang w:val="en-US" w:eastAsia="zh-CN"/>
          <w14:textFill>
            <w14:solidFill>
              <w14:schemeClr w14:val="tx1"/>
            </w14:solidFill>
          </w14:textFill>
        </w:rPr>
        <w:t>测量标准模型</w:t>
      </w:r>
      <w:r>
        <w:rPr>
          <w:rFonts w:hint="eastAsia" w:eastAsia="仿宋_GB2312"/>
          <w:color w:val="000000" w:themeColor="text1"/>
          <w:sz w:val="32"/>
          <w:szCs w:val="32"/>
          <w:highlight w:val="none"/>
          <w:lang w:val="en-US" w:eastAsia="zh-CN"/>
          <w14:textFill>
            <w14:solidFill>
              <w14:schemeClr w14:val="tx1"/>
            </w14:solidFill>
          </w14:textFill>
        </w:rPr>
        <w:t>研究应提供电信号采集的原始数据值和拟合函数公式、算法推导过程研究资料，提供按照此公式、算法测试流量准确性研究性资料</w:t>
      </w:r>
      <w:r>
        <w:rPr>
          <w:rFonts w:hint="eastAsia" w:ascii="Times New Roman" w:hAnsi="Times New Roman" w:eastAsia="仿宋_GB2312" w:cs="Times New Roman"/>
          <w:color w:val="000000" w:themeColor="text1"/>
          <w:sz w:val="32"/>
          <w:szCs w:val="28"/>
          <w:highlight w:val="none"/>
          <w:lang w:val="en-US" w:eastAsia="zh-CN"/>
          <w14:textFill>
            <w14:solidFill>
              <w14:schemeClr w14:val="tx1"/>
            </w14:solidFill>
          </w14:textFill>
        </w:rPr>
        <w:t>。</w:t>
      </w:r>
    </w:p>
    <w:p w14:paraId="134F0D77">
      <w:pPr>
        <w:pStyle w:val="33"/>
        <w:spacing w:line="520" w:lineRule="exact"/>
        <w:ind w:firstLine="640"/>
        <w:rPr>
          <w:rFonts w:hint="eastAsia" w:ascii="Times New Roman" w:hAnsi="Times New Roman" w:eastAsia="仿宋_GB2312" w:cs="Times New Roman"/>
          <w:color w:val="000000" w:themeColor="text1"/>
          <w:sz w:val="32"/>
          <w:szCs w:val="28"/>
          <w:highlight w:val="none"/>
          <w:lang w:val="en-US" w:eastAsia="zh-CN"/>
          <w14:textFill>
            <w14:solidFill>
              <w14:schemeClr w14:val="tx1"/>
            </w14:solidFill>
          </w14:textFill>
        </w:rPr>
      </w:pPr>
      <w:r>
        <w:rPr>
          <w:rFonts w:eastAsia="仿宋_GB2312"/>
          <w:color w:val="000000"/>
          <w:sz w:val="32"/>
          <w:szCs w:val="32"/>
        </w:rPr>
        <w:t>产品若使用现成软件，应当根据现成软件的类型、使用方式等情况提供相应</w:t>
      </w:r>
      <w:r>
        <w:rPr>
          <w:rFonts w:hint="eastAsia" w:eastAsia="仿宋_GB2312"/>
          <w:color w:val="000000"/>
          <w:sz w:val="32"/>
          <w:szCs w:val="32"/>
          <w:lang w:val="en-US" w:eastAsia="zh-CN"/>
        </w:rPr>
        <w:t>现成</w:t>
      </w:r>
      <w:r>
        <w:rPr>
          <w:rFonts w:eastAsia="仿宋_GB2312"/>
          <w:color w:val="000000"/>
          <w:sz w:val="32"/>
          <w:szCs w:val="32"/>
        </w:rPr>
        <w:t>软件研究资料。</w:t>
      </w:r>
    </w:p>
    <w:p w14:paraId="31FF3C09">
      <w:pPr>
        <w:spacing w:line="520" w:lineRule="exact"/>
        <w:ind w:firstLine="640" w:firstLineChars="200"/>
        <w:rPr>
          <w:rFonts w:eastAsia="仿宋_GB2312" w:cs="仿宋_GB2312"/>
          <w:bCs/>
          <w:color w:val="000000" w:themeColor="text1"/>
          <w:sz w:val="32"/>
          <w:szCs w:val="28"/>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4.4</w:t>
      </w:r>
      <w:r>
        <w:rPr>
          <w:rFonts w:hint="eastAsia" w:eastAsia="仿宋_GB2312" w:cs="仿宋_GB2312"/>
          <w:bCs/>
          <w:color w:val="000000" w:themeColor="text1"/>
          <w:sz w:val="32"/>
          <w:szCs w:val="28"/>
          <w:highlight w:val="none"/>
          <w14:textFill>
            <w14:solidFill>
              <w14:schemeClr w14:val="tx1"/>
            </w14:solidFill>
          </w14:textFill>
        </w:rPr>
        <w:t>网络安全研究</w:t>
      </w:r>
    </w:p>
    <w:p w14:paraId="2EFE7BDD">
      <w:pPr>
        <w:spacing w:line="520" w:lineRule="exact"/>
        <w:ind w:firstLine="640" w:firstLineChars="200"/>
        <w:rPr>
          <w:rFonts w:eastAsia="仿宋_GB2312" w:cs="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若申报产品具备电子数据交换、远程控制或用户访问功能，</w:t>
      </w:r>
      <w:r>
        <w:rPr>
          <w:rFonts w:hint="eastAsia" w:eastAsia="仿宋_GB2312" w:cs="仿宋_GB2312"/>
          <w:color w:val="000000" w:themeColor="text1"/>
          <w:spacing w:val="-4"/>
          <w:sz w:val="32"/>
          <w:szCs w:val="28"/>
          <w:highlight w:val="none"/>
          <w14:textFill>
            <w14:solidFill>
              <w14:schemeClr w14:val="tx1"/>
            </w14:solidFill>
          </w14:textFill>
        </w:rPr>
        <w:t>注册申请人应参照《医疗器械网络安全注册审查指导原则</w:t>
      </w:r>
      <w:r>
        <w:rPr>
          <w:rFonts w:hint="eastAsia" w:eastAsia="仿宋_GB2312"/>
          <w:color w:val="000000" w:themeColor="text1"/>
          <w:sz w:val="32"/>
          <w:szCs w:val="28"/>
          <w:highlight w:val="none"/>
          <w14:textFill>
            <w14:solidFill>
              <w14:schemeClr w14:val="tx1"/>
            </w14:solidFill>
          </w14:textFill>
        </w:rPr>
        <w:t>（2022年修订版）</w:t>
      </w:r>
      <w:r>
        <w:rPr>
          <w:rFonts w:hint="eastAsia" w:eastAsia="仿宋_GB2312" w:cs="仿宋_GB2312"/>
          <w:color w:val="000000" w:themeColor="text1"/>
          <w:spacing w:val="-4"/>
          <w:sz w:val="32"/>
          <w:szCs w:val="28"/>
          <w:highlight w:val="none"/>
          <w14:textFill>
            <w14:solidFill>
              <w14:schemeClr w14:val="tx1"/>
            </w14:solidFill>
          </w14:textFill>
        </w:rPr>
        <w:t>》的要求，</w:t>
      </w:r>
      <w:r>
        <w:rPr>
          <w:rFonts w:hint="eastAsia" w:eastAsia="仿宋_GB2312" w:cs="仿宋_GB2312"/>
          <w:color w:val="000000" w:themeColor="text1"/>
          <w:sz w:val="32"/>
          <w:szCs w:val="32"/>
          <w:highlight w:val="none"/>
          <w14:textFill>
            <w14:solidFill>
              <w14:schemeClr w14:val="tx1"/>
            </w14:solidFill>
          </w14:textFill>
        </w:rPr>
        <w:t>提交自研软件网络安全研究报告。</w:t>
      </w:r>
    </w:p>
    <w:p w14:paraId="08216168">
      <w:pPr>
        <w:spacing w:line="520" w:lineRule="exact"/>
        <w:ind w:firstLine="640" w:firstLineChars="200"/>
        <w:rPr>
          <w:rFonts w:hint="eastAsia" w:eastAsia="仿宋_GB2312" w:cs="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4</w:t>
      </w:r>
      <w:r>
        <w:rPr>
          <w:rFonts w:eastAsia="仿宋_GB2312" w:cs="仿宋_GB2312"/>
          <w:color w:val="000000" w:themeColor="text1"/>
          <w:sz w:val="32"/>
          <w:szCs w:val="32"/>
          <w:highlight w:val="none"/>
          <w14:textFill>
            <w14:solidFill>
              <w14:schemeClr w14:val="tx1"/>
            </w14:solidFill>
          </w14:textFill>
        </w:rPr>
        <w:t>.</w:t>
      </w:r>
      <w:r>
        <w:rPr>
          <w:rFonts w:hint="eastAsia" w:eastAsia="仿宋_GB2312" w:cs="仿宋_GB2312"/>
          <w:color w:val="000000" w:themeColor="text1"/>
          <w:sz w:val="32"/>
          <w:szCs w:val="32"/>
          <w:highlight w:val="none"/>
          <w:lang w:eastAsia="zh-CN"/>
          <w14:textFill>
            <w14:solidFill>
              <w14:schemeClr w14:val="tx1"/>
            </w14:solidFill>
          </w14:textFill>
        </w:rPr>
        <w:t>5</w:t>
      </w:r>
      <w:r>
        <w:rPr>
          <w:rFonts w:hint="eastAsia" w:eastAsia="仿宋_GB2312" w:cs="仿宋_GB2312"/>
          <w:color w:val="000000" w:themeColor="text1"/>
          <w:sz w:val="32"/>
          <w:szCs w:val="32"/>
          <w:highlight w:val="none"/>
          <w14:textFill>
            <w14:solidFill>
              <w14:schemeClr w14:val="tx1"/>
            </w14:solidFill>
          </w14:textFill>
        </w:rPr>
        <w:t>互操作性</w:t>
      </w:r>
    </w:p>
    <w:p w14:paraId="7F4796D4">
      <w:pPr>
        <w:spacing w:line="520" w:lineRule="exact"/>
        <w:ind w:firstLine="640" w:firstLineChars="200"/>
        <w:rPr>
          <w:rFonts w:hint="eastAsia" w:eastAsia="仿宋_GB2312" w:cs="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电子峰速仪若通过电子接口与其他医疗器械或非医疗器械交换并使用信息，提供互操作性研究资料，包括基本信息、需求规范、风险管理、验证与确认、维护计划等内容。</w:t>
      </w:r>
    </w:p>
    <w:p w14:paraId="2398C528">
      <w:pPr>
        <w:spacing w:line="520" w:lineRule="exact"/>
        <w:ind w:firstLine="640" w:firstLineChars="200"/>
        <w:rPr>
          <w:rFonts w:eastAsia="仿宋_GB2312" w:cs="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4</w:t>
      </w:r>
      <w:r>
        <w:rPr>
          <w:rFonts w:eastAsia="仿宋_GB2312" w:cs="仿宋_GB2312"/>
          <w:color w:val="000000" w:themeColor="text1"/>
          <w:sz w:val="32"/>
          <w:szCs w:val="32"/>
          <w:highlight w:val="none"/>
          <w14:textFill>
            <w14:solidFill>
              <w14:schemeClr w14:val="tx1"/>
            </w14:solidFill>
          </w14:textFill>
        </w:rPr>
        <w:t>.</w:t>
      </w:r>
      <w:r>
        <w:rPr>
          <w:rFonts w:hint="eastAsia" w:eastAsia="仿宋_GB2312" w:cs="仿宋_GB2312"/>
          <w:color w:val="000000" w:themeColor="text1"/>
          <w:sz w:val="32"/>
          <w:szCs w:val="32"/>
          <w:highlight w:val="none"/>
          <w:lang w:val="en-US" w:eastAsia="zh-CN"/>
          <w14:textFill>
            <w14:solidFill>
              <w14:schemeClr w14:val="tx1"/>
            </w14:solidFill>
          </w14:textFill>
        </w:rPr>
        <w:t>6</w:t>
      </w:r>
      <w:r>
        <w:rPr>
          <w:rFonts w:hint="eastAsia" w:eastAsia="仿宋_GB2312" w:cs="仿宋_GB2312"/>
          <w:color w:val="000000" w:themeColor="text1"/>
          <w:sz w:val="32"/>
          <w:szCs w:val="32"/>
          <w:highlight w:val="none"/>
          <w14:textFill>
            <w14:solidFill>
              <w14:schemeClr w14:val="tx1"/>
            </w14:solidFill>
          </w14:textFill>
        </w:rPr>
        <w:t>生物学特性研究</w:t>
      </w:r>
    </w:p>
    <w:p w14:paraId="11C50067">
      <w:pPr>
        <w:adjustRightInd w:val="0"/>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z w:val="32"/>
          <w:szCs w:val="32"/>
          <w:highlight w:val="none"/>
          <w14:textFill>
            <w14:solidFill>
              <w14:schemeClr w14:val="tx1"/>
            </w14:solidFill>
          </w14:textFill>
        </w:rPr>
        <w:t>应根据GB/T 16886.1标准</w:t>
      </w:r>
      <w:r>
        <w:rPr>
          <w:rFonts w:hint="eastAsia" w:eastAsia="仿宋_GB2312"/>
          <w:color w:val="000000" w:themeColor="text1"/>
          <w:sz w:val="32"/>
          <w:szCs w:val="32"/>
          <w:highlight w:val="none"/>
          <w14:textFill>
            <w14:solidFill>
              <w14:schemeClr w14:val="tx1"/>
            </w14:solidFill>
          </w14:textFill>
        </w:rPr>
        <w:t>对产品结构组成中与患者接触的部分</w:t>
      </w:r>
      <w:r>
        <w:rPr>
          <w:rFonts w:hint="eastAsia" w:eastAsia="仿宋_GB2312" w:cs="仿宋_GB2312"/>
          <w:color w:val="000000" w:themeColor="text1"/>
          <w:sz w:val="32"/>
          <w:szCs w:val="32"/>
          <w:highlight w:val="none"/>
          <w14:textFill>
            <w14:solidFill>
              <w14:schemeClr w14:val="tx1"/>
            </w14:solidFill>
          </w14:textFill>
        </w:rPr>
        <w:t>进行生物学特性评价。</w:t>
      </w:r>
      <w:r>
        <w:rPr>
          <w:rFonts w:eastAsia="仿宋_GB2312"/>
          <w:color w:val="000000" w:themeColor="text1"/>
          <w:sz w:val="32"/>
          <w:szCs w:val="32"/>
          <w:highlight w:val="none"/>
          <w14:textFill>
            <w14:solidFill>
              <w14:schemeClr w14:val="tx1"/>
            </w14:solidFill>
          </w14:textFill>
        </w:rPr>
        <w:t>生物相容性评价研究资料应当包括：生物相容性评价的依据和方法；产品所用材料的描述及与人体接触的性质；实施或豁免生物学试验的理由和论证；对于现有数据或试验结果的评价。</w:t>
      </w:r>
    </w:p>
    <w:p w14:paraId="62E4DA1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电子峰速仪</w:t>
      </w:r>
      <w:r>
        <w:rPr>
          <w:rFonts w:eastAsia="仿宋_GB2312"/>
          <w:color w:val="000000" w:themeColor="text1"/>
          <w:sz w:val="32"/>
          <w:szCs w:val="32"/>
          <w:highlight w:val="none"/>
          <w14:textFill>
            <w14:solidFill>
              <w14:schemeClr w14:val="tx1"/>
            </w14:solidFill>
          </w14:textFill>
        </w:rPr>
        <w:t>中作为应用部分的附件（如</w:t>
      </w:r>
      <w:r>
        <w:rPr>
          <w:rFonts w:hint="eastAsia" w:eastAsia="仿宋_GB2312"/>
          <w:color w:val="000000" w:themeColor="text1"/>
          <w:sz w:val="32"/>
          <w:szCs w:val="32"/>
          <w:highlight w:val="none"/>
          <w:lang w:val="en-US" w:eastAsia="zh-CN"/>
          <w14:textFill>
            <w14:solidFill>
              <w14:schemeClr w14:val="tx1"/>
            </w14:solidFill>
          </w14:textFill>
        </w:rPr>
        <w:t>咬</w:t>
      </w:r>
      <w:r>
        <w:rPr>
          <w:rFonts w:hint="eastAsia" w:eastAsia="仿宋_GB2312"/>
          <w:color w:val="000000" w:themeColor="text1"/>
          <w:sz w:val="32"/>
          <w:szCs w:val="32"/>
          <w:highlight w:val="none"/>
          <w14:textFill>
            <w14:solidFill>
              <w14:schemeClr w14:val="tx1"/>
            </w14:solidFill>
          </w14:textFill>
        </w:rPr>
        <w:t>嘴</w:t>
      </w:r>
      <w:r>
        <w:rPr>
          <w:rFonts w:eastAsia="仿宋_GB2312"/>
          <w:color w:val="000000" w:themeColor="text1"/>
          <w:sz w:val="32"/>
          <w:szCs w:val="32"/>
          <w:highlight w:val="none"/>
          <w14:textFill>
            <w14:solidFill>
              <w14:schemeClr w14:val="tx1"/>
            </w14:solidFill>
          </w14:textFill>
        </w:rPr>
        <w:t>）直接接触患者</w:t>
      </w:r>
      <w:r>
        <w:rPr>
          <w:rFonts w:hint="eastAsia" w:eastAsia="仿宋_GB2312"/>
          <w:color w:val="000000" w:themeColor="text1"/>
          <w:sz w:val="32"/>
          <w:szCs w:val="32"/>
          <w:highlight w:val="none"/>
          <w:lang w:val="en-US" w:eastAsia="zh-CN"/>
          <w14:textFill>
            <w14:solidFill>
              <w14:schemeClr w14:val="tx1"/>
            </w14:solidFill>
          </w14:textFill>
        </w:rPr>
        <w:t>口腔黏膜</w:t>
      </w:r>
      <w:r>
        <w:rPr>
          <w:rFonts w:hint="eastAsia" w:eastAsia="仿宋_GB2312" w:cs="仿宋_GB2312"/>
          <w:color w:val="000000" w:themeColor="text1"/>
          <w:sz w:val="32"/>
          <w:szCs w:val="28"/>
          <w:highlight w:val="none"/>
          <w14:textFill>
            <w14:solidFill>
              <w14:schemeClr w14:val="tx1"/>
            </w14:solidFill>
          </w14:textFill>
        </w:rPr>
        <w:t>。如提交生物学试验报告按照GB/T 16886.1的要求，</w:t>
      </w:r>
      <w:r>
        <w:rPr>
          <w:rFonts w:eastAsia="仿宋_GB2312"/>
          <w:color w:val="000000" w:themeColor="text1"/>
          <w:sz w:val="32"/>
          <w:szCs w:val="32"/>
          <w:highlight w:val="none"/>
          <w14:textFill>
            <w14:solidFill>
              <w14:schemeClr w14:val="tx1"/>
            </w14:solidFill>
          </w14:textFill>
        </w:rPr>
        <w:t>至少</w:t>
      </w:r>
      <w:r>
        <w:rPr>
          <w:rFonts w:hint="eastAsia" w:eastAsia="仿宋_GB2312"/>
          <w:color w:val="000000" w:themeColor="text1"/>
          <w:sz w:val="32"/>
          <w:szCs w:val="32"/>
          <w:highlight w:val="none"/>
          <w14:textFill>
            <w14:solidFill>
              <w14:schemeClr w14:val="tx1"/>
            </w14:solidFill>
          </w14:textFill>
        </w:rPr>
        <w:t>应包括</w:t>
      </w:r>
      <w:r>
        <w:rPr>
          <w:rFonts w:eastAsia="仿宋_GB2312"/>
          <w:color w:val="000000" w:themeColor="text1"/>
          <w:sz w:val="32"/>
          <w:szCs w:val="32"/>
          <w:highlight w:val="none"/>
          <w14:textFill>
            <w14:solidFill>
              <w14:schemeClr w14:val="tx1"/>
            </w14:solidFill>
          </w14:textFill>
        </w:rPr>
        <w:t>细胞毒性</w:t>
      </w:r>
      <w:r>
        <w:rPr>
          <w:rFonts w:hint="eastAsia" w:eastAsia="仿宋_GB2312"/>
          <w:color w:val="000000" w:themeColor="text1"/>
          <w:sz w:val="32"/>
          <w:szCs w:val="32"/>
          <w:highlight w:val="none"/>
          <w14:textFill>
            <w14:solidFill>
              <w14:schemeClr w14:val="tx1"/>
            </w14:solidFill>
          </w14:textFill>
        </w:rPr>
        <w:t>、致敏反应、刺激或皮内反应。</w:t>
      </w:r>
      <w:r>
        <w:rPr>
          <w:rFonts w:eastAsia="仿宋_GB2312"/>
          <w:color w:val="000000" w:themeColor="text1"/>
          <w:sz w:val="32"/>
          <w:szCs w:val="32"/>
          <w:highlight w:val="none"/>
          <w14:textFill>
            <w14:solidFill>
              <w14:schemeClr w14:val="tx1"/>
            </w14:solidFill>
          </w14:textFill>
        </w:rPr>
        <w:t>若采购一次性使用</w:t>
      </w:r>
      <w:r>
        <w:rPr>
          <w:rFonts w:hint="eastAsia" w:eastAsia="仿宋_GB2312"/>
          <w:color w:val="000000" w:themeColor="text1"/>
          <w:sz w:val="32"/>
          <w:szCs w:val="32"/>
          <w:highlight w:val="none"/>
          <w:lang w:val="en-US" w:eastAsia="zh-CN"/>
          <w14:textFill>
            <w14:solidFill>
              <w14:schemeClr w14:val="tx1"/>
            </w14:solidFill>
          </w14:textFill>
        </w:rPr>
        <w:t>咬</w:t>
      </w:r>
      <w:r>
        <w:rPr>
          <w:rFonts w:hint="eastAsia" w:eastAsia="仿宋_GB2312"/>
          <w:color w:val="000000" w:themeColor="text1"/>
          <w:sz w:val="32"/>
          <w:szCs w:val="32"/>
          <w:highlight w:val="none"/>
          <w14:textFill>
            <w14:solidFill>
              <w14:schemeClr w14:val="tx1"/>
            </w14:solidFill>
          </w14:textFill>
        </w:rPr>
        <w:t>嘴</w:t>
      </w:r>
      <w:r>
        <w:rPr>
          <w:rFonts w:eastAsia="仿宋_GB2312"/>
          <w:color w:val="000000" w:themeColor="text1"/>
          <w:sz w:val="32"/>
          <w:szCs w:val="32"/>
          <w:highlight w:val="none"/>
          <w14:textFill>
            <w14:solidFill>
              <w14:schemeClr w14:val="tx1"/>
            </w14:solidFill>
          </w14:textFill>
        </w:rPr>
        <w:t>，需提供</w:t>
      </w:r>
      <w:r>
        <w:rPr>
          <w:rFonts w:hint="eastAsia" w:eastAsia="仿宋_GB2312"/>
          <w:color w:val="000000" w:themeColor="text1"/>
          <w:sz w:val="32"/>
          <w:szCs w:val="32"/>
          <w:highlight w:val="none"/>
          <w:lang w:val="en-US" w:eastAsia="zh-CN"/>
          <w14:textFill>
            <w14:solidFill>
              <w14:schemeClr w14:val="tx1"/>
            </w14:solidFill>
          </w14:textFill>
        </w:rPr>
        <w:t>咬</w:t>
      </w:r>
      <w:r>
        <w:rPr>
          <w:rFonts w:hint="eastAsia" w:eastAsia="仿宋_GB2312"/>
          <w:color w:val="000000" w:themeColor="text1"/>
          <w:sz w:val="32"/>
          <w:szCs w:val="32"/>
          <w:highlight w:val="none"/>
          <w14:textFill>
            <w14:solidFill>
              <w14:schemeClr w14:val="tx1"/>
            </w14:solidFill>
          </w14:textFill>
        </w:rPr>
        <w:t>嘴</w:t>
      </w:r>
      <w:r>
        <w:rPr>
          <w:rFonts w:eastAsia="仿宋_GB2312"/>
          <w:color w:val="000000" w:themeColor="text1"/>
          <w:sz w:val="32"/>
          <w:szCs w:val="32"/>
          <w:highlight w:val="none"/>
          <w14:textFill>
            <w14:solidFill>
              <w14:schemeClr w14:val="tx1"/>
            </w14:solidFill>
          </w14:textFill>
        </w:rPr>
        <w:t>的产品</w:t>
      </w:r>
      <w:r>
        <w:rPr>
          <w:rFonts w:hint="eastAsia" w:eastAsia="仿宋_GB2312"/>
          <w:color w:val="000000" w:themeColor="text1"/>
          <w:sz w:val="32"/>
          <w:szCs w:val="32"/>
          <w:highlight w:val="none"/>
          <w14:textFill>
            <w14:solidFill>
              <w14:schemeClr w14:val="tx1"/>
            </w14:solidFill>
          </w14:textFill>
        </w:rPr>
        <w:t>备案号。若采购的一次性使用吹嘴作为产品结构组成一起申报，应进行生物学评价。</w:t>
      </w:r>
    </w:p>
    <w:p w14:paraId="528C1253">
      <w:pPr>
        <w:widowControl/>
        <w:spacing w:line="520" w:lineRule="exact"/>
        <w:ind w:firstLine="640" w:firstLineChars="200"/>
        <w:jc w:val="left"/>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w:t>
      </w:r>
      <w:r>
        <w:rPr>
          <w:rFonts w:hint="eastAsia" w:eastAsia="仿宋_GB2312"/>
          <w:color w:val="000000" w:themeColor="text1"/>
          <w:sz w:val="32"/>
          <w:szCs w:val="32"/>
          <w:highlight w:val="none"/>
          <w:lang w:val="en-US" w:eastAsia="zh-CN"/>
          <w14:textFill>
            <w14:solidFill>
              <w14:schemeClr w14:val="tx1"/>
            </w14:solidFill>
          </w14:textFill>
        </w:rPr>
        <w:t>7</w:t>
      </w:r>
      <w:r>
        <w:rPr>
          <w:rFonts w:hint="eastAsia" w:eastAsia="仿宋_GB2312"/>
          <w:color w:val="000000" w:themeColor="text1"/>
          <w:sz w:val="32"/>
          <w:szCs w:val="32"/>
          <w:highlight w:val="none"/>
          <w14:textFill>
            <w14:solidFill>
              <w14:schemeClr w14:val="tx1"/>
            </w14:solidFill>
          </w14:textFill>
        </w:rPr>
        <w:t>清洁、消毒及灭菌研究</w:t>
      </w:r>
    </w:p>
    <w:p w14:paraId="4380BD78">
      <w:pPr>
        <w:pStyle w:val="33"/>
        <w:spacing w:line="520" w:lineRule="exact"/>
        <w:ind w:firstLine="640"/>
        <w:rPr>
          <w:rFonts w:ascii="Times New Roman" w:hAnsi="Times New Roman" w:eastAsia="仿宋_GB2312"/>
          <w:color w:val="000000" w:themeColor="text1"/>
          <w:sz w:val="32"/>
          <w:szCs w:val="32"/>
          <w:highlight w:val="none"/>
          <w14:textFill>
            <w14:solidFill>
              <w14:schemeClr w14:val="tx1"/>
            </w14:solidFill>
          </w14:textFill>
        </w:rPr>
      </w:pPr>
      <w:r>
        <w:rPr>
          <w:rFonts w:hint="eastAsia" w:ascii="Times New Roman" w:hAnsi="Times New Roman" w:eastAsia="仿宋_GB2312"/>
          <w:color w:val="000000" w:themeColor="text1"/>
          <w:sz w:val="32"/>
          <w:szCs w:val="32"/>
          <w:highlight w:val="none"/>
          <w14:textFill>
            <w14:solidFill>
              <w14:schemeClr w14:val="tx1"/>
            </w14:solidFill>
          </w14:textFill>
        </w:rPr>
        <w:t>对于主机，应提供清洁、消毒的研究资料。应当明确推荐的清洗和消毒工艺（方法和参数）、工艺的确定依据以及验证的相关研究资料。</w:t>
      </w:r>
    </w:p>
    <w:p w14:paraId="2F94A63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若产品具有无菌提供的部件，应当明确灭菌工艺（方法和参数）和无菌保证水平（SAL），并提供灭菌验证及确认的相关研究资料。</w:t>
      </w:r>
    </w:p>
    <w:p w14:paraId="49D9EBD2">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若产品经消毒或灭菌后可能产生残留物质，应当对灭菌或消毒后的产品进行残留毒性的研究，明确残留物质信息及采取的处理方法，并提供相关研究资料。</w:t>
      </w:r>
    </w:p>
    <w:p w14:paraId="305A059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若附件为使用者灭菌，应当明确推荐的灭菌工艺（方法和参数）、所推荐灭菌工艺的确定依据以及验证的相关研究资料。对可耐受两次或多次灭菌的产品，应当提供产品所推荐灭菌工艺耐受性的研究资料。</w:t>
      </w:r>
    </w:p>
    <w:p w14:paraId="53DEFF2F">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若附件为已注册或备案的产品，应明确按照附件说明书推荐的方法进行清洗、消毒或灭菌，不需要再提供灭菌相关研究资料。</w:t>
      </w:r>
    </w:p>
    <w:p w14:paraId="47AD45F4">
      <w:pPr>
        <w:spacing w:line="520" w:lineRule="exact"/>
        <w:ind w:firstLine="640" w:firstLineChars="200"/>
        <w:jc w:val="left"/>
        <w:outlineLvl w:val="2"/>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8</w:t>
      </w:r>
      <w:r>
        <w:rPr>
          <w:rFonts w:hint="eastAsia" w:eastAsia="仿宋_GB2312"/>
          <w:color w:val="000000" w:themeColor="text1"/>
          <w:sz w:val="32"/>
          <w:szCs w:val="32"/>
          <w:highlight w:val="none"/>
          <w14:textFill>
            <w14:solidFill>
              <w14:schemeClr w14:val="tx1"/>
            </w14:solidFill>
          </w14:textFill>
        </w:rPr>
        <w:t>稳定性研究</w:t>
      </w:r>
    </w:p>
    <w:p w14:paraId="40728610">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w:t>
      </w:r>
      <w:r>
        <w:rPr>
          <w:rFonts w:hint="eastAsia" w:eastAsia="仿宋_GB2312"/>
          <w:color w:val="000000" w:themeColor="text1"/>
          <w:sz w:val="32"/>
          <w:szCs w:val="32"/>
          <w:highlight w:val="none"/>
          <w:lang w:val="en-US" w:eastAsia="zh-CN"/>
          <w14:textFill>
            <w14:solidFill>
              <w14:schemeClr w14:val="tx1"/>
            </w14:solidFill>
          </w14:textFill>
        </w:rPr>
        <w:t>8</w:t>
      </w:r>
      <w:r>
        <w:rPr>
          <w:rFonts w:hint="eastAsia" w:eastAsia="仿宋_GB2312"/>
          <w:color w:val="000000" w:themeColor="text1"/>
          <w:sz w:val="32"/>
          <w:szCs w:val="32"/>
          <w:highlight w:val="none"/>
          <w14:textFill>
            <w14:solidFill>
              <w14:schemeClr w14:val="tx1"/>
            </w14:solidFill>
          </w14:textFill>
        </w:rPr>
        <w:t>.1货架有效期</w:t>
      </w:r>
    </w:p>
    <w:p w14:paraId="59584848">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若产品结构组成包含一次性使用附件，如</w:t>
      </w:r>
      <w:r>
        <w:rPr>
          <w:rFonts w:hint="eastAsia" w:eastAsia="仿宋_GB2312"/>
          <w:color w:val="000000" w:themeColor="text1"/>
          <w:sz w:val="32"/>
          <w:szCs w:val="32"/>
          <w:highlight w:val="none"/>
          <w:lang w:val="en-US" w:eastAsia="zh-CN"/>
          <w14:textFill>
            <w14:solidFill>
              <w14:schemeClr w14:val="tx1"/>
            </w14:solidFill>
          </w14:textFill>
        </w:rPr>
        <w:t>咬</w:t>
      </w:r>
      <w:r>
        <w:rPr>
          <w:rFonts w:hint="eastAsia" w:eastAsia="仿宋_GB2312"/>
          <w:color w:val="000000" w:themeColor="text1"/>
          <w:sz w:val="32"/>
          <w:szCs w:val="32"/>
          <w:highlight w:val="none"/>
          <w14:textFill>
            <w14:solidFill>
              <w14:schemeClr w14:val="tx1"/>
            </w14:solidFill>
          </w14:textFill>
        </w:rPr>
        <w:t>嘴，应提交货架有效期和包装研究资料，证明在货架有效期内，在规定的运输贮存条件下，产品可保持性能功能满足使用要求。若附件为外购的医疗器械，则不需要再做附件的研究，有效期与附件包装标注日期一致。</w:t>
      </w:r>
    </w:p>
    <w:p w14:paraId="3953051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4.</w:t>
      </w:r>
      <w:r>
        <w:rPr>
          <w:rFonts w:hint="eastAsia" w:eastAsia="仿宋_GB2312"/>
          <w:color w:val="000000" w:themeColor="text1"/>
          <w:sz w:val="32"/>
          <w:szCs w:val="32"/>
          <w:highlight w:val="none"/>
          <w:lang w:val="en-US" w:eastAsia="zh-CN"/>
          <w14:textFill>
            <w14:solidFill>
              <w14:schemeClr w14:val="tx1"/>
            </w14:solidFill>
          </w14:textFill>
        </w:rPr>
        <w:t>8</w:t>
      </w:r>
      <w:r>
        <w:rPr>
          <w:rFonts w:hint="eastAsia" w:eastAsia="仿宋_GB2312"/>
          <w:color w:val="000000" w:themeColor="text1"/>
          <w:sz w:val="32"/>
          <w:szCs w:val="32"/>
          <w:highlight w:val="none"/>
          <w14:textFill>
            <w14:solidFill>
              <w14:schemeClr w14:val="tx1"/>
            </w14:solidFill>
          </w14:textFill>
        </w:rPr>
        <w:t>.2使用稳定性</w:t>
      </w:r>
      <w:bookmarkStart w:id="1" w:name="_GoBack"/>
      <w:bookmarkEnd w:id="1"/>
    </w:p>
    <w:p w14:paraId="48D7B0CE">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w:t>
      </w:r>
      <w:r>
        <w:rPr>
          <w:rFonts w:eastAsia="仿宋_GB2312"/>
          <w:color w:val="000000" w:themeColor="text1"/>
          <w:sz w:val="32"/>
          <w:szCs w:val="32"/>
          <w:highlight w:val="none"/>
          <w14:textFill>
            <w14:solidFill>
              <w14:schemeClr w14:val="tx1"/>
            </w14:solidFill>
          </w14:textFill>
        </w:rPr>
        <w:t>参照《有源医疗器械使用期限注册技术审查指导原则》提供产品使用稳定性的</w:t>
      </w:r>
      <w:r>
        <w:rPr>
          <w:rFonts w:hint="eastAsia" w:eastAsia="仿宋_GB2312"/>
          <w:color w:val="000000" w:themeColor="text1"/>
          <w:sz w:val="32"/>
          <w:szCs w:val="32"/>
          <w:highlight w:val="none"/>
          <w14:textFill>
            <w14:solidFill>
              <w14:schemeClr w14:val="tx1"/>
            </w14:solidFill>
          </w14:textFill>
        </w:rPr>
        <w:t>研究</w:t>
      </w:r>
      <w:r>
        <w:rPr>
          <w:rFonts w:eastAsia="仿宋_GB2312"/>
          <w:color w:val="000000" w:themeColor="text1"/>
          <w:sz w:val="32"/>
          <w:szCs w:val="32"/>
          <w:highlight w:val="none"/>
          <w14:textFill>
            <w14:solidFill>
              <w14:schemeClr w14:val="tx1"/>
            </w14:solidFill>
          </w14:textFill>
        </w:rPr>
        <w:t>资料。可以对该产品进行使用状态列举，完整分析出临床使用的情况，直接进行产品的老化试验研究</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也可以将产品分解为不同子部件（如主机、</w:t>
      </w:r>
      <w:r>
        <w:rPr>
          <w:rFonts w:hint="eastAsia" w:eastAsia="仿宋_GB2312"/>
          <w:color w:val="000000" w:themeColor="text1"/>
          <w:sz w:val="32"/>
          <w:szCs w:val="32"/>
          <w:highlight w:val="none"/>
          <w14:textFill>
            <w14:solidFill>
              <w14:schemeClr w14:val="tx1"/>
            </w14:solidFill>
          </w14:textFill>
        </w:rPr>
        <w:t>附件</w:t>
      </w:r>
      <w:r>
        <w:rPr>
          <w:rFonts w:eastAsia="仿宋_GB2312"/>
          <w:color w:val="000000" w:themeColor="text1"/>
          <w:sz w:val="32"/>
          <w:szCs w:val="32"/>
          <w:highlight w:val="none"/>
          <w14:textFill>
            <w14:solidFill>
              <w14:schemeClr w14:val="tx1"/>
            </w14:solidFill>
          </w14:textFill>
        </w:rPr>
        <w:t>）进行评价</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应详细分析分解关系，在此基础上</w:t>
      </w:r>
      <w:r>
        <w:rPr>
          <w:rFonts w:hint="eastAsia" w:eastAsia="仿宋_GB2312"/>
          <w:color w:val="000000" w:themeColor="text1"/>
          <w:sz w:val="32"/>
          <w:szCs w:val="32"/>
          <w:highlight w:val="none"/>
          <w14:textFill>
            <w14:solidFill>
              <w14:schemeClr w14:val="tx1"/>
            </w14:solidFill>
          </w14:textFill>
        </w:rPr>
        <w:t>采用适当</w:t>
      </w:r>
      <w:r>
        <w:rPr>
          <w:rFonts w:eastAsia="仿宋_GB2312"/>
          <w:color w:val="000000" w:themeColor="text1"/>
          <w:sz w:val="32"/>
          <w:szCs w:val="32"/>
          <w:highlight w:val="none"/>
          <w14:textFill>
            <w14:solidFill>
              <w14:schemeClr w14:val="tx1"/>
            </w14:solidFill>
          </w14:textFill>
        </w:rPr>
        <w:t>的分解方式（如将产品分为关键部件及非关键部件等）确定产品的使用期限。</w:t>
      </w:r>
    </w:p>
    <w:p w14:paraId="2EAB948B">
      <w:pPr>
        <w:spacing w:line="520" w:lineRule="exact"/>
        <w:ind w:firstLine="624" w:firstLineChars="200"/>
        <w:rPr>
          <w:rFonts w:eastAsia="微软雅黑"/>
          <w:color w:val="000000" w:themeColor="text1"/>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若通过分析关键部件寿命来确定产品使用期限，关键部件包括但不限于显示屏、电源模块等。产品若具有可更换部件，应明确定期保养维护的时间间隔和更换频次，且应给出支持性资料。</w:t>
      </w:r>
    </w:p>
    <w:p w14:paraId="420B4064">
      <w:pPr>
        <w:spacing w:line="520" w:lineRule="exact"/>
        <w:ind w:firstLine="624" w:firstLineChars="200"/>
        <w:rPr>
          <w:rFonts w:eastAsia="仿宋_GB2312" w:cs="仿宋_GB2312"/>
          <w:color w:val="000000" w:themeColor="text1"/>
          <w:spacing w:val="-4"/>
          <w:sz w:val="32"/>
          <w:szCs w:val="28"/>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4.</w:t>
      </w:r>
      <w:r>
        <w:rPr>
          <w:rFonts w:hint="eastAsia" w:eastAsia="仿宋_GB2312" w:cs="仿宋_GB2312"/>
          <w:color w:val="000000" w:themeColor="text1"/>
          <w:spacing w:val="-4"/>
          <w:sz w:val="32"/>
          <w:szCs w:val="28"/>
          <w:highlight w:val="none"/>
          <w:lang w:val="en-US" w:eastAsia="zh-CN"/>
          <w14:textFill>
            <w14:solidFill>
              <w14:schemeClr w14:val="tx1"/>
            </w14:solidFill>
          </w14:textFill>
        </w:rPr>
        <w:t>8</w:t>
      </w:r>
      <w:r>
        <w:rPr>
          <w:rFonts w:hint="eastAsia" w:eastAsia="仿宋_GB2312" w:cs="仿宋_GB2312"/>
          <w:color w:val="000000" w:themeColor="text1"/>
          <w:spacing w:val="-4"/>
          <w:sz w:val="32"/>
          <w:szCs w:val="28"/>
          <w:highlight w:val="none"/>
          <w14:textFill>
            <w14:solidFill>
              <w14:schemeClr w14:val="tx1"/>
            </w14:solidFill>
          </w14:textFill>
        </w:rPr>
        <w:t>.3运输稳定性</w:t>
      </w:r>
    </w:p>
    <w:p w14:paraId="18B86FAC">
      <w:pPr>
        <w:adjustRightInd w:val="0"/>
        <w:snapToGrid w:val="0"/>
        <w:spacing w:line="520" w:lineRule="exact"/>
        <w:ind w:firstLine="640" w:firstLineChars="200"/>
        <w:rPr>
          <w:rFonts w:hint="eastAsia" w:eastAsia="仿宋_GB2312"/>
          <w:color w:val="000000" w:themeColor="text1"/>
          <w:sz w:val="32"/>
          <w:szCs w:val="32"/>
          <w:highlight w:val="none"/>
          <w:lang w:val="en-US" w:eastAsia="zh-CN"/>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应当提供运输稳定性和包装研究资料，证明在生产企业规定的运输条件下，运输过程中的环境条件（例如：震动、振动、温度和湿度的波动）不会对医疗器械的特性和性能</w:t>
      </w:r>
      <w:r>
        <w:rPr>
          <w:rFonts w:hint="eastAsia" w:eastAsia="仿宋_GB2312"/>
          <w:color w:val="000000" w:themeColor="text1"/>
          <w:sz w:val="32"/>
          <w:szCs w:val="32"/>
          <w:highlight w:val="none"/>
          <w14:textFill>
            <w14:solidFill>
              <w14:schemeClr w14:val="tx1"/>
            </w14:solidFill>
          </w14:textFill>
        </w:rPr>
        <w:t>，包括完整性和清洁度，</w:t>
      </w:r>
      <w:r>
        <w:rPr>
          <w:rFonts w:eastAsia="仿宋_GB2312"/>
          <w:color w:val="000000" w:themeColor="text1"/>
          <w:sz w:val="32"/>
          <w:szCs w:val="32"/>
          <w:highlight w:val="none"/>
          <w14:textFill>
            <w14:solidFill>
              <w14:schemeClr w14:val="tx1"/>
            </w14:solidFill>
          </w14:textFill>
        </w:rPr>
        <w:t>造成不利影响</w:t>
      </w:r>
      <w:r>
        <w:rPr>
          <w:rFonts w:hint="eastAsia"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lang w:val="en-US" w:eastAsia="zh-CN"/>
          <w14:textFill>
            <w14:solidFill>
              <w14:schemeClr w14:val="tx1"/>
            </w14:solidFill>
          </w14:textFill>
        </w:rPr>
        <w:t>可参考</w:t>
      </w:r>
      <w:r>
        <w:rPr>
          <w:rFonts w:eastAsia="仿宋_GB2312"/>
          <w:color w:val="000000" w:themeColor="text1"/>
          <w:sz w:val="32"/>
          <w:szCs w:val="32"/>
          <w:highlight w:val="none"/>
          <w14:textFill>
            <w14:solidFill>
              <w14:schemeClr w14:val="tx1"/>
            </w14:solidFill>
          </w14:textFill>
        </w:rPr>
        <w:t>GB/T 4857系列标准</w:t>
      </w:r>
      <w:r>
        <w:rPr>
          <w:rFonts w:hint="eastAsia" w:eastAsia="仿宋_GB2312"/>
          <w:color w:val="000000" w:themeColor="text1"/>
          <w:sz w:val="32"/>
          <w:szCs w:val="32"/>
          <w:highlight w:val="none"/>
          <w:lang w:val="en-US" w:eastAsia="zh-CN"/>
          <w14:textFill>
            <w14:solidFill>
              <w14:schemeClr w14:val="tx1"/>
            </w14:solidFill>
          </w14:textFill>
        </w:rPr>
        <w:t>进行。</w:t>
      </w:r>
    </w:p>
    <w:p w14:paraId="2705A292">
      <w:pPr>
        <w:adjustRightInd/>
        <w:snapToGrid/>
        <w:spacing w:line="520" w:lineRule="exact"/>
        <w:ind w:firstLine="624" w:firstLineChars="200"/>
        <w:rPr>
          <w:rFonts w:hint="eastAsia" w:eastAsia="仿宋_GB2312"/>
          <w:color w:val="000000" w:themeColor="text1"/>
          <w:sz w:val="32"/>
          <w:szCs w:val="32"/>
          <w:highlight w:val="none"/>
          <w:lang w:val="en-US" w:eastAsia="zh-CN"/>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4.</w:t>
      </w:r>
      <w:r>
        <w:rPr>
          <w:rFonts w:hint="eastAsia" w:eastAsia="仿宋_GB2312" w:cs="仿宋_GB2312"/>
          <w:color w:val="000000" w:themeColor="text1"/>
          <w:spacing w:val="-4"/>
          <w:sz w:val="32"/>
          <w:szCs w:val="28"/>
          <w:highlight w:val="none"/>
          <w:lang w:val="en-US" w:eastAsia="zh-CN"/>
          <w14:textFill>
            <w14:solidFill>
              <w14:schemeClr w14:val="tx1"/>
            </w14:solidFill>
          </w14:textFill>
        </w:rPr>
        <w:t>8</w:t>
      </w:r>
      <w:r>
        <w:rPr>
          <w:rFonts w:hint="eastAsia" w:eastAsia="仿宋_GB2312" w:cs="仿宋_GB2312"/>
          <w:color w:val="000000" w:themeColor="text1"/>
          <w:spacing w:val="-4"/>
          <w:sz w:val="32"/>
          <w:szCs w:val="28"/>
          <w:highlight w:val="none"/>
          <w14:textFill>
            <w14:solidFill>
              <w14:schemeClr w14:val="tx1"/>
            </w14:solidFill>
          </w14:textFill>
        </w:rPr>
        <w:t>.</w:t>
      </w:r>
      <w:r>
        <w:rPr>
          <w:rFonts w:hint="eastAsia" w:eastAsia="仿宋_GB2312" w:cs="仿宋_GB2312"/>
          <w:color w:val="000000" w:themeColor="text1"/>
          <w:spacing w:val="-4"/>
          <w:sz w:val="32"/>
          <w:szCs w:val="28"/>
          <w:highlight w:val="none"/>
          <w:lang w:val="en-US" w:eastAsia="zh-CN"/>
          <w14:textFill>
            <w14:solidFill>
              <w14:schemeClr w14:val="tx1"/>
            </w14:solidFill>
          </w14:textFill>
        </w:rPr>
        <w:t>4环境试验要求</w:t>
      </w:r>
    </w:p>
    <w:p w14:paraId="1F714B4A">
      <w:pPr>
        <w:overflowPunct w:val="0"/>
        <w:adjustRightInd w:val="0"/>
        <w:snapToGrid w:val="0"/>
        <w:spacing w:line="520" w:lineRule="exact"/>
        <w:ind w:firstLine="640" w:firstLineChars="200"/>
        <w:rPr>
          <w:rFonts w:eastAsia="仿宋_GB2312"/>
          <w:color w:val="000000" w:themeColor="text1"/>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可参考GB/T 14710</w:t>
      </w:r>
      <w:r>
        <w:rPr>
          <w:rFonts w:hint="eastAsia" w:eastAsia="仿宋_GB2312"/>
          <w:color w:val="000000" w:themeColor="text1"/>
          <w:sz w:val="32"/>
          <w:szCs w:val="32"/>
          <w:highlight w:val="none"/>
          <w14:textFill>
            <w14:solidFill>
              <w14:schemeClr w14:val="tx1"/>
            </w14:solidFill>
          </w14:textFill>
        </w:rPr>
        <w:t>等标准</w:t>
      </w:r>
      <w:r>
        <w:rPr>
          <w:rFonts w:eastAsia="仿宋_GB2312"/>
          <w:color w:val="000000" w:themeColor="text1"/>
          <w:sz w:val="32"/>
          <w:szCs w:val="32"/>
          <w:highlight w:val="none"/>
          <w14:textFill>
            <w14:solidFill>
              <w14:schemeClr w14:val="tx1"/>
            </w14:solidFill>
          </w14:textFill>
        </w:rPr>
        <w:t>的要求</w:t>
      </w:r>
      <w:r>
        <w:rPr>
          <w:rFonts w:hint="eastAsia" w:eastAsia="仿宋_GB2312"/>
          <w:color w:val="000000" w:themeColor="text1"/>
          <w:sz w:val="32"/>
          <w:szCs w:val="32"/>
          <w:highlight w:val="none"/>
          <w14:textFill>
            <w14:solidFill>
              <w14:schemeClr w14:val="tx1"/>
            </w14:solidFill>
          </w14:textFill>
        </w:rPr>
        <w:t>开展环境试验</w:t>
      </w:r>
      <w:r>
        <w:rPr>
          <w:rFonts w:eastAsia="仿宋_GB2312"/>
          <w:color w:val="000000" w:themeColor="text1"/>
          <w:sz w:val="32"/>
          <w:szCs w:val="32"/>
          <w:highlight w:val="none"/>
          <w14:textFill>
            <w14:solidFill>
              <w14:schemeClr w14:val="tx1"/>
            </w14:solidFill>
          </w14:textFill>
        </w:rPr>
        <w:t>研究。</w:t>
      </w:r>
      <w:r>
        <w:rPr>
          <w:rFonts w:hint="eastAsia" w:eastAsia="仿宋_GB2312"/>
          <w:color w:val="000000" w:themeColor="text1"/>
          <w:sz w:val="32"/>
          <w:szCs w:val="32"/>
          <w:highlight w:val="none"/>
          <w14:textFill>
            <w14:solidFill>
              <w14:schemeClr w14:val="tx1"/>
            </w14:solidFill>
          </w14:textFill>
        </w:rPr>
        <w:t>评价产品在各种工作环境和模拟贮存、运输环境下的适应性。</w:t>
      </w:r>
      <w:r>
        <w:rPr>
          <w:rFonts w:eastAsia="仿宋_GB2312"/>
          <w:color w:val="000000" w:themeColor="text1"/>
          <w:sz w:val="32"/>
          <w:szCs w:val="32"/>
          <w:highlight w:val="none"/>
          <w14:textFill>
            <w14:solidFill>
              <w14:schemeClr w14:val="tx1"/>
            </w14:solidFill>
          </w14:textFill>
        </w:rPr>
        <w:t>提交相应环境试验报告。</w:t>
      </w:r>
    </w:p>
    <w:p w14:paraId="79990BD7">
      <w:pPr>
        <w:spacing w:line="520" w:lineRule="exact"/>
        <w:ind w:firstLine="640" w:firstLineChars="200"/>
        <w:rPr>
          <w:rFonts w:eastAsia="仿宋_GB2312" w:cs="仿宋_GB2312"/>
          <w:color w:val="000000" w:themeColor="text1"/>
          <w:spacing w:val="-4"/>
          <w:sz w:val="32"/>
          <w:szCs w:val="28"/>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4.</w:t>
      </w:r>
      <w:r>
        <w:rPr>
          <w:rFonts w:hint="eastAsia" w:eastAsia="仿宋_GB2312"/>
          <w:color w:val="000000" w:themeColor="text1"/>
          <w:sz w:val="32"/>
          <w:szCs w:val="32"/>
          <w:highlight w:val="none"/>
          <w:lang w:val="en-US" w:eastAsia="zh-CN"/>
          <w14:textFill>
            <w14:solidFill>
              <w14:schemeClr w14:val="tx1"/>
            </w14:solidFill>
          </w14:textFill>
        </w:rPr>
        <w:t>9</w:t>
      </w:r>
      <w:r>
        <w:rPr>
          <w:rFonts w:hint="eastAsia" w:eastAsia="仿宋_GB2312" w:cs="仿宋_GB2312"/>
          <w:color w:val="000000" w:themeColor="text1"/>
          <w:spacing w:val="-4"/>
          <w:sz w:val="32"/>
          <w:szCs w:val="28"/>
          <w:highlight w:val="none"/>
          <w14:textFill>
            <w14:solidFill>
              <w14:schemeClr w14:val="tx1"/>
            </w14:solidFill>
          </w14:textFill>
        </w:rPr>
        <w:t>可用性工程</w:t>
      </w:r>
    </w:p>
    <w:p w14:paraId="7D67B16B">
      <w:pPr>
        <w:spacing w:line="520" w:lineRule="exact"/>
        <w:ind w:firstLine="624" w:firstLineChars="200"/>
        <w:rPr>
          <w:rFonts w:eastAsia="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电子峰速仪属</w:t>
      </w:r>
      <w:r>
        <w:rPr>
          <w:rFonts w:eastAsia="仿宋_GB2312" w:cs="仿宋_GB2312"/>
          <w:color w:val="000000" w:themeColor="text1"/>
          <w:spacing w:val="-4"/>
          <w:sz w:val="32"/>
          <w:szCs w:val="28"/>
          <w:highlight w:val="none"/>
          <w14:textFill>
            <w14:solidFill>
              <w14:schemeClr w14:val="tx1"/>
            </w14:solidFill>
          </w14:textFill>
        </w:rPr>
        <w:t>于中、低使用风险医疗器械，</w:t>
      </w:r>
      <w:r>
        <w:rPr>
          <w:rFonts w:hint="eastAsia" w:eastAsia="仿宋_GB2312" w:cs="仿宋_GB2312"/>
          <w:color w:val="000000" w:themeColor="text1"/>
          <w:spacing w:val="-4"/>
          <w:sz w:val="32"/>
          <w:szCs w:val="28"/>
          <w:highlight w:val="none"/>
          <w14:textFill>
            <w14:solidFill>
              <w14:schemeClr w14:val="tx1"/>
            </w14:solidFill>
          </w14:textFill>
        </w:rPr>
        <w:t>应参照《医疗器械可用性工程注册审查指导原则》</w:t>
      </w:r>
      <w:r>
        <w:rPr>
          <w:rFonts w:eastAsia="仿宋_GB2312" w:cs="仿宋_GB2312"/>
          <w:color w:val="000000" w:themeColor="text1"/>
          <w:spacing w:val="-4"/>
          <w:sz w:val="32"/>
          <w:szCs w:val="28"/>
          <w:highlight w:val="none"/>
          <w14:textFill>
            <w14:solidFill>
              <w14:schemeClr w14:val="tx1"/>
            </w14:solidFill>
          </w14:textFill>
        </w:rPr>
        <w:t>提交使用错误评估报告</w:t>
      </w:r>
      <w:r>
        <w:rPr>
          <w:rFonts w:hint="eastAsia" w:eastAsia="仿宋_GB2312" w:cs="仿宋_GB2312"/>
          <w:color w:val="000000" w:themeColor="text1"/>
          <w:spacing w:val="-4"/>
          <w:sz w:val="32"/>
          <w:szCs w:val="28"/>
          <w:highlight w:val="none"/>
          <w14:textFill>
            <w14:solidFill>
              <w14:schemeClr w14:val="tx1"/>
            </w14:solidFill>
          </w14:textFill>
        </w:rPr>
        <w:t>，包括基本信息、使用风险级别、核心要素、同类医疗器械上市后使用问题分析、使用风险管理、结论等内容</w:t>
      </w:r>
      <w:r>
        <w:rPr>
          <w:rFonts w:eastAsia="仿宋_GB2312" w:cs="仿宋_GB2312"/>
          <w:color w:val="000000" w:themeColor="text1"/>
          <w:spacing w:val="-4"/>
          <w:sz w:val="32"/>
          <w:szCs w:val="28"/>
          <w:highlight w:val="none"/>
          <w14:textFill>
            <w14:solidFill>
              <w14:schemeClr w14:val="tx1"/>
            </w14:solidFill>
          </w14:textFill>
        </w:rPr>
        <w:t>。若前期已开展可用性工程工作，亦可提交可用性工程研究报告，用于替代使用错误评估报告。</w:t>
      </w:r>
    </w:p>
    <w:p w14:paraId="6FBA29EA">
      <w:pPr>
        <w:spacing w:line="520" w:lineRule="exact"/>
        <w:ind w:left="640"/>
        <w:outlineLvl w:val="1"/>
        <w:rPr>
          <w:rFonts w:eastAsia="楷体_GB2312" w:cs="楷体_GB2312"/>
          <w:color w:val="000000" w:themeColor="text1"/>
          <w:sz w:val="32"/>
          <w:szCs w:val="32"/>
          <w:highlight w:val="none"/>
          <w14:textFill>
            <w14:solidFill>
              <w14:schemeClr w14:val="tx1"/>
            </w14:solidFill>
          </w14:textFill>
        </w:rPr>
      </w:pPr>
      <w:r>
        <w:rPr>
          <w:rFonts w:hint="eastAsia" w:eastAsia="楷体_GB2312" w:cs="楷体_GB2312"/>
          <w:color w:val="000000" w:themeColor="text1"/>
          <w:sz w:val="32"/>
          <w:szCs w:val="32"/>
          <w:highlight w:val="none"/>
          <w14:textFill>
            <w14:solidFill>
              <w14:schemeClr w14:val="tx1"/>
            </w14:solidFill>
          </w14:textFill>
        </w:rPr>
        <w:t>（四）临床评价资料</w:t>
      </w:r>
    </w:p>
    <w:p w14:paraId="0C04F86E">
      <w:pPr>
        <w:spacing w:line="520" w:lineRule="exact"/>
        <w:ind w:firstLine="624" w:firstLineChars="200"/>
        <w:rPr>
          <w:rFonts w:eastAsia="仿宋_GB2312" w:cs="仿宋_GB2312"/>
          <w:color w:val="000000" w:themeColor="text1"/>
          <w:spacing w:val="-4"/>
          <w:sz w:val="32"/>
          <w:szCs w:val="28"/>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电子峰速仪</w:t>
      </w:r>
      <w:r>
        <w:rPr>
          <w:rFonts w:hint="eastAsia" w:eastAsia="仿宋_GB2312"/>
          <w:color w:val="000000" w:themeColor="text1"/>
          <w:sz w:val="32"/>
          <w:szCs w:val="32"/>
          <w:highlight w:val="none"/>
          <w14:textFill>
            <w14:solidFill>
              <w14:schemeClr w14:val="tx1"/>
            </w14:solidFill>
          </w14:textFill>
        </w:rPr>
        <w:t>不属于《免于临床评价医疗器械目录》中的产品，注册申请人应按照《医疗器械临床试验质量管理规范》《医疗器械临床评价技术指导原则》《决策是否开展医疗器械临床试验技术指导原则》《医疗器械临床评价等同性论证技术指导原则》《医疗器械注册申报临床评价报告技术指导原则》等相关要求开展申报产品的临床评价并提供临床评价资料。建议注册申请人结合申报产品的临床应用情形，风险和受益等，选择合理的临床评价路径（包括同品种临床评价路径和/或临床试验路径），论证其临床应用的安全有效性。</w:t>
      </w:r>
    </w:p>
    <w:p w14:paraId="36F82737">
      <w:pPr>
        <w:spacing w:line="520" w:lineRule="exact"/>
        <w:ind w:left="640"/>
        <w:outlineLvl w:val="1"/>
        <w:rPr>
          <w:rFonts w:eastAsia="楷体_GB2312"/>
          <w:color w:val="000000" w:themeColor="text1"/>
          <w:sz w:val="32"/>
          <w:szCs w:val="32"/>
          <w:highlight w:val="none"/>
          <w14:textFill>
            <w14:solidFill>
              <w14:schemeClr w14:val="tx1"/>
            </w14:solidFill>
          </w14:textFill>
        </w:rPr>
      </w:pPr>
      <w:r>
        <w:rPr>
          <w:rFonts w:hint="eastAsia" w:eastAsia="楷体_GB2312" w:cs="楷体_GB2312"/>
          <w:color w:val="000000" w:themeColor="text1"/>
          <w:sz w:val="32"/>
          <w:szCs w:val="32"/>
          <w:highlight w:val="none"/>
          <w14:textFill>
            <w14:solidFill>
              <w14:schemeClr w14:val="tx1"/>
            </w14:solidFill>
          </w14:textFill>
        </w:rPr>
        <w:t>（五）产品说明书和标签样稿</w:t>
      </w:r>
    </w:p>
    <w:p w14:paraId="5188BBA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电子峰速仪</w:t>
      </w:r>
      <w:r>
        <w:rPr>
          <w:rFonts w:eastAsia="仿宋_GB2312"/>
          <w:color w:val="000000" w:themeColor="text1"/>
          <w:sz w:val="32"/>
          <w:szCs w:val="32"/>
          <w:highlight w:val="none"/>
          <w14:textFill>
            <w14:solidFill>
              <w14:schemeClr w14:val="tx1"/>
            </w14:solidFill>
          </w14:textFill>
        </w:rPr>
        <w:t>的说明书、标签应符合《医疗器械说明书和标签管理规定》（国家食品药品监督管理总局令第6号）和YY/T 0466.1</w:t>
      </w:r>
      <w:r>
        <w:rPr>
          <w:rFonts w:hint="eastAsia" w:eastAsia="仿宋_GB2312"/>
          <w:color w:val="000000" w:themeColor="text1"/>
          <w:sz w:val="32"/>
          <w:szCs w:val="32"/>
          <w:highlight w:val="none"/>
          <w14:textFill>
            <w14:solidFill>
              <w14:schemeClr w14:val="tx1"/>
            </w14:solidFill>
          </w14:textFill>
        </w:rPr>
        <w:t>和相关法规、规范性文件、强制性标准的要求</w:t>
      </w:r>
      <w:r>
        <w:rPr>
          <w:rFonts w:eastAsia="仿宋_GB2312"/>
          <w:color w:val="000000" w:themeColor="text1"/>
          <w:sz w:val="32"/>
          <w:szCs w:val="32"/>
          <w:highlight w:val="none"/>
          <w14:textFill>
            <w14:solidFill>
              <w14:schemeClr w14:val="tx1"/>
            </w14:solidFill>
          </w14:textFill>
        </w:rPr>
        <w:t>。</w:t>
      </w:r>
    </w:p>
    <w:p w14:paraId="013F840C">
      <w:pPr>
        <w:spacing w:line="520" w:lineRule="exact"/>
        <w:ind w:firstLine="624" w:firstLineChars="200"/>
        <w:rPr>
          <w:rFonts w:eastAsia="仿宋_GB2312"/>
          <w:color w:val="000000" w:themeColor="text1"/>
          <w:sz w:val="32"/>
          <w:szCs w:val="32"/>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说明书中必须告知用户的信息应当完整，如产品预期使用的环境、适用人群和限制使用的情况，应明确产品一次性使用附件的使用注意事项等。</w:t>
      </w:r>
    </w:p>
    <w:p w14:paraId="1CC23D4D">
      <w:pPr>
        <w:spacing w:line="520" w:lineRule="exact"/>
        <w:ind w:firstLine="624" w:firstLineChars="200"/>
        <w:rPr>
          <w:rFonts w:eastAsia="仿宋_GB2312" w:cs="仿宋_GB2312"/>
          <w:color w:val="000000" w:themeColor="text1"/>
          <w:spacing w:val="-4"/>
          <w:sz w:val="32"/>
          <w:szCs w:val="28"/>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建议在说明书中明确下列内容：</w:t>
      </w:r>
    </w:p>
    <w:p w14:paraId="6EF59FD6">
      <w:pPr>
        <w:spacing w:line="520" w:lineRule="exact"/>
        <w:ind w:firstLine="624" w:firstLineChars="200"/>
        <w:rPr>
          <w:rFonts w:eastAsia="仿宋_GB2312" w:cs="仿宋_GB2312"/>
          <w:color w:val="000000" w:themeColor="text1"/>
          <w:spacing w:val="-4"/>
          <w:sz w:val="32"/>
          <w:szCs w:val="28"/>
          <w:highlight w:val="none"/>
          <w14:textFill>
            <w14:solidFill>
              <w14:schemeClr w14:val="tx1"/>
            </w14:solidFill>
          </w14:textFill>
        </w:rPr>
      </w:pPr>
      <w:r>
        <w:rPr>
          <w:rFonts w:eastAsia="仿宋_GB2312" w:cs="仿宋_GB2312"/>
          <w:color w:val="000000" w:themeColor="text1"/>
          <w:spacing w:val="-4"/>
          <w:sz w:val="32"/>
          <w:szCs w:val="28"/>
          <w:highlight w:val="none"/>
          <w14:textFill>
            <w14:solidFill>
              <w14:schemeClr w14:val="tx1"/>
            </w14:solidFill>
          </w14:textFill>
        </w:rPr>
        <w:t>1.</w:t>
      </w:r>
      <w:r>
        <w:rPr>
          <w:rFonts w:hint="eastAsia" w:eastAsia="仿宋_GB2312" w:cs="仿宋_GB2312"/>
          <w:color w:val="000000" w:themeColor="text1"/>
          <w:spacing w:val="-4"/>
          <w:sz w:val="32"/>
          <w:szCs w:val="28"/>
          <w:highlight w:val="none"/>
          <w14:textFill>
            <w14:solidFill>
              <w14:schemeClr w14:val="tx1"/>
            </w14:solidFill>
          </w14:textFill>
        </w:rPr>
        <w:t>对操作人员的要求。</w:t>
      </w:r>
    </w:p>
    <w:p w14:paraId="57B92CF3">
      <w:pPr>
        <w:spacing w:line="520" w:lineRule="exact"/>
        <w:ind w:firstLine="624" w:firstLineChars="200"/>
        <w:rPr>
          <w:rFonts w:eastAsia="仿宋_GB2312" w:cs="仿宋_GB2312"/>
          <w:color w:val="000000" w:themeColor="text1"/>
          <w:spacing w:val="-4"/>
          <w:sz w:val="32"/>
          <w:szCs w:val="28"/>
          <w:highlight w:val="none"/>
          <w14:textFill>
            <w14:solidFill>
              <w14:schemeClr w14:val="tx1"/>
            </w14:solidFill>
          </w14:textFill>
        </w:rPr>
      </w:pPr>
      <w:r>
        <w:rPr>
          <w:rFonts w:hint="eastAsia" w:eastAsia="仿宋_GB2312" w:cs="仿宋_GB2312"/>
          <w:color w:val="000000" w:themeColor="text1"/>
          <w:spacing w:val="-4"/>
          <w:sz w:val="32"/>
          <w:szCs w:val="28"/>
          <w:highlight w:val="none"/>
          <w14:textFill>
            <w14:solidFill>
              <w14:schemeClr w14:val="tx1"/>
            </w14:solidFill>
          </w14:textFill>
        </w:rPr>
        <w:t>2.</w:t>
      </w:r>
      <w:r>
        <w:rPr>
          <w:rFonts w:hint="eastAsia" w:eastAsia="仿宋_GB2312" w:cs="仿宋_GB2312"/>
          <w:color w:val="000000" w:themeColor="text1"/>
          <w:spacing w:val="-4"/>
          <w:sz w:val="32"/>
          <w:szCs w:val="28"/>
          <w:highlight w:val="none"/>
          <w:lang w:val="en-US" w:eastAsia="zh-CN"/>
          <w14:textFill>
            <w14:solidFill>
              <w14:schemeClr w14:val="tx1"/>
            </w14:solidFill>
          </w14:textFill>
        </w:rPr>
        <w:t>咬</w:t>
      </w:r>
      <w:r>
        <w:rPr>
          <w:rFonts w:hint="eastAsia" w:eastAsia="仿宋_GB2312" w:cs="仿宋_GB2312"/>
          <w:color w:val="000000" w:themeColor="text1"/>
          <w:spacing w:val="-4"/>
          <w:sz w:val="32"/>
          <w:szCs w:val="28"/>
          <w:highlight w:val="none"/>
          <w14:textFill>
            <w14:solidFill>
              <w14:schemeClr w14:val="tx1"/>
            </w14:solidFill>
          </w14:textFill>
        </w:rPr>
        <w:t>嘴的安放方法。</w:t>
      </w:r>
    </w:p>
    <w:p w14:paraId="240A6D97">
      <w:pPr>
        <w:spacing w:line="520" w:lineRule="exact"/>
        <w:ind w:firstLine="624" w:firstLineChars="200"/>
        <w:rPr>
          <w:rFonts w:hint="eastAsia" w:eastAsia="仿宋_GB2312" w:cs="仿宋_GB2312"/>
          <w:color w:val="000000" w:themeColor="text1"/>
          <w:spacing w:val="-4"/>
          <w:sz w:val="32"/>
          <w:szCs w:val="28"/>
          <w:highlight w:val="none"/>
          <w14:textFill>
            <w14:solidFill>
              <w14:schemeClr w14:val="tx1"/>
            </w14:solidFill>
          </w14:textFill>
        </w:rPr>
      </w:pPr>
      <w:r>
        <w:rPr>
          <w:rFonts w:eastAsia="仿宋_GB2312" w:cs="仿宋_GB2312"/>
          <w:color w:val="000000" w:themeColor="text1"/>
          <w:spacing w:val="-4"/>
          <w:sz w:val="32"/>
          <w:szCs w:val="28"/>
          <w:highlight w:val="none"/>
          <w14:textFill>
            <w14:solidFill>
              <w14:schemeClr w14:val="tx1"/>
            </w14:solidFill>
          </w14:textFill>
        </w:rPr>
        <w:t>3.</w:t>
      </w:r>
      <w:r>
        <w:rPr>
          <w:rFonts w:hint="eastAsia" w:eastAsia="仿宋_GB2312" w:cs="仿宋_GB2312"/>
          <w:color w:val="000000" w:themeColor="text1"/>
          <w:spacing w:val="-4"/>
          <w:sz w:val="32"/>
          <w:szCs w:val="28"/>
          <w:highlight w:val="none"/>
          <w14:textFill>
            <w14:solidFill>
              <w14:schemeClr w14:val="tx1"/>
            </w14:solidFill>
          </w14:textFill>
        </w:rPr>
        <w:t>如有重复使用</w:t>
      </w:r>
      <w:r>
        <w:rPr>
          <w:rFonts w:hint="eastAsia" w:eastAsia="仿宋_GB2312" w:cs="仿宋_GB2312"/>
          <w:color w:val="000000" w:themeColor="text1"/>
          <w:spacing w:val="-4"/>
          <w:sz w:val="32"/>
          <w:szCs w:val="28"/>
          <w:highlight w:val="none"/>
          <w:lang w:val="en-US" w:eastAsia="zh-CN"/>
          <w14:textFill>
            <w14:solidFill>
              <w14:schemeClr w14:val="tx1"/>
            </w14:solidFill>
          </w14:textFill>
        </w:rPr>
        <w:t>咬</w:t>
      </w:r>
      <w:r>
        <w:rPr>
          <w:rFonts w:hint="eastAsia" w:eastAsia="仿宋_GB2312" w:cs="仿宋_GB2312"/>
          <w:color w:val="000000" w:themeColor="text1"/>
          <w:spacing w:val="-4"/>
          <w:sz w:val="32"/>
          <w:szCs w:val="28"/>
          <w:highlight w:val="none"/>
          <w14:textFill>
            <w14:solidFill>
              <w14:schemeClr w14:val="tx1"/>
            </w14:solidFill>
          </w14:textFill>
        </w:rPr>
        <w:t>嘴，应给出重复使用</w:t>
      </w:r>
      <w:r>
        <w:rPr>
          <w:rFonts w:hint="eastAsia" w:eastAsia="仿宋_GB2312" w:cs="仿宋_GB2312"/>
          <w:color w:val="000000" w:themeColor="text1"/>
          <w:spacing w:val="-4"/>
          <w:sz w:val="32"/>
          <w:szCs w:val="28"/>
          <w:highlight w:val="none"/>
          <w:lang w:val="en-US" w:eastAsia="zh-CN"/>
          <w14:textFill>
            <w14:solidFill>
              <w14:schemeClr w14:val="tx1"/>
            </w14:solidFill>
          </w14:textFill>
        </w:rPr>
        <w:t>咬</w:t>
      </w:r>
      <w:r>
        <w:rPr>
          <w:rFonts w:hint="eastAsia" w:eastAsia="仿宋_GB2312" w:cs="仿宋_GB2312"/>
          <w:color w:val="000000" w:themeColor="text1"/>
          <w:spacing w:val="-4"/>
          <w:sz w:val="32"/>
          <w:szCs w:val="28"/>
          <w:highlight w:val="none"/>
          <w14:textFill>
            <w14:solidFill>
              <w14:schemeClr w14:val="tx1"/>
            </w14:solidFill>
          </w14:textFill>
        </w:rPr>
        <w:t>嘴的消毒，清洁和保存方法。</w:t>
      </w:r>
    </w:p>
    <w:p w14:paraId="3BD13538">
      <w:pPr>
        <w:spacing w:line="520" w:lineRule="exact"/>
        <w:ind w:firstLine="624" w:firstLineChars="200"/>
        <w:rPr>
          <w:rFonts w:hint="default" w:eastAsia="仿宋_GB2312" w:cs="仿宋_GB2312"/>
          <w:color w:val="000000" w:themeColor="text1"/>
          <w:spacing w:val="-4"/>
          <w:sz w:val="32"/>
          <w:szCs w:val="28"/>
          <w:highlight w:val="none"/>
          <w:lang w:val="en-US" w:eastAsia="zh-CN"/>
          <w14:textFill>
            <w14:solidFill>
              <w14:schemeClr w14:val="tx1"/>
            </w14:solidFill>
          </w14:textFill>
        </w:rPr>
      </w:pPr>
      <w:r>
        <w:rPr>
          <w:rFonts w:hint="eastAsia" w:eastAsia="仿宋_GB2312" w:cs="仿宋_GB2312"/>
          <w:color w:val="000000" w:themeColor="text1"/>
          <w:spacing w:val="-4"/>
          <w:sz w:val="32"/>
          <w:szCs w:val="28"/>
          <w:highlight w:val="none"/>
          <w:lang w:val="en-US" w:eastAsia="zh-CN"/>
          <w14:textFill>
            <w14:solidFill>
              <w14:schemeClr w14:val="tx1"/>
            </w14:solidFill>
          </w14:textFill>
        </w:rPr>
        <w:t>4.由消费者个人家用时的特别使用说明。</w:t>
      </w:r>
    </w:p>
    <w:p w14:paraId="212E1733">
      <w:pPr>
        <w:spacing w:line="520" w:lineRule="exact"/>
        <w:ind w:firstLine="624" w:firstLineChars="200"/>
        <w:rPr>
          <w:color w:val="000000" w:themeColor="text1"/>
          <w:highlight w:val="none"/>
          <w14:textFill>
            <w14:solidFill>
              <w14:schemeClr w14:val="tx1"/>
            </w14:solidFill>
          </w14:textFill>
        </w:rPr>
      </w:pPr>
      <w:r>
        <w:rPr>
          <w:rFonts w:hint="eastAsia" w:eastAsia="仿宋_GB2312" w:cs="仿宋_GB2312"/>
          <w:color w:val="000000" w:themeColor="text1"/>
          <w:spacing w:val="-4"/>
          <w:sz w:val="32"/>
          <w:szCs w:val="28"/>
          <w:highlight w:val="none"/>
          <w:lang w:val="en-US" w:eastAsia="zh-CN"/>
          <w14:textFill>
            <w14:solidFill>
              <w14:schemeClr w14:val="tx1"/>
            </w14:solidFill>
          </w14:textFill>
        </w:rPr>
        <w:t>5</w:t>
      </w:r>
      <w:r>
        <w:rPr>
          <w:rFonts w:eastAsia="仿宋_GB2312" w:cs="仿宋_GB2312"/>
          <w:color w:val="000000" w:themeColor="text1"/>
          <w:spacing w:val="-4"/>
          <w:sz w:val="32"/>
          <w:szCs w:val="28"/>
          <w:highlight w:val="none"/>
          <w14:textFill>
            <w14:solidFill>
              <w14:schemeClr w14:val="tx1"/>
            </w14:solidFill>
          </w14:textFill>
        </w:rPr>
        <w:t>.</w:t>
      </w:r>
      <w:r>
        <w:rPr>
          <w:rFonts w:hint="eastAsia" w:eastAsia="仿宋_GB2312" w:cs="仿宋_GB2312"/>
          <w:color w:val="000000" w:themeColor="text1"/>
          <w:spacing w:val="-4"/>
          <w:sz w:val="32"/>
          <w:szCs w:val="28"/>
          <w:highlight w:val="none"/>
          <w14:textFill>
            <w14:solidFill>
              <w14:schemeClr w14:val="tx1"/>
            </w14:solidFill>
          </w14:textFill>
        </w:rPr>
        <w:t>应当在说明书中标明的其他内容（如有）。</w:t>
      </w:r>
    </w:p>
    <w:p w14:paraId="18FD98E0">
      <w:pPr>
        <w:spacing w:line="520" w:lineRule="exact"/>
        <w:ind w:firstLine="640" w:firstLineChars="200"/>
        <w:outlineLvl w:val="1"/>
        <w:rPr>
          <w:rFonts w:eastAsia="楷体_GB2312"/>
          <w:bCs/>
          <w:iCs/>
          <w:color w:val="000000" w:themeColor="text1"/>
          <w:sz w:val="32"/>
          <w:szCs w:val="28"/>
          <w:highlight w:val="none"/>
          <w14:textFill>
            <w14:solidFill>
              <w14:schemeClr w14:val="tx1"/>
            </w14:solidFill>
          </w14:textFill>
        </w:rPr>
      </w:pPr>
      <w:r>
        <w:rPr>
          <w:rFonts w:hint="eastAsia" w:eastAsia="楷体_GB2312"/>
          <w:bCs/>
          <w:iCs/>
          <w:color w:val="000000" w:themeColor="text1"/>
          <w:sz w:val="32"/>
          <w:szCs w:val="28"/>
          <w:highlight w:val="none"/>
          <w14:textFill>
            <w14:solidFill>
              <w14:schemeClr w14:val="tx1"/>
            </w14:solidFill>
          </w14:textFill>
        </w:rPr>
        <w:t>（六）质量管理体系文件</w:t>
      </w:r>
    </w:p>
    <w:p w14:paraId="244F1968">
      <w:pPr>
        <w:adjustRightIn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产品的质量管理体系文件需符合《医疗器械生产质量管理规范》的要求，并按《医疗器械注册申报资料要求及说明》提交资料。</w:t>
      </w:r>
    </w:p>
    <w:p w14:paraId="209B6E9D">
      <w:pPr>
        <w:adjustRightIn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应当明确产品生产工艺过程，可采用流程图的形式，并说明其过程控制点。</w:t>
      </w:r>
    </w:p>
    <w:p w14:paraId="4F5EE8A0">
      <w:pPr>
        <w:adjustRightIn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生产工艺应已通过验证，能够生产出质量稳定、安全有效的产品，在注册质量管理体系核查中，对此项内容进行核查。关键工序、特殊过程应编制并执行工艺规程或作业指导书。若有微生物控制要求的需明确生产环境、原材料等的要求。</w:t>
      </w:r>
    </w:p>
    <w:p w14:paraId="192B1D49">
      <w:pPr>
        <w:adjustRightIn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有多个研制、生产场地的，概述每个研制、生产场地的实际情况</w:t>
      </w:r>
      <w:r>
        <w:rPr>
          <w:rFonts w:eastAsia="仿宋_GB2312"/>
          <w:color w:val="000000" w:themeColor="text1"/>
          <w:sz w:val="32"/>
          <w:szCs w:val="32"/>
          <w:highlight w:val="none"/>
          <w14:textFill>
            <w14:solidFill>
              <w14:schemeClr w14:val="tx1"/>
            </w14:solidFill>
          </w14:textFill>
        </w:rPr>
        <w:t>。</w:t>
      </w:r>
    </w:p>
    <w:p w14:paraId="249B5A6D">
      <w:pPr>
        <w:pStyle w:val="2"/>
        <w:keepNext w:val="0"/>
        <w:keepLines w:val="0"/>
        <w:numPr>
          <w:ilvl w:val="0"/>
          <w:numId w:val="1"/>
        </w:numPr>
        <w:ind w:firstLine="640" w:firstLineChars="200"/>
        <w:rPr>
          <w:b w:val="0"/>
          <w:bCs/>
          <w:color w:val="000000" w:themeColor="text1"/>
          <w:kern w:val="2"/>
          <w:highlight w:val="none"/>
          <w14:textFill>
            <w14:solidFill>
              <w14:schemeClr w14:val="tx1"/>
            </w14:solidFill>
          </w14:textFill>
        </w:rPr>
      </w:pPr>
      <w:r>
        <w:rPr>
          <w:rFonts w:hint="eastAsia"/>
          <w:b w:val="0"/>
          <w:bCs/>
          <w:color w:val="000000" w:themeColor="text1"/>
          <w:kern w:val="2"/>
          <w:highlight w:val="none"/>
          <w14:textFill>
            <w14:solidFill>
              <w14:schemeClr w14:val="tx1"/>
            </w14:solidFill>
          </w14:textFill>
        </w:rPr>
        <w:t>参考文献</w:t>
      </w:r>
    </w:p>
    <w:p w14:paraId="1A6C1961">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[1]中华人民共和国国务院.医疗器械监督管理条例:中华人民共和国国务院令第739号[Z].</w:t>
      </w:r>
    </w:p>
    <w:p w14:paraId="142F8FAB">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[2]国家市场监督管理总局.医疗器械注册与备案管理办法：</w:t>
      </w:r>
    </w:p>
    <w:p w14:paraId="0211CB28">
      <w:pPr>
        <w:spacing w:line="520" w:lineRule="exact"/>
        <w:ind w:right="-67" w:rightChars="-32"/>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国家市场监管总局令第47号[Z].</w:t>
      </w:r>
    </w:p>
    <w:p w14:paraId="582548B0">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[3]国家食品药品监督管理局.医疗器械分类目录:国家食品药品监督管理总局公告2017年第104号[Z].</w:t>
      </w:r>
    </w:p>
    <w:p w14:paraId="62F06160">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[4]</w:t>
      </w:r>
      <w:r>
        <w:rPr>
          <w:rFonts w:eastAsia="仿宋_GB2312"/>
          <w:color w:val="000000" w:themeColor="text1"/>
          <w:sz w:val="32"/>
          <w:szCs w:val="28"/>
          <w:highlight w:val="none"/>
          <w14:textFill>
            <w14:solidFill>
              <w14:schemeClr w14:val="tx1"/>
            </w14:solidFill>
          </w14:textFill>
        </w:rPr>
        <w:t>国家食品药品监督管理局</w:t>
      </w:r>
      <w:r>
        <w:rPr>
          <w:rFonts w:eastAsia="仿宋_GB2312"/>
          <w:color w:val="000000" w:themeColor="text1"/>
          <w:sz w:val="32"/>
          <w:szCs w:val="32"/>
          <w:highlight w:val="none"/>
          <w14:textFill>
            <w14:solidFill>
              <w14:schemeClr w14:val="tx1"/>
            </w14:solidFill>
          </w14:textFill>
        </w:rPr>
        <w:t>.医疗器械通用名称命名规则：</w:t>
      </w:r>
      <w:r>
        <w:rPr>
          <w:rFonts w:eastAsia="仿宋_GB2312"/>
          <w:color w:val="000000" w:themeColor="text1"/>
          <w:sz w:val="32"/>
          <w:szCs w:val="28"/>
          <w:highlight w:val="none"/>
          <w14:textFill>
            <w14:solidFill>
              <w14:schemeClr w14:val="tx1"/>
            </w14:solidFill>
          </w14:textFill>
        </w:rPr>
        <w:t>国家食品药品监督管理总局令第19号</w:t>
      </w:r>
      <w:r>
        <w:rPr>
          <w:rFonts w:eastAsia="仿宋_GB2312"/>
          <w:color w:val="000000" w:themeColor="text1"/>
          <w:sz w:val="32"/>
          <w:szCs w:val="32"/>
          <w:highlight w:val="none"/>
          <w14:textFill>
            <w14:solidFill>
              <w14:schemeClr w14:val="tx1"/>
            </w14:solidFill>
          </w14:textFill>
        </w:rPr>
        <w:t>[Z].</w:t>
      </w:r>
    </w:p>
    <w:p w14:paraId="48875871">
      <w:pPr>
        <w:spacing w:line="520" w:lineRule="exact"/>
        <w:ind w:right="-67" w:rightChars="-32" w:firstLine="640" w:firstLineChars="200"/>
        <w:rPr>
          <w:color w:val="000000" w:themeColor="text1"/>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[5</w:t>
      </w:r>
      <w:r>
        <w:rPr>
          <w:rFonts w:eastAsia="仿宋_GB2312"/>
          <w:color w:val="000000" w:themeColor="text1"/>
          <w:sz w:val="32"/>
          <w:szCs w:val="28"/>
          <w:highlight w:val="none"/>
          <w14:textFill>
            <w14:solidFill>
              <w14:schemeClr w14:val="tx1"/>
            </w14:solidFill>
          </w14:textFill>
        </w:rPr>
        <w:t>]</w:t>
      </w:r>
      <w:r>
        <w:rPr>
          <w:rFonts w:hint="eastAsia" w:eastAsia="仿宋_GB2312"/>
          <w:color w:val="000000" w:themeColor="text1"/>
          <w:sz w:val="32"/>
          <w:szCs w:val="28"/>
          <w:highlight w:val="none"/>
          <w14:textFill>
            <w14:solidFill>
              <w14:schemeClr w14:val="tx1"/>
            </w14:solidFill>
          </w14:textFill>
        </w:rPr>
        <w:t>国家药品监督管理局</w:t>
      </w:r>
      <w:r>
        <w:rPr>
          <w:rFonts w:eastAsia="仿宋_GB2312"/>
          <w:color w:val="000000" w:themeColor="text1"/>
          <w:sz w:val="32"/>
          <w:szCs w:val="28"/>
          <w:highlight w:val="none"/>
          <w14:textFill>
            <w14:solidFill>
              <w14:schemeClr w14:val="tx1"/>
            </w14:solidFill>
          </w14:textFill>
        </w:rPr>
        <w:t>.医用诊察和监护器械通用名称命名指导原则：</w:t>
      </w:r>
      <w:r>
        <w:rPr>
          <w:rFonts w:hint="eastAsia" w:eastAsia="仿宋_GB2312"/>
          <w:color w:val="000000" w:themeColor="text1"/>
          <w:sz w:val="32"/>
          <w:szCs w:val="32"/>
          <w:highlight w:val="none"/>
          <w14:textFill>
            <w14:solidFill>
              <w14:schemeClr w14:val="tx1"/>
            </w14:solidFill>
          </w14:textFill>
        </w:rPr>
        <w:t>国家药监局公告202</w:t>
      </w:r>
      <w:r>
        <w:rPr>
          <w:rFonts w:eastAsia="仿宋_GB2312"/>
          <w:color w:val="000000" w:themeColor="text1"/>
          <w:sz w:val="32"/>
          <w:szCs w:val="32"/>
          <w:highlight w:val="none"/>
          <w14:textFill>
            <w14:solidFill>
              <w14:schemeClr w14:val="tx1"/>
            </w14:solidFill>
          </w14:textFill>
        </w:rPr>
        <w:t>1</w:t>
      </w:r>
      <w:r>
        <w:rPr>
          <w:rFonts w:hint="eastAsia" w:eastAsia="仿宋_GB2312"/>
          <w:color w:val="000000" w:themeColor="text1"/>
          <w:sz w:val="32"/>
          <w:szCs w:val="32"/>
          <w:highlight w:val="none"/>
          <w14:textFill>
            <w14:solidFill>
              <w14:schemeClr w14:val="tx1"/>
            </w14:solidFill>
          </w14:textFill>
        </w:rPr>
        <w:t>年第</w:t>
      </w:r>
      <w:r>
        <w:rPr>
          <w:rFonts w:eastAsia="仿宋_GB2312"/>
          <w:color w:val="000000" w:themeColor="text1"/>
          <w:sz w:val="32"/>
          <w:szCs w:val="32"/>
          <w:highlight w:val="none"/>
          <w14:textFill>
            <w14:solidFill>
              <w14:schemeClr w14:val="tx1"/>
            </w14:solidFill>
          </w14:textFill>
        </w:rPr>
        <w:t>62</w:t>
      </w:r>
      <w:r>
        <w:rPr>
          <w:rFonts w:hint="eastAsia" w:eastAsia="仿宋_GB2312"/>
          <w:color w:val="000000" w:themeColor="text1"/>
          <w:sz w:val="32"/>
          <w:szCs w:val="32"/>
          <w:highlight w:val="none"/>
          <w14:textFill>
            <w14:solidFill>
              <w14:schemeClr w14:val="tx1"/>
            </w14:solidFill>
          </w14:textFill>
        </w:rPr>
        <w:t>号</w:t>
      </w:r>
      <w:r>
        <w:rPr>
          <w:rFonts w:eastAsia="仿宋_GB2312"/>
          <w:color w:val="000000" w:themeColor="text1"/>
          <w:sz w:val="32"/>
          <w:szCs w:val="28"/>
          <w:highlight w:val="none"/>
          <w14:textFill>
            <w14:solidFill>
              <w14:schemeClr w14:val="tx1"/>
            </w14:solidFill>
          </w14:textFill>
        </w:rPr>
        <w:t>[Z].</w:t>
      </w:r>
    </w:p>
    <w:p w14:paraId="7CDBAFD6">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[6]国家食品药品监督管理局.医疗器械注册单元划分指导原则:总局关于发布医疗器械注册单元划分指导原则的通告2017年第187号[Z].</w:t>
      </w:r>
    </w:p>
    <w:p w14:paraId="1D74DEEA">
      <w:pPr>
        <w:spacing w:line="520" w:lineRule="exact"/>
        <w:ind w:right="-67" w:rightChars="-32" w:firstLine="640" w:firstLineChars="200"/>
        <w:rPr>
          <w:color w:val="000000" w:themeColor="text1"/>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7]国家药品监督管理局.关于公布医疗器械注册申报资料要求和批准证明文件格式的公告：国家药品监督管理局公告2021年第121号[Z].</w:t>
      </w:r>
    </w:p>
    <w:p w14:paraId="178466D9">
      <w:pPr>
        <w:pStyle w:val="21"/>
        <w:spacing w:line="520" w:lineRule="exact"/>
        <w:ind w:firstLine="640" w:firstLineChars="200"/>
        <w:rPr>
          <w:rFonts w:ascii="Times New Roman" w:hAnsi="Times New Roman" w:eastAsia="仿宋_GB2312"/>
          <w:color w:val="000000" w:themeColor="text1"/>
          <w:sz w:val="32"/>
          <w:szCs w:val="32"/>
          <w:highlight w:val="none"/>
          <w14:textFill>
            <w14:solidFill>
              <w14:schemeClr w14:val="tx1"/>
            </w14:solidFill>
          </w14:textFill>
        </w:rPr>
      </w:pPr>
      <w:r>
        <w:rPr>
          <w:rFonts w:ascii="Times New Roman" w:hAnsi="Times New Roman" w:eastAsia="仿宋_GB2312"/>
          <w:color w:val="000000" w:themeColor="text1"/>
          <w:sz w:val="32"/>
          <w:szCs w:val="32"/>
          <w:highlight w:val="none"/>
          <w14:textFill>
            <w14:solidFill>
              <w14:schemeClr w14:val="tx1"/>
            </w14:solidFill>
          </w14:textFill>
        </w:rPr>
        <w:t>[8</w:t>
      </w:r>
      <w:r>
        <w:rPr>
          <w:rFonts w:hint="eastAsia" w:ascii="Times New Roman" w:hAnsi="Times New Roman" w:eastAsia="仿宋_GB2312"/>
          <w:color w:val="000000" w:themeColor="text1"/>
          <w:sz w:val="32"/>
          <w:szCs w:val="32"/>
          <w:highlight w:val="none"/>
          <w14:textFill>
            <w14:solidFill>
              <w14:schemeClr w14:val="tx1"/>
            </w14:solidFill>
          </w14:textFill>
        </w:rPr>
        <w:t>]国家药品监督管理局.</w:t>
      </w:r>
      <w:r>
        <w:rPr>
          <w:rFonts w:ascii="Times New Roman" w:hAnsi="Times New Roman" w:eastAsia="仿宋_GB2312"/>
          <w:color w:val="000000" w:themeColor="text1"/>
          <w:sz w:val="32"/>
          <w:szCs w:val="32"/>
          <w:highlight w:val="none"/>
          <w14:textFill>
            <w14:solidFill>
              <w14:schemeClr w14:val="tx1"/>
            </w14:solidFill>
          </w14:textFill>
        </w:rPr>
        <w:t>医疗器械产品技术要求编写指导原则</w:t>
      </w:r>
      <w:r>
        <w:rPr>
          <w:rFonts w:hint="eastAsia" w:ascii="Times New Roman" w:hAnsi="Times New Roman" w:eastAsia="仿宋_GB2312"/>
          <w:color w:val="000000" w:themeColor="text1"/>
          <w:sz w:val="32"/>
          <w:szCs w:val="32"/>
          <w:highlight w:val="none"/>
          <w14:textFill>
            <w14:solidFill>
              <w14:schemeClr w14:val="tx1"/>
            </w14:solidFill>
          </w14:textFill>
        </w:rPr>
        <w:t>:国家药监局通告2022年第8号[Z].</w:t>
      </w:r>
    </w:p>
    <w:p w14:paraId="3BB42499">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9</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kern w:val="0"/>
          <w:sz w:val="32"/>
          <w:szCs w:val="32"/>
          <w:highlight w:val="none"/>
          <w14:textFill>
            <w14:solidFill>
              <w14:schemeClr w14:val="tx1"/>
            </w14:solidFill>
          </w14:textFill>
        </w:rPr>
        <w:t>国家药品监督管理局医疗器械审评中心.</w:t>
      </w:r>
      <w:r>
        <w:rPr>
          <w:rFonts w:eastAsia="仿宋_GB2312"/>
          <w:color w:val="000000" w:themeColor="text1"/>
          <w:sz w:val="32"/>
          <w:szCs w:val="32"/>
          <w:highlight w:val="none"/>
          <w14:textFill>
            <w14:solidFill>
              <w14:schemeClr w14:val="tx1"/>
            </w14:solidFill>
          </w14:textFill>
        </w:rPr>
        <w:t>医疗器械安全和性能基本原则符合性技术指南</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国家药监局器审中心通告2022年第29号[Z].</w:t>
      </w:r>
    </w:p>
    <w:p w14:paraId="31B20B9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[1</w:t>
      </w:r>
      <w:r>
        <w:rPr>
          <w:rFonts w:hint="eastAsia" w:eastAsia="仿宋_GB2312"/>
          <w:color w:val="000000" w:themeColor="text1"/>
          <w:sz w:val="32"/>
          <w:szCs w:val="32"/>
          <w:highlight w:val="none"/>
          <w14:textFill>
            <w14:solidFill>
              <w14:schemeClr w14:val="tx1"/>
            </w14:solidFill>
          </w14:textFill>
        </w:rPr>
        <w:t>0</w:t>
      </w:r>
      <w:r>
        <w:rPr>
          <w:rFonts w:eastAsia="仿宋_GB2312"/>
          <w:color w:val="000000" w:themeColor="text1"/>
          <w:sz w:val="32"/>
          <w:szCs w:val="32"/>
          <w:highlight w:val="none"/>
          <w14:textFill>
            <w14:solidFill>
              <w14:schemeClr w14:val="tx1"/>
            </w14:solidFill>
          </w14:textFill>
        </w:rPr>
        <w:t>]国家药品监督管理局</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医疗器械安全和性能的基本原则</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国家药监局通告2020年第18号[Z].</w:t>
      </w:r>
    </w:p>
    <w:p w14:paraId="2CA8AE92">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[11]</w:t>
      </w:r>
      <w:r>
        <w:rPr>
          <w:rFonts w:eastAsia="仿宋_GB2312"/>
          <w:color w:val="000000" w:themeColor="text1"/>
          <w:sz w:val="32"/>
          <w:szCs w:val="32"/>
          <w:highlight w:val="none"/>
          <w14:textFill>
            <w14:solidFill>
              <w14:schemeClr w14:val="tx1"/>
            </w14:solidFill>
          </w14:textFill>
        </w:rPr>
        <w:t>国家药品监督管理局</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有源医疗器械使用期限注册技术审查指导原则</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国家药品监督管理局</w:t>
      </w:r>
      <w:r>
        <w:rPr>
          <w:rFonts w:hint="eastAsia" w:eastAsia="仿宋_GB2312"/>
          <w:color w:val="000000" w:themeColor="text1"/>
          <w:sz w:val="32"/>
          <w:szCs w:val="32"/>
          <w:highlight w:val="none"/>
          <w14:textFill>
            <w14:solidFill>
              <w14:schemeClr w14:val="tx1"/>
            </w14:solidFill>
          </w14:textFill>
        </w:rPr>
        <w:t>通</w:t>
      </w:r>
      <w:r>
        <w:rPr>
          <w:rFonts w:eastAsia="仿宋_GB2312"/>
          <w:color w:val="000000" w:themeColor="text1"/>
          <w:sz w:val="32"/>
          <w:szCs w:val="32"/>
          <w:highlight w:val="none"/>
          <w14:textFill>
            <w14:solidFill>
              <w14:schemeClr w14:val="tx1"/>
            </w14:solidFill>
          </w14:textFill>
        </w:rPr>
        <w:t>告2019年第23号[Z].</w:t>
      </w:r>
    </w:p>
    <w:p w14:paraId="21B165D2">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[12]</w:t>
      </w:r>
      <w:r>
        <w:rPr>
          <w:rFonts w:hint="eastAsia" w:eastAsia="仿宋_GB2312"/>
          <w:color w:val="000000" w:themeColor="text1"/>
          <w:kern w:val="0"/>
          <w:sz w:val="32"/>
          <w:szCs w:val="32"/>
          <w:highlight w:val="none"/>
          <w14:textFill>
            <w14:solidFill>
              <w14:schemeClr w14:val="tx1"/>
            </w14:solidFill>
          </w14:textFill>
        </w:rPr>
        <w:t>国家药品监督管理局医疗器械审评中心.</w:t>
      </w:r>
      <w:r>
        <w:rPr>
          <w:rFonts w:eastAsia="仿宋_GB2312"/>
          <w:color w:val="000000" w:themeColor="text1"/>
          <w:kern w:val="0"/>
          <w:sz w:val="32"/>
          <w:szCs w:val="32"/>
          <w:highlight w:val="none"/>
          <w14:textFill>
            <w14:solidFill>
              <w14:schemeClr w14:val="tx1"/>
            </w14:solidFill>
          </w14:textFill>
        </w:rPr>
        <w:t>医疗器械软件注册审查指导原则</w:t>
      </w:r>
      <w:r>
        <w:rPr>
          <w:rFonts w:hint="eastAsia" w:eastAsia="仿宋_GB2312"/>
          <w:color w:val="000000" w:themeColor="text1"/>
          <w:kern w:val="0"/>
          <w:sz w:val="32"/>
          <w:szCs w:val="32"/>
          <w:highlight w:val="none"/>
          <w14:textFill>
            <w14:solidFill>
              <w14:schemeClr w14:val="tx1"/>
            </w14:solidFill>
          </w14:textFill>
        </w:rPr>
        <w:t>(2022年修订版):国家药监局器审中心通告2022年第9号</w:t>
      </w:r>
      <w:r>
        <w:rPr>
          <w:rFonts w:eastAsia="仿宋_GB2312"/>
          <w:color w:val="000000" w:themeColor="text1"/>
          <w:sz w:val="32"/>
          <w:szCs w:val="32"/>
          <w:highlight w:val="none"/>
          <w14:textFill>
            <w14:solidFill>
              <w14:schemeClr w14:val="tx1"/>
            </w14:solidFill>
          </w14:textFill>
        </w:rPr>
        <w:t>[Z].</w:t>
      </w:r>
    </w:p>
    <w:p w14:paraId="345EA2E8">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13</w:t>
      </w:r>
      <w:r>
        <w:rPr>
          <w:rFonts w:eastAsia="仿宋_GB2312"/>
          <w:color w:val="000000" w:themeColor="text1"/>
          <w:sz w:val="32"/>
          <w:szCs w:val="32"/>
          <w:highlight w:val="none"/>
          <w14:textFill>
            <w14:solidFill>
              <w14:schemeClr w14:val="tx1"/>
            </w14:solidFill>
          </w14:textFill>
        </w:rPr>
        <w:t>]国家药品监督管理局医疗器械审评中心.医疗器械网络安全注册审查指导原则（2022年修订版）:国家药监局器审中心通告2022年第7号[Z].</w:t>
      </w:r>
    </w:p>
    <w:p w14:paraId="749330D1">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[14]国家药品监督管理局医疗器械审评中心. 医疗器械可用性工程注册审查指导原则: 国家药监局器审中心通告2024年第13号[Z].</w:t>
      </w:r>
    </w:p>
    <w:p w14:paraId="24D76C14">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15</w:t>
      </w:r>
      <w:r>
        <w:rPr>
          <w:rFonts w:eastAsia="仿宋_GB2312"/>
          <w:bCs/>
          <w:color w:val="000000" w:themeColor="text1"/>
          <w:sz w:val="32"/>
          <w:szCs w:val="32"/>
          <w:highlight w:val="none"/>
          <w14:textFill>
            <w14:solidFill>
              <w14:schemeClr w14:val="tx1"/>
            </w14:solidFill>
          </w14:textFill>
        </w:rPr>
        <w:t>]国家药品监督管理局.医疗器械临床评价技术指导原则:国家药监局通告2021年第73号[Z].</w:t>
      </w:r>
    </w:p>
    <w:p w14:paraId="224F6361">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16</w:t>
      </w:r>
      <w:r>
        <w:rPr>
          <w:rFonts w:eastAsia="仿宋_GB2312"/>
          <w:bCs/>
          <w:color w:val="000000" w:themeColor="text1"/>
          <w:sz w:val="32"/>
          <w:szCs w:val="32"/>
          <w:highlight w:val="none"/>
          <w14:textFill>
            <w14:solidFill>
              <w14:schemeClr w14:val="tx1"/>
            </w14:solidFill>
          </w14:textFill>
        </w:rPr>
        <w:t>]国家药品监督管理局.医疗器械临床评价等同性论证技术指导原则:国家药监局通告2021年第73号[Z].</w:t>
      </w:r>
    </w:p>
    <w:p w14:paraId="12A8273C">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17</w:t>
      </w:r>
      <w:r>
        <w:rPr>
          <w:rFonts w:eastAsia="仿宋_GB2312"/>
          <w:bCs/>
          <w:color w:val="000000" w:themeColor="text1"/>
          <w:sz w:val="32"/>
          <w:szCs w:val="32"/>
          <w:highlight w:val="none"/>
          <w14:textFill>
            <w14:solidFill>
              <w14:schemeClr w14:val="tx1"/>
            </w14:solidFill>
          </w14:textFill>
        </w:rPr>
        <w:t>]国家药品监督管理局.医疗器械注册申报临床评价报告技术指导原则:国家药监局通告2021年第73号[Z].</w:t>
      </w:r>
    </w:p>
    <w:p w14:paraId="1750EF1E">
      <w:pPr>
        <w:spacing w:line="520" w:lineRule="exact"/>
        <w:ind w:right="-67" w:rightChars="-32"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[18]国家食品药品监督管理总局.医疗器械说明书和标签管理规定: 国家食品药品监督管理总局令第6号[Z]</w:t>
      </w:r>
    </w:p>
    <w:p w14:paraId="1A8C8622">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[1</w:t>
      </w:r>
      <w:r>
        <w:rPr>
          <w:rFonts w:hint="eastAsia" w:eastAsia="仿宋_GB2312"/>
          <w:bCs/>
          <w:color w:val="000000" w:themeColor="text1"/>
          <w:sz w:val="32"/>
          <w:szCs w:val="32"/>
          <w:highlight w:val="none"/>
          <w14:textFill>
            <w14:solidFill>
              <w14:schemeClr w14:val="tx1"/>
            </w14:solidFill>
          </w14:textFill>
        </w:rPr>
        <w:t>9</w:t>
      </w:r>
      <w:r>
        <w:rPr>
          <w:rFonts w:eastAsia="仿宋_GB2312"/>
          <w:bCs/>
          <w:color w:val="000000" w:themeColor="text1"/>
          <w:sz w:val="32"/>
          <w:szCs w:val="32"/>
          <w:highlight w:val="none"/>
          <w14:textFill>
            <w14:solidFill>
              <w14:schemeClr w14:val="tx1"/>
            </w14:solidFill>
          </w14:textFill>
        </w:rPr>
        <w:t>]GB 9706.1-2020,医用电气设备 第1部分：基本安全和基本性能的通用要求[S].</w:t>
      </w:r>
    </w:p>
    <w:p w14:paraId="29249625">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20</w:t>
      </w:r>
      <w:r>
        <w:rPr>
          <w:rFonts w:eastAsia="仿宋_GB2312"/>
          <w:bCs/>
          <w:color w:val="000000" w:themeColor="text1"/>
          <w:sz w:val="32"/>
          <w:szCs w:val="32"/>
          <w:highlight w:val="none"/>
          <w14:textFill>
            <w14:solidFill>
              <w14:schemeClr w14:val="tx1"/>
            </w14:solidFill>
          </w14:textFill>
        </w:rPr>
        <w:t>]GB/T 14710—200</w:t>
      </w:r>
      <w:r>
        <w:rPr>
          <w:rFonts w:hint="eastAsia" w:eastAsia="仿宋_GB2312"/>
          <w:bCs/>
          <w:color w:val="000000" w:themeColor="text1"/>
          <w:sz w:val="32"/>
          <w:szCs w:val="32"/>
          <w:highlight w:val="none"/>
          <w14:textFill>
            <w14:solidFill>
              <w14:schemeClr w14:val="tx1"/>
            </w14:solidFill>
          </w14:textFill>
        </w:rPr>
        <w:t>9</w:t>
      </w:r>
      <w:r>
        <w:rPr>
          <w:rFonts w:eastAsia="仿宋_GB2312"/>
          <w:bCs/>
          <w:color w:val="000000" w:themeColor="text1"/>
          <w:sz w:val="32"/>
          <w:szCs w:val="32"/>
          <w:highlight w:val="none"/>
          <w14:textFill>
            <w14:solidFill>
              <w14:schemeClr w14:val="tx1"/>
            </w14:solidFill>
          </w14:textFill>
        </w:rPr>
        <w:t>,医用电器环境要求及试验方法[S].</w:t>
      </w:r>
    </w:p>
    <w:p w14:paraId="611FEA51">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21</w:t>
      </w:r>
      <w:r>
        <w:rPr>
          <w:rFonts w:eastAsia="仿宋_GB2312"/>
          <w:bCs/>
          <w:color w:val="000000" w:themeColor="text1"/>
          <w:sz w:val="32"/>
          <w:szCs w:val="32"/>
          <w:highlight w:val="none"/>
          <w14:textFill>
            <w14:solidFill>
              <w14:schemeClr w14:val="tx1"/>
            </w14:solidFill>
          </w14:textFill>
        </w:rPr>
        <w:t>]GB/T 42062-2022,医疗器械 风险管理对医疗器械的应用[S].</w:t>
      </w:r>
    </w:p>
    <w:p w14:paraId="038F6332">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22</w:t>
      </w:r>
      <w:r>
        <w:rPr>
          <w:rFonts w:eastAsia="仿宋_GB2312"/>
          <w:color w:val="000000" w:themeColor="text1"/>
          <w:sz w:val="32"/>
          <w:szCs w:val="32"/>
          <w:highlight w:val="none"/>
          <w14:textFill>
            <w14:solidFill>
              <w14:schemeClr w14:val="tx1"/>
            </w14:solidFill>
          </w14:textFill>
        </w:rPr>
        <w:t>]YY/T 1437-2023,医疗器械 GB/T 42062医用指南[S].</w:t>
      </w:r>
    </w:p>
    <w:p w14:paraId="798636DC">
      <w:pPr>
        <w:spacing w:line="520" w:lineRule="exact"/>
        <w:ind w:firstLine="640" w:firstLineChars="200"/>
        <w:rPr>
          <w:rFonts w:eastAsia="仿宋_GB2312"/>
          <w:bCs/>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23</w:t>
      </w:r>
      <w:r>
        <w:rPr>
          <w:rFonts w:eastAsia="仿宋_GB2312"/>
          <w:bCs/>
          <w:color w:val="000000" w:themeColor="text1"/>
          <w:sz w:val="32"/>
          <w:szCs w:val="32"/>
          <w:highlight w:val="none"/>
          <w14:textFill>
            <w14:solidFill>
              <w14:schemeClr w14:val="tx1"/>
            </w14:solidFill>
          </w14:textFill>
        </w:rPr>
        <w:t>]YY 9706.102-2021,医用电气设备 第1-2部分：基本安全和基本性能的通用要求 并列标准：电磁兼容 要求和试验[S].</w:t>
      </w:r>
    </w:p>
    <w:p w14:paraId="1C206857">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bCs/>
          <w:color w:val="000000" w:themeColor="text1"/>
          <w:sz w:val="32"/>
          <w:szCs w:val="32"/>
          <w:highlight w:val="none"/>
          <w14:textFill>
            <w14:solidFill>
              <w14:schemeClr w14:val="tx1"/>
            </w14:solidFill>
          </w14:textFill>
        </w:rPr>
        <w:t>[</w:t>
      </w:r>
      <w:r>
        <w:rPr>
          <w:rFonts w:hint="eastAsia" w:eastAsia="仿宋_GB2312"/>
          <w:bCs/>
          <w:color w:val="000000" w:themeColor="text1"/>
          <w:sz w:val="32"/>
          <w:szCs w:val="32"/>
          <w:highlight w:val="none"/>
          <w14:textFill>
            <w14:solidFill>
              <w14:schemeClr w14:val="tx1"/>
            </w14:solidFill>
          </w14:textFill>
        </w:rPr>
        <w:t>24</w:t>
      </w:r>
      <w:r>
        <w:rPr>
          <w:rFonts w:eastAsia="仿宋_GB2312"/>
          <w:bCs/>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YY 9706.111-2021,医用电气设备 第1-11部分：基本安全和基本性能的通用要求 并列标准 在家庭护理环境中使用的医用电气设备和医用电气系统的要求</w:t>
      </w:r>
      <w:r>
        <w:rPr>
          <w:rFonts w:eastAsia="仿宋_GB2312"/>
          <w:bCs/>
          <w:color w:val="000000" w:themeColor="text1"/>
          <w:sz w:val="32"/>
          <w:szCs w:val="32"/>
          <w:highlight w:val="none"/>
          <w14:textFill>
            <w14:solidFill>
              <w14:schemeClr w14:val="tx1"/>
            </w14:solidFill>
          </w14:textFill>
        </w:rPr>
        <w:t>[S].</w:t>
      </w:r>
    </w:p>
    <w:p w14:paraId="405D2D8D">
      <w:pPr>
        <w:spacing w:line="520" w:lineRule="exact"/>
        <w:ind w:firstLine="640" w:firstLineChars="200"/>
        <w:rPr>
          <w:color w:val="000000" w:themeColor="text1"/>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[25]</w:t>
      </w:r>
      <w:r>
        <w:rPr>
          <w:rFonts w:eastAsia="仿宋_GB2312"/>
          <w:color w:val="000000" w:themeColor="text1"/>
          <w:sz w:val="32"/>
          <w:szCs w:val="32"/>
          <w:highlight w:val="none"/>
          <w14:textFill>
            <w14:solidFill>
              <w14:schemeClr w14:val="tx1"/>
            </w14:solidFill>
          </w14:textFill>
        </w:rPr>
        <w:t>YY/T 0466.1-2023</w:t>
      </w:r>
      <w:r>
        <w:rPr>
          <w:rFonts w:hint="eastAsia" w:eastAsia="仿宋_GB2312"/>
          <w:color w:val="000000" w:themeColor="text1"/>
          <w:kern w:val="0"/>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医疗器械　用于制造商提供信息的符号　第1部分：通用要求</w:t>
      </w:r>
      <w:r>
        <w:rPr>
          <w:rFonts w:hint="eastAsia" w:eastAsia="仿宋_GB2312"/>
          <w:color w:val="000000" w:themeColor="text1"/>
          <w:sz w:val="32"/>
          <w:szCs w:val="32"/>
          <w:highlight w:val="none"/>
          <w14:textFill>
            <w14:solidFill>
              <w14:schemeClr w14:val="tx1"/>
            </w14:solidFill>
          </w14:textFill>
        </w:rPr>
        <w:t>[S].</w:t>
      </w:r>
    </w:p>
    <w:p w14:paraId="72BB9D74">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26</w:t>
      </w:r>
      <w:r>
        <w:rPr>
          <w:rFonts w:eastAsia="仿宋_GB2312"/>
          <w:color w:val="000000" w:themeColor="text1"/>
          <w:sz w:val="32"/>
          <w:szCs w:val="32"/>
          <w:highlight w:val="none"/>
          <w14:textFill>
            <w14:solidFill>
              <w14:schemeClr w14:val="tx1"/>
            </w14:solidFill>
          </w14:textFill>
        </w:rPr>
        <w:t>]WS/T 367-2012,医疗机构消毒技术规范[S].</w:t>
      </w:r>
    </w:p>
    <w:p w14:paraId="34D0245F">
      <w:pPr>
        <w:widowControl/>
        <w:jc w:val="left"/>
        <w:rPr>
          <w:rFonts w:eastAsia="黑体"/>
          <w:bCs/>
          <w:color w:val="000000" w:themeColor="text1"/>
          <w:kern w:val="0"/>
          <w:sz w:val="32"/>
          <w:szCs w:val="32"/>
          <w:highlight w:val="none"/>
          <w14:textFill>
            <w14:solidFill>
              <w14:schemeClr w14:val="tx1"/>
            </w14:solidFill>
          </w14:textFill>
        </w:rPr>
      </w:pPr>
      <w:r>
        <w:rPr>
          <w:rFonts w:eastAsia="黑体"/>
          <w:bCs/>
          <w:color w:val="000000" w:themeColor="text1"/>
          <w:sz w:val="32"/>
          <w:szCs w:val="32"/>
          <w:highlight w:val="none"/>
          <w14:textFill>
            <w14:solidFill>
              <w14:schemeClr w14:val="tx1"/>
            </w14:solidFill>
          </w14:textFill>
        </w:rPr>
        <w:br w:type="page"/>
      </w:r>
    </w:p>
    <w:p w14:paraId="3359DA0F">
      <w:pPr>
        <w:spacing w:line="520" w:lineRule="exact"/>
        <w:rPr>
          <w:rFonts w:eastAsia="黑体"/>
          <w:color w:val="000000" w:themeColor="text1"/>
          <w:sz w:val="32"/>
          <w:szCs w:val="28"/>
          <w:highlight w:val="none"/>
          <w14:textFill>
            <w14:solidFill>
              <w14:schemeClr w14:val="tx1"/>
            </w14:solidFill>
          </w14:textFill>
        </w:rPr>
      </w:pPr>
      <w:r>
        <w:rPr>
          <w:rFonts w:eastAsia="黑体"/>
          <w:color w:val="000000" w:themeColor="text1"/>
          <w:sz w:val="32"/>
          <w:szCs w:val="28"/>
          <w:highlight w:val="none"/>
          <w14:textFill>
            <w14:solidFill>
              <w14:schemeClr w14:val="tx1"/>
            </w14:solidFill>
          </w14:textFill>
        </w:rPr>
        <w:t>附表1</w:t>
      </w:r>
    </w:p>
    <w:p w14:paraId="6E94C143">
      <w:pPr>
        <w:pStyle w:val="21"/>
        <w:spacing w:line="520" w:lineRule="exact"/>
        <w:rPr>
          <w:rFonts w:ascii="Times New Roman" w:hAnsi="Times New Roman"/>
          <w:color w:val="000000" w:themeColor="text1"/>
          <w:highlight w:val="none"/>
          <w14:textFill>
            <w14:solidFill>
              <w14:schemeClr w14:val="tx1"/>
            </w14:solidFill>
          </w14:textFill>
        </w:rPr>
      </w:pPr>
    </w:p>
    <w:p w14:paraId="297E1CB9">
      <w:pPr>
        <w:spacing w:line="520" w:lineRule="exact"/>
        <w:jc w:val="center"/>
        <w:rPr>
          <w:rFonts w:eastAsia="方正小标宋简体"/>
          <w:bCs/>
          <w:snapToGrid w:val="0"/>
          <w:color w:val="000000" w:themeColor="text1"/>
          <w:sz w:val="44"/>
          <w:szCs w:val="44"/>
          <w:highlight w:val="none"/>
          <w:lang w:val="zh-CN"/>
          <w14:textFill>
            <w14:solidFill>
              <w14:schemeClr w14:val="tx1"/>
            </w14:solidFill>
          </w14:textFill>
        </w:rPr>
      </w:pPr>
      <w:r>
        <w:rPr>
          <w:rFonts w:eastAsia="方正小标宋简体"/>
          <w:bCs/>
          <w:snapToGrid w:val="0"/>
          <w:color w:val="000000" w:themeColor="text1"/>
          <w:sz w:val="44"/>
          <w:szCs w:val="44"/>
          <w:highlight w:val="none"/>
          <w:lang w:val="zh-CN"/>
          <w14:textFill>
            <w14:solidFill>
              <w14:schemeClr w14:val="tx1"/>
            </w14:solidFill>
          </w14:textFill>
        </w:rPr>
        <w:t>对申报产品的可能危险作出判定</w:t>
      </w:r>
    </w:p>
    <w:p w14:paraId="5611B13F">
      <w:pPr>
        <w:pStyle w:val="21"/>
        <w:spacing w:line="520" w:lineRule="exact"/>
        <w:rPr>
          <w:rFonts w:ascii="Times New Roman" w:hAnsi="Times New Roman"/>
          <w:color w:val="000000" w:themeColor="text1"/>
          <w:highlight w:val="none"/>
          <w:lang w:val="zh-CN"/>
          <w14:textFill>
            <w14:solidFill>
              <w14:schemeClr w14:val="tx1"/>
            </w14:solidFill>
          </w14:textFill>
        </w:rPr>
      </w:pPr>
    </w:p>
    <w:p w14:paraId="1DFD379D">
      <w:pPr>
        <w:spacing w:line="520" w:lineRule="exact"/>
        <w:ind w:left="-86" w:leftChars="-41" w:right="-126" w:rightChars="-60"/>
        <w:jc w:val="center"/>
        <w:rPr>
          <w:rFonts w:eastAsia="黑体"/>
          <w:bCs/>
          <w:color w:val="000000" w:themeColor="text1"/>
          <w:spacing w:val="-8"/>
          <w:sz w:val="28"/>
          <w:szCs w:val="28"/>
          <w:highlight w:val="none"/>
          <w14:textFill>
            <w14:solidFill>
              <w14:schemeClr w14:val="tx1"/>
            </w14:solidFill>
          </w14:textFill>
        </w:rPr>
      </w:pPr>
      <w:r>
        <w:rPr>
          <w:rFonts w:eastAsia="黑体"/>
          <w:bCs/>
          <w:color w:val="000000" w:themeColor="text1"/>
          <w:spacing w:val="-8"/>
          <w:sz w:val="32"/>
          <w:szCs w:val="28"/>
          <w:highlight w:val="none"/>
          <w:lang w:val="zh-CN"/>
          <w14:textFill>
            <w14:solidFill>
              <w14:schemeClr w14:val="tx1"/>
            </w14:solidFill>
          </w14:textFill>
        </w:rPr>
        <w:t>危险、可预见的事件序列、危险情况和可能发生的伤害之间的关系</w:t>
      </w:r>
    </w:p>
    <w:tbl>
      <w:tblPr>
        <w:tblStyle w:val="14"/>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904"/>
        <w:gridCol w:w="2624"/>
        <w:gridCol w:w="2450"/>
      </w:tblGrid>
      <w:tr w14:paraId="5B08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50" w:type="dxa"/>
          </w:tcPr>
          <w:p w14:paraId="6EF62E07">
            <w:pPr>
              <w:spacing w:line="400" w:lineRule="exact"/>
              <w:jc w:val="center"/>
              <w:rPr>
                <w:rFonts w:eastAsia="黑体"/>
                <w:color w:val="000000" w:themeColor="text1"/>
                <w:sz w:val="28"/>
                <w:szCs w:val="28"/>
                <w:highlight w:val="none"/>
                <w14:textFill>
                  <w14:solidFill>
                    <w14:schemeClr w14:val="tx1"/>
                  </w14:solidFill>
                </w14:textFill>
              </w:rPr>
            </w:pPr>
            <w:r>
              <w:rPr>
                <w:rFonts w:eastAsia="黑体"/>
                <w:color w:val="000000" w:themeColor="text1"/>
                <w:sz w:val="28"/>
                <w:szCs w:val="28"/>
                <w:highlight w:val="none"/>
                <w14:textFill>
                  <w14:solidFill>
                    <w14:schemeClr w14:val="tx1"/>
                  </w14:solidFill>
                </w14:textFill>
              </w:rPr>
              <w:t>危险</w:t>
            </w:r>
          </w:p>
        </w:tc>
        <w:tc>
          <w:tcPr>
            <w:tcW w:w="2904" w:type="dxa"/>
          </w:tcPr>
          <w:p w14:paraId="2AEAC7FE">
            <w:pPr>
              <w:spacing w:line="400" w:lineRule="exact"/>
              <w:ind w:left="-86" w:leftChars="-41" w:right="-126" w:rightChars="-60"/>
              <w:jc w:val="center"/>
              <w:rPr>
                <w:rFonts w:eastAsia="黑体"/>
                <w:color w:val="000000" w:themeColor="text1"/>
                <w:sz w:val="28"/>
                <w:szCs w:val="28"/>
                <w:highlight w:val="none"/>
                <w14:textFill>
                  <w14:solidFill>
                    <w14:schemeClr w14:val="tx1"/>
                  </w14:solidFill>
                </w14:textFill>
              </w:rPr>
            </w:pPr>
            <w:r>
              <w:rPr>
                <w:rFonts w:eastAsia="黑体"/>
                <w:color w:val="000000" w:themeColor="text1"/>
                <w:sz w:val="28"/>
                <w:szCs w:val="28"/>
                <w:highlight w:val="none"/>
                <w14:textFill>
                  <w14:solidFill>
                    <w14:schemeClr w14:val="tx1"/>
                  </w14:solidFill>
                </w14:textFill>
              </w:rPr>
              <w:t>可预见的事件序列</w:t>
            </w:r>
          </w:p>
        </w:tc>
        <w:tc>
          <w:tcPr>
            <w:tcW w:w="2624" w:type="dxa"/>
          </w:tcPr>
          <w:p w14:paraId="4BDDC09B">
            <w:pPr>
              <w:spacing w:line="400" w:lineRule="exact"/>
              <w:jc w:val="center"/>
              <w:rPr>
                <w:rFonts w:eastAsia="黑体"/>
                <w:color w:val="000000" w:themeColor="text1"/>
                <w:sz w:val="28"/>
                <w:szCs w:val="28"/>
                <w:highlight w:val="none"/>
                <w14:textFill>
                  <w14:solidFill>
                    <w14:schemeClr w14:val="tx1"/>
                  </w14:solidFill>
                </w14:textFill>
              </w:rPr>
            </w:pPr>
            <w:r>
              <w:rPr>
                <w:rFonts w:eastAsia="黑体"/>
                <w:color w:val="000000" w:themeColor="text1"/>
                <w:sz w:val="28"/>
                <w:szCs w:val="28"/>
                <w:highlight w:val="none"/>
                <w14:textFill>
                  <w14:solidFill>
                    <w14:schemeClr w14:val="tx1"/>
                  </w14:solidFill>
                </w14:textFill>
              </w:rPr>
              <w:t>危险情况</w:t>
            </w:r>
          </w:p>
        </w:tc>
        <w:tc>
          <w:tcPr>
            <w:tcW w:w="2450" w:type="dxa"/>
          </w:tcPr>
          <w:p w14:paraId="40950A9D">
            <w:pPr>
              <w:spacing w:line="400" w:lineRule="exact"/>
              <w:jc w:val="center"/>
              <w:rPr>
                <w:rFonts w:eastAsia="黑体"/>
                <w:color w:val="000000" w:themeColor="text1"/>
                <w:sz w:val="28"/>
                <w:szCs w:val="28"/>
                <w:highlight w:val="none"/>
                <w14:textFill>
                  <w14:solidFill>
                    <w14:schemeClr w14:val="tx1"/>
                  </w14:solidFill>
                </w14:textFill>
              </w:rPr>
            </w:pPr>
            <w:r>
              <w:rPr>
                <w:rFonts w:eastAsia="黑体"/>
                <w:color w:val="000000" w:themeColor="text1"/>
                <w:sz w:val="28"/>
                <w:szCs w:val="28"/>
                <w:highlight w:val="none"/>
                <w14:textFill>
                  <w14:solidFill>
                    <w14:schemeClr w14:val="tx1"/>
                  </w14:solidFill>
                </w14:textFill>
              </w:rPr>
              <w:t>伤害</w:t>
            </w:r>
          </w:p>
        </w:tc>
      </w:tr>
      <w:tr w14:paraId="37F9D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50" w:type="dxa"/>
            <w:vMerge w:val="restart"/>
            <w:vAlign w:val="center"/>
          </w:tcPr>
          <w:p w14:paraId="4C231652">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电磁能量</w:t>
            </w:r>
          </w:p>
        </w:tc>
        <w:tc>
          <w:tcPr>
            <w:tcW w:w="2904" w:type="dxa"/>
            <w:vMerge w:val="restart"/>
            <w:vAlign w:val="center"/>
          </w:tcPr>
          <w:p w14:paraId="5D1FBF03">
            <w:pPr>
              <w:spacing w:line="400" w:lineRule="exact"/>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在强电磁辐射源附近使用电子峰速仪测量，干扰程序运行，测量错误、结果误差过大</w:t>
            </w:r>
          </w:p>
        </w:tc>
        <w:tc>
          <w:tcPr>
            <w:tcW w:w="2624" w:type="dxa"/>
            <w:vAlign w:val="center"/>
          </w:tcPr>
          <w:p w14:paraId="56CD8ED1">
            <w:pPr>
              <w:spacing w:line="400" w:lineRule="exact"/>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依据过高读数判断病情好转，擅自减少用药剂量</w:t>
            </w:r>
          </w:p>
        </w:tc>
        <w:tc>
          <w:tcPr>
            <w:tcW w:w="2450" w:type="dxa"/>
            <w:vAlign w:val="center"/>
          </w:tcPr>
          <w:p w14:paraId="36C8A9A4">
            <w:pPr>
              <w:spacing w:line="400" w:lineRule="exact"/>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气道阻塞加重，哮喘/慢阻肺急性发作，严重时呼吸困难</w:t>
            </w:r>
          </w:p>
        </w:tc>
      </w:tr>
      <w:tr w14:paraId="4D5E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50" w:type="dxa"/>
            <w:vMerge w:val="continue"/>
            <w:vAlign w:val="center"/>
          </w:tcPr>
          <w:p w14:paraId="009011ED">
            <w:pPr>
              <w:spacing w:line="400" w:lineRule="exact"/>
              <w:rPr>
                <w:rFonts w:eastAsia="仿宋_GB2312"/>
                <w:color w:val="000000" w:themeColor="text1"/>
                <w:sz w:val="28"/>
                <w:szCs w:val="28"/>
                <w:highlight w:val="none"/>
                <w14:textFill>
                  <w14:solidFill>
                    <w14:schemeClr w14:val="tx1"/>
                  </w14:solidFill>
                </w14:textFill>
              </w:rPr>
            </w:pPr>
          </w:p>
        </w:tc>
        <w:tc>
          <w:tcPr>
            <w:tcW w:w="2904" w:type="dxa"/>
            <w:vMerge w:val="continue"/>
            <w:vAlign w:val="center"/>
          </w:tcPr>
          <w:p w14:paraId="45A4F33D">
            <w:pPr>
              <w:spacing w:line="400" w:lineRule="exact"/>
              <w:rPr>
                <w:rFonts w:eastAsia="仿宋_GB2312"/>
                <w:color w:val="000000" w:themeColor="text1"/>
                <w:sz w:val="28"/>
                <w:szCs w:val="28"/>
                <w:highlight w:val="none"/>
                <w14:textFill>
                  <w14:solidFill>
                    <w14:schemeClr w14:val="tx1"/>
                  </w14:solidFill>
                </w14:textFill>
              </w:rPr>
            </w:pPr>
          </w:p>
        </w:tc>
        <w:tc>
          <w:tcPr>
            <w:tcW w:w="2624" w:type="dxa"/>
            <w:vAlign w:val="center"/>
          </w:tcPr>
          <w:p w14:paraId="45F3BA40">
            <w:pPr>
              <w:spacing w:line="400" w:lineRule="exact"/>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依据过低读数判断病情恶化，擅自增加用药剂量</w:t>
            </w:r>
          </w:p>
        </w:tc>
        <w:tc>
          <w:tcPr>
            <w:tcW w:w="2450" w:type="dxa"/>
            <w:vAlign w:val="center"/>
          </w:tcPr>
          <w:p w14:paraId="371662BD">
            <w:pPr>
              <w:spacing w:line="400" w:lineRule="exact"/>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药物过量，引发心悸、手抖等不良反应，严重时损伤脏器</w:t>
            </w:r>
          </w:p>
        </w:tc>
      </w:tr>
      <w:tr w14:paraId="7A72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950" w:type="dxa"/>
            <w:vMerge w:val="continue"/>
            <w:vAlign w:val="center"/>
          </w:tcPr>
          <w:p w14:paraId="50E5225F">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p>
        </w:tc>
        <w:tc>
          <w:tcPr>
            <w:tcW w:w="2904" w:type="dxa"/>
            <w:vAlign w:val="center"/>
          </w:tcPr>
          <w:p w14:paraId="057EBC3E">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电源线中有浪涌能量</w:t>
            </w:r>
          </w:p>
        </w:tc>
        <w:tc>
          <w:tcPr>
            <w:tcW w:w="2624" w:type="dxa"/>
            <w:vAlign w:val="center"/>
          </w:tcPr>
          <w:p w14:paraId="7A33913A">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电子峰速仪设备故障、寿命缩短</w:t>
            </w:r>
          </w:p>
        </w:tc>
        <w:tc>
          <w:tcPr>
            <w:tcW w:w="2450" w:type="dxa"/>
            <w:vAlign w:val="center"/>
          </w:tcPr>
          <w:p w14:paraId="64AAF881">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设备无法及时使用，延误病情监测</w:t>
            </w:r>
          </w:p>
        </w:tc>
      </w:tr>
      <w:tr w14:paraId="629D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950" w:type="dxa"/>
            <w:vMerge w:val="continue"/>
            <w:vAlign w:val="center"/>
          </w:tcPr>
          <w:p w14:paraId="51FE781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p>
        </w:tc>
        <w:tc>
          <w:tcPr>
            <w:tcW w:w="2904" w:type="dxa"/>
            <w:vAlign w:val="center"/>
          </w:tcPr>
          <w:p w14:paraId="36BCEE7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静电放电</w:t>
            </w:r>
          </w:p>
        </w:tc>
        <w:tc>
          <w:tcPr>
            <w:tcW w:w="2624" w:type="dxa"/>
            <w:vAlign w:val="center"/>
          </w:tcPr>
          <w:p w14:paraId="2C95DF69">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干扰电子峰速仪程序运行</w:t>
            </w:r>
          </w:p>
        </w:tc>
        <w:tc>
          <w:tcPr>
            <w:tcW w:w="2450" w:type="dxa"/>
            <w:vAlign w:val="center"/>
          </w:tcPr>
          <w:p w14:paraId="24B4306F">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测量结果误差过大、存储数据擦除，无法准确评估气道状况</w:t>
            </w:r>
          </w:p>
        </w:tc>
      </w:tr>
      <w:tr w14:paraId="0CC3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588E1AE4">
            <w:pPr>
              <w:spacing w:line="400" w:lineRule="exact"/>
              <w:ind w:left="-69" w:leftChars="-33" w:right="-126" w:rightChars="-60"/>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漏电流</w:t>
            </w:r>
          </w:p>
        </w:tc>
        <w:tc>
          <w:tcPr>
            <w:tcW w:w="2904" w:type="dxa"/>
            <w:vAlign w:val="center"/>
          </w:tcPr>
          <w:p w14:paraId="25070570">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电子峰速仪配用漏电流超标的电源适配器/充电线</w:t>
            </w:r>
          </w:p>
        </w:tc>
        <w:tc>
          <w:tcPr>
            <w:tcW w:w="2624" w:type="dxa"/>
            <w:vAlign w:val="center"/>
          </w:tcPr>
          <w:p w14:paraId="277E87D3">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使用者、患者接触适配器插头、设备充电口</w:t>
            </w:r>
          </w:p>
        </w:tc>
        <w:tc>
          <w:tcPr>
            <w:tcW w:w="2450" w:type="dxa"/>
            <w:vAlign w:val="center"/>
          </w:tcPr>
          <w:p w14:paraId="36D10DDA">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灼伤、触电，严重时危及生命</w:t>
            </w:r>
          </w:p>
        </w:tc>
      </w:tr>
      <w:tr w14:paraId="0415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02EE85A8">
            <w:pPr>
              <w:spacing w:line="400" w:lineRule="exact"/>
              <w:ind w:left="-69" w:leftChars="-33" w:right="-126" w:rightChars="-60"/>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热能</w:t>
            </w:r>
          </w:p>
        </w:tc>
        <w:tc>
          <w:tcPr>
            <w:tcW w:w="2904" w:type="dxa"/>
            <w:vAlign w:val="center"/>
          </w:tcPr>
          <w:p w14:paraId="4B864BC2">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电子峰速仪使用负载能力较差的电源适配器，或充电时间过长</w:t>
            </w:r>
          </w:p>
        </w:tc>
        <w:tc>
          <w:tcPr>
            <w:tcW w:w="2624" w:type="dxa"/>
            <w:vAlign w:val="center"/>
          </w:tcPr>
          <w:p w14:paraId="4777419D">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适配器/设备电池过热、鼓包</w:t>
            </w:r>
          </w:p>
        </w:tc>
        <w:tc>
          <w:tcPr>
            <w:tcW w:w="2450" w:type="dxa"/>
            <w:vAlign w:val="center"/>
          </w:tcPr>
          <w:p w14:paraId="13257E2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烫伤，严重时起火、电池爆炸</w:t>
            </w:r>
          </w:p>
        </w:tc>
      </w:tr>
      <w:tr w14:paraId="2CE4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Merge w:val="restart"/>
            <w:vAlign w:val="center"/>
          </w:tcPr>
          <w:p w14:paraId="36E9BDA4">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机械能</w:t>
            </w:r>
          </w:p>
        </w:tc>
        <w:tc>
          <w:tcPr>
            <w:tcW w:w="2904" w:type="dxa"/>
            <w:vAlign w:val="center"/>
          </w:tcPr>
          <w:p w14:paraId="10313C9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电子</w:t>
            </w:r>
            <w:r>
              <w:rPr>
                <w:rFonts w:eastAsia="仿宋_GB2312"/>
                <w:color w:val="000000" w:themeColor="text1"/>
                <w:sz w:val="28"/>
                <w:szCs w:val="28"/>
                <w:highlight w:val="none"/>
                <w14:textFill>
                  <w14:solidFill>
                    <w14:schemeClr w14:val="tx1"/>
                  </w14:solidFill>
                </w14:textFill>
              </w:rPr>
              <w:t>峰速仪意外坠落、受到撞击</w:t>
            </w:r>
          </w:p>
        </w:tc>
        <w:tc>
          <w:tcPr>
            <w:tcW w:w="2624" w:type="dxa"/>
            <w:vAlign w:val="center"/>
          </w:tcPr>
          <w:p w14:paraId="7FAEA639">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屏幕碎裂、传感模块松动</w:t>
            </w:r>
          </w:p>
        </w:tc>
        <w:tc>
          <w:tcPr>
            <w:tcW w:w="2450" w:type="dxa"/>
            <w:vAlign w:val="center"/>
          </w:tcPr>
          <w:p w14:paraId="568ED129">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无法测量或测量误差过大，数据无法读取，延误病情监测与治疗</w:t>
            </w:r>
          </w:p>
        </w:tc>
      </w:tr>
      <w:tr w14:paraId="6AD7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Merge w:val="continue"/>
            <w:vAlign w:val="center"/>
          </w:tcPr>
          <w:p w14:paraId="4AFA7030">
            <w:pPr>
              <w:spacing w:line="400" w:lineRule="exact"/>
              <w:jc w:val="center"/>
              <w:rPr>
                <w:rFonts w:eastAsia="仿宋_GB2312"/>
                <w:color w:val="000000" w:themeColor="text1"/>
                <w:sz w:val="28"/>
                <w:szCs w:val="28"/>
                <w:highlight w:val="none"/>
                <w14:textFill>
                  <w14:solidFill>
                    <w14:schemeClr w14:val="tx1"/>
                  </w14:solidFill>
                </w14:textFill>
              </w:rPr>
            </w:pPr>
          </w:p>
        </w:tc>
        <w:tc>
          <w:tcPr>
            <w:tcW w:w="2904" w:type="dxa"/>
            <w:vAlign w:val="center"/>
          </w:tcPr>
          <w:p w14:paraId="0991C8F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儿童误将峰速仪咬嘴、小配件放入口中</w:t>
            </w:r>
          </w:p>
        </w:tc>
        <w:tc>
          <w:tcPr>
            <w:tcW w:w="2624" w:type="dxa"/>
            <w:vAlign w:val="center"/>
          </w:tcPr>
          <w:p w14:paraId="2CE54222">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配件堵塞气道</w:t>
            </w:r>
          </w:p>
        </w:tc>
        <w:tc>
          <w:tcPr>
            <w:tcW w:w="2450" w:type="dxa"/>
            <w:vAlign w:val="center"/>
          </w:tcPr>
          <w:p w14:paraId="4A25D3F6">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呛咳、窒息，严重时危及生命</w:t>
            </w:r>
          </w:p>
        </w:tc>
      </w:tr>
      <w:tr w14:paraId="723E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Merge w:val="continue"/>
            <w:vAlign w:val="center"/>
          </w:tcPr>
          <w:p w14:paraId="0E354453">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41F66C76">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外壳边缘破损、有尖锐毛刺</w:t>
            </w:r>
          </w:p>
        </w:tc>
        <w:tc>
          <w:tcPr>
            <w:tcW w:w="2624" w:type="dxa"/>
            <w:vAlign w:val="center"/>
          </w:tcPr>
          <w:p w14:paraId="594756F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使用时接触口腔、手部皮肤</w:t>
            </w:r>
          </w:p>
        </w:tc>
        <w:tc>
          <w:tcPr>
            <w:tcW w:w="2450" w:type="dxa"/>
            <w:vAlign w:val="center"/>
          </w:tcPr>
          <w:p w14:paraId="2644CEF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皮肤划伤、口腔黏膜破损</w:t>
            </w:r>
          </w:p>
        </w:tc>
      </w:tr>
      <w:tr w14:paraId="7F49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950" w:type="dxa"/>
            <w:vMerge w:val="restart"/>
            <w:vAlign w:val="center"/>
          </w:tcPr>
          <w:p w14:paraId="19131CF2">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不正确的测量</w:t>
            </w:r>
          </w:p>
        </w:tc>
        <w:tc>
          <w:tcPr>
            <w:tcW w:w="2904" w:type="dxa"/>
            <w:vAlign w:val="center"/>
          </w:tcPr>
          <w:p w14:paraId="1B255750">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hint="eastAsia" w:eastAsia="仿宋_GB2312"/>
                <w:color w:val="000000" w:themeColor="text1"/>
                <w:sz w:val="28"/>
                <w:szCs w:val="28"/>
                <w:highlight w:val="none"/>
                <w14:textFill>
                  <w14:solidFill>
                    <w14:schemeClr w14:val="tx1"/>
                  </w14:solidFill>
                </w14:textFill>
              </w:rPr>
              <w:t>电子</w:t>
            </w:r>
            <w:r>
              <w:rPr>
                <w:rFonts w:eastAsia="仿宋_GB2312"/>
                <w:color w:val="000000" w:themeColor="text1"/>
                <w:sz w:val="28"/>
                <w:szCs w:val="28"/>
                <w:highlight w:val="none"/>
                <w14:textFill>
                  <w14:solidFill>
                    <w14:schemeClr w14:val="tx1"/>
                  </w14:solidFill>
                </w14:textFill>
              </w:rPr>
              <w:t>峰速仪长时间未经校准、传感部件老化，测量偏差</w:t>
            </w:r>
          </w:p>
        </w:tc>
        <w:tc>
          <w:tcPr>
            <w:tcW w:w="2624" w:type="dxa"/>
            <w:vAlign w:val="center"/>
          </w:tcPr>
          <w:p w14:paraId="194477FB">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依据错误读数调整治疗方案</w:t>
            </w:r>
          </w:p>
        </w:tc>
        <w:tc>
          <w:tcPr>
            <w:tcW w:w="2450" w:type="dxa"/>
            <w:vAlign w:val="center"/>
          </w:tcPr>
          <w:p w14:paraId="06D1C71A">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用药不当，气道疾病控制不佳，急性发作风险升高</w:t>
            </w:r>
          </w:p>
        </w:tc>
      </w:tr>
      <w:tr w14:paraId="4C4D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950" w:type="dxa"/>
            <w:vMerge w:val="continue"/>
            <w:vAlign w:val="center"/>
          </w:tcPr>
          <w:p w14:paraId="51C20FA0">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32FB5C0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多人共用未消毒的咬嘴，未及时更换一次性咬嘴</w:t>
            </w:r>
          </w:p>
        </w:tc>
        <w:tc>
          <w:tcPr>
            <w:tcW w:w="2624" w:type="dxa"/>
            <w:vAlign w:val="center"/>
          </w:tcPr>
          <w:p w14:paraId="117A961D">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咬嘴附着病菌</w:t>
            </w:r>
          </w:p>
        </w:tc>
        <w:tc>
          <w:tcPr>
            <w:tcW w:w="2450" w:type="dxa"/>
            <w:vAlign w:val="center"/>
          </w:tcPr>
          <w:p w14:paraId="029B4C5A">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交叉感染，引发呼吸道炎症加重病情</w:t>
            </w:r>
          </w:p>
        </w:tc>
      </w:tr>
      <w:tr w14:paraId="65A8F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Align w:val="center"/>
          </w:tcPr>
          <w:p w14:paraId="160304CA">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生物学</w:t>
            </w:r>
          </w:p>
        </w:tc>
        <w:tc>
          <w:tcPr>
            <w:tcW w:w="2904" w:type="dxa"/>
            <w:vAlign w:val="center"/>
          </w:tcPr>
          <w:p w14:paraId="5C7E7397">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咬嘴使用生物相容性不良的材质制作</w:t>
            </w:r>
          </w:p>
        </w:tc>
        <w:tc>
          <w:tcPr>
            <w:tcW w:w="2624" w:type="dxa"/>
            <w:vAlign w:val="center"/>
          </w:tcPr>
          <w:p w14:paraId="1BE00FE3">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人体口腔接触</w:t>
            </w:r>
          </w:p>
        </w:tc>
        <w:tc>
          <w:tcPr>
            <w:tcW w:w="2450" w:type="dxa"/>
            <w:vAlign w:val="center"/>
          </w:tcPr>
          <w:p w14:paraId="2CA92CC1">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口腔过敏、黏膜刺激、咳嗽加重</w:t>
            </w:r>
          </w:p>
        </w:tc>
      </w:tr>
      <w:tr w14:paraId="76E2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Merge w:val="restart"/>
            <w:vAlign w:val="center"/>
          </w:tcPr>
          <w:p w14:paraId="51088E7E">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化学</w:t>
            </w:r>
          </w:p>
        </w:tc>
        <w:tc>
          <w:tcPr>
            <w:tcW w:w="2904" w:type="dxa"/>
            <w:vAlign w:val="center"/>
          </w:tcPr>
          <w:p w14:paraId="1F437C58">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长时间不使用未取出电池，造成电池漏液</w:t>
            </w:r>
          </w:p>
        </w:tc>
        <w:tc>
          <w:tcPr>
            <w:tcW w:w="2624" w:type="dxa"/>
            <w:vAlign w:val="center"/>
          </w:tcPr>
          <w:p w14:paraId="1B1744CA">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漏液腐蚀设备电路、传感模块</w:t>
            </w:r>
          </w:p>
        </w:tc>
        <w:tc>
          <w:tcPr>
            <w:tcW w:w="2450" w:type="dxa"/>
            <w:vAlign w:val="center"/>
          </w:tcPr>
          <w:p w14:paraId="7C767A9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设备故障无法工作，延误病情监测</w:t>
            </w:r>
          </w:p>
        </w:tc>
      </w:tr>
      <w:tr w14:paraId="54E4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vMerge w:val="continue"/>
            <w:vAlign w:val="center"/>
          </w:tcPr>
          <w:p w14:paraId="5E2AF75C">
            <w:pPr>
              <w:spacing w:line="400" w:lineRule="exact"/>
              <w:jc w:val="center"/>
              <w:rPr>
                <w:rFonts w:eastAsia="仿宋_GB2312"/>
                <w:color w:val="000000" w:themeColor="text1"/>
                <w:sz w:val="28"/>
                <w:szCs w:val="28"/>
                <w:highlight w:val="none"/>
                <w14:textFill>
                  <w14:solidFill>
                    <w14:schemeClr w14:val="tx1"/>
                  </w14:solidFill>
                </w14:textFill>
              </w:rPr>
            </w:pPr>
          </w:p>
        </w:tc>
        <w:tc>
          <w:tcPr>
            <w:tcW w:w="2904" w:type="dxa"/>
            <w:vAlign w:val="center"/>
          </w:tcPr>
          <w:p w14:paraId="5C937AD9">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使用有腐蚀性的清洁剂、消毒剂擦拭峰速仪</w:t>
            </w:r>
          </w:p>
        </w:tc>
        <w:tc>
          <w:tcPr>
            <w:tcW w:w="2624" w:type="dxa"/>
            <w:vAlign w:val="center"/>
          </w:tcPr>
          <w:p w14:paraId="347C356F">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设备部件腐蚀、刻度模糊、传感模块失灵</w:t>
            </w:r>
          </w:p>
        </w:tc>
        <w:tc>
          <w:tcPr>
            <w:tcW w:w="2450" w:type="dxa"/>
            <w:vAlign w:val="center"/>
          </w:tcPr>
          <w:p w14:paraId="076210A1">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测量误差过大或无法使用，延误治疗</w:t>
            </w:r>
          </w:p>
        </w:tc>
      </w:tr>
      <w:tr w14:paraId="7691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0" w:type="dxa"/>
            <w:vMerge w:val="restart"/>
            <w:vAlign w:val="center"/>
          </w:tcPr>
          <w:p w14:paraId="1760996B">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操作错误</w:t>
            </w:r>
          </w:p>
        </w:tc>
        <w:tc>
          <w:tcPr>
            <w:tcW w:w="2904" w:type="dxa"/>
            <w:vAlign w:val="center"/>
          </w:tcPr>
          <w:p w14:paraId="47E0356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使用者未按规范操作，未深吸气即用力呼气、呼气速度过慢 / 过缓</w:t>
            </w:r>
          </w:p>
        </w:tc>
        <w:tc>
          <w:tcPr>
            <w:tcW w:w="2624" w:type="dxa"/>
            <w:vAlign w:val="center"/>
          </w:tcPr>
          <w:p w14:paraId="12C410F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无法测出真实最大呼气流量</w:t>
            </w:r>
          </w:p>
        </w:tc>
        <w:tc>
          <w:tcPr>
            <w:tcW w:w="2450" w:type="dxa"/>
            <w:vAlign w:val="center"/>
          </w:tcPr>
          <w:p w14:paraId="441664E9">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测量结果偏低，误判为气道阻塞加重，盲目增加用药</w:t>
            </w:r>
          </w:p>
        </w:tc>
      </w:tr>
      <w:tr w14:paraId="49AC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950" w:type="dxa"/>
            <w:vMerge w:val="continue"/>
            <w:vAlign w:val="center"/>
          </w:tcPr>
          <w:p w14:paraId="61732CF2">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11C37C1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咬嘴未完全含紧、呼气时漏气</w:t>
            </w:r>
          </w:p>
        </w:tc>
        <w:tc>
          <w:tcPr>
            <w:tcW w:w="2624" w:type="dxa"/>
            <w:vAlign w:val="center"/>
          </w:tcPr>
          <w:p w14:paraId="13CC6548">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测量结果误差过大</w:t>
            </w:r>
          </w:p>
        </w:tc>
        <w:tc>
          <w:tcPr>
            <w:tcW w:w="2450" w:type="dxa"/>
            <w:vAlign w:val="center"/>
          </w:tcPr>
          <w:p w14:paraId="61804610">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无法准确评估气道通畅程度，影响治疗方案判断</w:t>
            </w:r>
          </w:p>
        </w:tc>
      </w:tr>
      <w:tr w14:paraId="5933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continue"/>
            <w:vAlign w:val="center"/>
          </w:tcPr>
          <w:p w14:paraId="053695AF">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562046DF">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儿童使用成人型</w:t>
            </w:r>
            <w:r>
              <w:rPr>
                <w:rFonts w:hint="eastAsia" w:eastAsia="仿宋_GB2312"/>
                <w:color w:val="000000" w:themeColor="text1"/>
                <w:sz w:val="28"/>
                <w:szCs w:val="28"/>
                <w:highlight w:val="none"/>
                <w14:textFill>
                  <w14:solidFill>
                    <w14:schemeClr w14:val="tx1"/>
                  </w14:solidFill>
                </w14:textFill>
              </w:rPr>
              <w:t>电子</w:t>
            </w:r>
            <w:r>
              <w:rPr>
                <w:rFonts w:eastAsia="仿宋_GB2312"/>
                <w:color w:val="000000" w:themeColor="text1"/>
                <w:sz w:val="28"/>
                <w:szCs w:val="28"/>
                <w:highlight w:val="none"/>
                <w14:textFill>
                  <w14:solidFill>
                    <w14:schemeClr w14:val="tx1"/>
                  </w14:solidFill>
                </w14:textFill>
              </w:rPr>
              <w:t>峰速仪，咬嘴尺寸不适配</w:t>
            </w:r>
          </w:p>
        </w:tc>
        <w:tc>
          <w:tcPr>
            <w:tcW w:w="2624" w:type="dxa"/>
            <w:vAlign w:val="center"/>
          </w:tcPr>
          <w:p w14:paraId="5043F47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无法正常含接、呼气时密封不佳</w:t>
            </w:r>
          </w:p>
        </w:tc>
        <w:tc>
          <w:tcPr>
            <w:tcW w:w="2450" w:type="dxa"/>
            <w:vAlign w:val="center"/>
          </w:tcPr>
          <w:p w14:paraId="64FA4B47">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测量失败，无法获取有效数据</w:t>
            </w:r>
          </w:p>
        </w:tc>
      </w:tr>
      <w:tr w14:paraId="7610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continue"/>
            <w:vAlign w:val="center"/>
          </w:tcPr>
          <w:p w14:paraId="23DAC2A0">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5468E2DD">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测量时使用者身体晃动、呼气姿势不当</w:t>
            </w:r>
          </w:p>
        </w:tc>
        <w:tc>
          <w:tcPr>
            <w:tcW w:w="2624" w:type="dxa"/>
            <w:vAlign w:val="center"/>
          </w:tcPr>
          <w:p w14:paraId="1581D53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气流输出不稳定</w:t>
            </w:r>
          </w:p>
        </w:tc>
        <w:tc>
          <w:tcPr>
            <w:tcW w:w="2450" w:type="dxa"/>
            <w:vAlign w:val="center"/>
          </w:tcPr>
          <w:p w14:paraId="01C5D316">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测量结果波动大，无参考价值</w:t>
            </w:r>
          </w:p>
        </w:tc>
      </w:tr>
      <w:tr w14:paraId="2382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restart"/>
            <w:vAlign w:val="center"/>
          </w:tcPr>
          <w:p w14:paraId="76D96F8B">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不完整的说明书</w:t>
            </w:r>
          </w:p>
        </w:tc>
        <w:tc>
          <w:tcPr>
            <w:tcW w:w="2904" w:type="dxa"/>
            <w:vAlign w:val="center"/>
          </w:tcPr>
          <w:p w14:paraId="009C9A9B">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未对正确操作步骤、吹气规范进行详细说明</w:t>
            </w:r>
          </w:p>
        </w:tc>
        <w:tc>
          <w:tcPr>
            <w:tcW w:w="2624" w:type="dxa"/>
            <w:vAlign w:val="center"/>
          </w:tcPr>
          <w:p w14:paraId="10F37B15">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使用者操作错误</w:t>
            </w:r>
          </w:p>
        </w:tc>
        <w:tc>
          <w:tcPr>
            <w:tcW w:w="2450" w:type="dxa"/>
            <w:vAlign w:val="center"/>
          </w:tcPr>
          <w:p w14:paraId="260B6EFD">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测量失败；测量值误差过大，见“不正确的测量”</w:t>
            </w:r>
          </w:p>
        </w:tc>
      </w:tr>
      <w:tr w14:paraId="20DA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continue"/>
            <w:vAlign w:val="center"/>
          </w:tcPr>
          <w:p w14:paraId="2F025107">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0570BF07">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未规定</w:t>
            </w:r>
            <w:r>
              <w:rPr>
                <w:rFonts w:hint="eastAsia" w:eastAsia="仿宋_GB2312"/>
                <w:color w:val="000000" w:themeColor="text1"/>
                <w:sz w:val="28"/>
                <w:szCs w:val="28"/>
                <w:highlight w:val="none"/>
                <w14:textFill>
                  <w14:solidFill>
                    <w14:schemeClr w14:val="tx1"/>
                  </w14:solidFill>
                </w14:textFill>
              </w:rPr>
              <w:t>电子</w:t>
            </w:r>
            <w:r>
              <w:rPr>
                <w:rFonts w:eastAsia="仿宋_GB2312"/>
                <w:color w:val="000000" w:themeColor="text1"/>
                <w:sz w:val="28"/>
                <w:szCs w:val="28"/>
                <w:highlight w:val="none"/>
                <w14:textFill>
                  <w14:solidFill>
                    <w14:schemeClr w14:val="tx1"/>
                  </w14:solidFill>
                </w14:textFill>
              </w:rPr>
              <w:t>峰速仪校准周期、维护方法</w:t>
            </w:r>
          </w:p>
        </w:tc>
        <w:tc>
          <w:tcPr>
            <w:tcW w:w="2624" w:type="dxa"/>
            <w:vAlign w:val="center"/>
          </w:tcPr>
          <w:p w14:paraId="3614C628">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设备未及时校准、部件老化</w:t>
            </w:r>
          </w:p>
        </w:tc>
        <w:tc>
          <w:tcPr>
            <w:tcW w:w="2450" w:type="dxa"/>
            <w:vAlign w:val="center"/>
          </w:tcPr>
          <w:p w14:paraId="453AC9A1">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测量偏差，见“不正确的测量”</w:t>
            </w:r>
          </w:p>
        </w:tc>
      </w:tr>
      <w:tr w14:paraId="026C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continue"/>
            <w:vAlign w:val="center"/>
          </w:tcPr>
          <w:p w14:paraId="75E6938C">
            <w:pPr>
              <w:spacing w:line="400" w:lineRule="exact"/>
              <w:rPr>
                <w:rFonts w:eastAsia="仿宋_GB2312"/>
                <w:color w:val="000000" w:themeColor="text1"/>
                <w:sz w:val="28"/>
                <w:szCs w:val="28"/>
                <w:highlight w:val="none"/>
                <w14:textFill>
                  <w14:solidFill>
                    <w14:schemeClr w14:val="tx1"/>
                  </w14:solidFill>
                </w14:textFill>
              </w:rPr>
            </w:pPr>
          </w:p>
        </w:tc>
        <w:tc>
          <w:tcPr>
            <w:tcW w:w="2904" w:type="dxa"/>
            <w:vAlign w:val="center"/>
          </w:tcPr>
          <w:p w14:paraId="1AE2563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未说明咬嘴的消毒方式、更换周期</w:t>
            </w:r>
          </w:p>
        </w:tc>
        <w:tc>
          <w:tcPr>
            <w:tcW w:w="2624" w:type="dxa"/>
            <w:vAlign w:val="center"/>
          </w:tcPr>
          <w:p w14:paraId="419F4B22">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多人共用未消毒配件、配件老化破损</w:t>
            </w:r>
          </w:p>
        </w:tc>
        <w:tc>
          <w:tcPr>
            <w:tcW w:w="2450" w:type="dxa"/>
            <w:vAlign w:val="center"/>
          </w:tcPr>
          <w:p w14:paraId="32E639CE">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交叉感染、测量漏气，见“生物学”“操作错误”</w:t>
            </w:r>
          </w:p>
        </w:tc>
      </w:tr>
      <w:tr w14:paraId="65819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restart"/>
            <w:vAlign w:val="center"/>
          </w:tcPr>
          <w:p w14:paraId="63F851B6">
            <w:pPr>
              <w:spacing w:line="400" w:lineRule="exact"/>
              <w:jc w:val="center"/>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不完整的说明书</w:t>
            </w:r>
          </w:p>
        </w:tc>
        <w:tc>
          <w:tcPr>
            <w:tcW w:w="2904" w:type="dxa"/>
            <w:vAlign w:val="center"/>
          </w:tcPr>
          <w:p w14:paraId="502141C2">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未明确产品贮存条件（高温、高湿环境）</w:t>
            </w:r>
          </w:p>
        </w:tc>
        <w:tc>
          <w:tcPr>
            <w:tcW w:w="2624" w:type="dxa"/>
            <w:vAlign w:val="center"/>
          </w:tcPr>
          <w:p w14:paraId="7A7A7D7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器件老化、弹簧生锈、电子元件受潮</w:t>
            </w:r>
          </w:p>
        </w:tc>
        <w:tc>
          <w:tcPr>
            <w:tcW w:w="2450" w:type="dxa"/>
            <w:vAlign w:val="center"/>
          </w:tcPr>
          <w:p w14:paraId="4343CEBF">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产品寿命降低，测量值误差过大，见“不正确的测量”</w:t>
            </w:r>
          </w:p>
        </w:tc>
      </w:tr>
      <w:tr w14:paraId="715F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50" w:type="dxa"/>
            <w:vMerge w:val="continue"/>
            <w:vAlign w:val="center"/>
          </w:tcPr>
          <w:p w14:paraId="3B9D6434">
            <w:pPr>
              <w:spacing w:line="400" w:lineRule="exact"/>
              <w:jc w:val="center"/>
              <w:rPr>
                <w:rFonts w:eastAsia="仿宋_GB2312"/>
                <w:color w:val="000000" w:themeColor="text1"/>
                <w:sz w:val="28"/>
                <w:szCs w:val="28"/>
                <w:highlight w:val="none"/>
                <w14:textFill>
                  <w14:solidFill>
                    <w14:schemeClr w14:val="tx1"/>
                  </w14:solidFill>
                </w14:textFill>
              </w:rPr>
            </w:pPr>
          </w:p>
        </w:tc>
        <w:tc>
          <w:tcPr>
            <w:tcW w:w="2904" w:type="dxa"/>
            <w:vAlign w:val="center"/>
          </w:tcPr>
          <w:p w14:paraId="676FDB3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未标注适用人群（如婴幼儿禁用）</w:t>
            </w:r>
          </w:p>
        </w:tc>
        <w:tc>
          <w:tcPr>
            <w:tcW w:w="2624" w:type="dxa"/>
            <w:vAlign w:val="center"/>
          </w:tcPr>
          <w:p w14:paraId="270A315C">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无自主呼吸控制能力的人群使用</w:t>
            </w:r>
          </w:p>
        </w:tc>
        <w:tc>
          <w:tcPr>
            <w:tcW w:w="2450" w:type="dxa"/>
            <w:vAlign w:val="center"/>
          </w:tcPr>
          <w:p w14:paraId="5FF72EC4">
            <w:pPr>
              <w:spacing w:line="400" w:lineRule="exact"/>
              <w:ind w:left="-69" w:leftChars="-33" w:right="-126" w:rightChars="-60"/>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测量失败，甚至引发呛咳、误吸</w:t>
            </w:r>
          </w:p>
        </w:tc>
      </w:tr>
    </w:tbl>
    <w:p w14:paraId="0F803AD1">
      <w:pPr>
        <w:rPr>
          <w:color w:val="000000" w:themeColor="text1"/>
          <w:highlight w:val="none"/>
          <w14:textFill>
            <w14:solidFill>
              <w14:schemeClr w14:val="tx1"/>
            </w14:solidFill>
          </w14:textFill>
        </w:rPr>
      </w:pPr>
    </w:p>
    <w:sectPr>
      <w:footerReference r:id="rId3" w:type="default"/>
      <w:footerReference r:id="rId4" w:type="even"/>
      <w:pgSz w:w="11906" w:h="16838"/>
      <w:pgMar w:top="1701" w:right="1588" w:bottom="1701" w:left="1588" w:header="851" w:footer="1247" w:gutter="0"/>
      <w:lnNumType w:countBy="1" w:restart="continuou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0925">
    <w:pPr>
      <w:pStyle w:val="9"/>
      <w:wordWrap w:val="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rFonts w:hint="eastAsia"/>
        <w:sz w:val="28"/>
        <w:szCs w:val="28"/>
      </w:rPr>
      <w:t xml:space="preserve"> —</w:t>
    </w:r>
  </w:p>
  <w:p w14:paraId="66F9E3F0">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28560">
    <w:pPr>
      <w:pStyle w:val="9"/>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w:t>
    </w:r>
    <w:r>
      <w:rPr>
        <w:sz w:val="28"/>
        <w:szCs w:val="28"/>
      </w:rPr>
      <w:fldChar w:fldCharType="end"/>
    </w:r>
    <w:r>
      <w:rPr>
        <w:rFonts w:hint="eastAsia"/>
        <w:sz w:val="28"/>
        <w:szCs w:val="28"/>
      </w:rPr>
      <w:t xml:space="preserve"> —</w:t>
    </w:r>
  </w:p>
  <w:p w14:paraId="6D730378">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119FE0"/>
    <w:multiLevelType w:val="singleLevel"/>
    <w:tmpl w:val="BC119FE0"/>
    <w:lvl w:ilvl="0" w:tentative="0">
      <w:start w:val="1"/>
      <w:numFmt w:val="chineseCounting"/>
      <w:suff w:val="nothing"/>
      <w:lvlText w:val="（%1）"/>
      <w:lvlJc w:val="left"/>
      <w:rPr>
        <w:rFonts w:hint="eastAsia"/>
      </w:rPr>
    </w:lvl>
  </w:abstractNum>
  <w:abstractNum w:abstractNumId="1">
    <w:nsid w:val="FF5E0371"/>
    <w:multiLevelType w:val="singleLevel"/>
    <w:tmpl w:val="FF5E037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ZTgzYzRhYmNhYTFjNTBkNGUwMjExNWMyNzMxZDIifQ=="/>
  </w:docVars>
  <w:rsids>
    <w:rsidRoot w:val="00115C1F"/>
    <w:rsid w:val="00042FCD"/>
    <w:rsid w:val="00064F9F"/>
    <w:rsid w:val="0008725D"/>
    <w:rsid w:val="000A3C83"/>
    <w:rsid w:val="000C2CB2"/>
    <w:rsid w:val="000D7696"/>
    <w:rsid w:val="00115C1F"/>
    <w:rsid w:val="00176397"/>
    <w:rsid w:val="001876E9"/>
    <w:rsid w:val="00190C41"/>
    <w:rsid w:val="00196248"/>
    <w:rsid w:val="001C4C82"/>
    <w:rsid w:val="002235CA"/>
    <w:rsid w:val="00237D93"/>
    <w:rsid w:val="00240218"/>
    <w:rsid w:val="00257CC2"/>
    <w:rsid w:val="00291BE7"/>
    <w:rsid w:val="00303A05"/>
    <w:rsid w:val="0034635D"/>
    <w:rsid w:val="00360E2E"/>
    <w:rsid w:val="003816BA"/>
    <w:rsid w:val="00384B9C"/>
    <w:rsid w:val="003B0308"/>
    <w:rsid w:val="003C5461"/>
    <w:rsid w:val="00420436"/>
    <w:rsid w:val="00445DA0"/>
    <w:rsid w:val="00496BDB"/>
    <w:rsid w:val="004A46FD"/>
    <w:rsid w:val="004E7F4B"/>
    <w:rsid w:val="00500454"/>
    <w:rsid w:val="00505CB3"/>
    <w:rsid w:val="00537145"/>
    <w:rsid w:val="00557E07"/>
    <w:rsid w:val="005815CD"/>
    <w:rsid w:val="00591C3C"/>
    <w:rsid w:val="005B3411"/>
    <w:rsid w:val="005D128E"/>
    <w:rsid w:val="005D7DA9"/>
    <w:rsid w:val="006172C6"/>
    <w:rsid w:val="00652A21"/>
    <w:rsid w:val="006733AD"/>
    <w:rsid w:val="006742F0"/>
    <w:rsid w:val="006960EE"/>
    <w:rsid w:val="006A0E3E"/>
    <w:rsid w:val="006A3638"/>
    <w:rsid w:val="006E3D43"/>
    <w:rsid w:val="006F1F05"/>
    <w:rsid w:val="00704863"/>
    <w:rsid w:val="00736CA1"/>
    <w:rsid w:val="00780A87"/>
    <w:rsid w:val="0078201D"/>
    <w:rsid w:val="007C3AA6"/>
    <w:rsid w:val="00846D36"/>
    <w:rsid w:val="00853C4B"/>
    <w:rsid w:val="0085759A"/>
    <w:rsid w:val="00921200"/>
    <w:rsid w:val="0098789C"/>
    <w:rsid w:val="009A2A9C"/>
    <w:rsid w:val="009E7AD9"/>
    <w:rsid w:val="009F42B6"/>
    <w:rsid w:val="00A2358D"/>
    <w:rsid w:val="00AA649B"/>
    <w:rsid w:val="00AB1176"/>
    <w:rsid w:val="00B343AB"/>
    <w:rsid w:val="00B749B4"/>
    <w:rsid w:val="00B8676F"/>
    <w:rsid w:val="00BA7184"/>
    <w:rsid w:val="00BC7C23"/>
    <w:rsid w:val="00C13CFC"/>
    <w:rsid w:val="00C2315D"/>
    <w:rsid w:val="00C96666"/>
    <w:rsid w:val="00CB62BD"/>
    <w:rsid w:val="00CC11BF"/>
    <w:rsid w:val="00CD3785"/>
    <w:rsid w:val="00CD7A30"/>
    <w:rsid w:val="00D84F62"/>
    <w:rsid w:val="00DA31D7"/>
    <w:rsid w:val="00E00CE0"/>
    <w:rsid w:val="00E573EA"/>
    <w:rsid w:val="00E8053D"/>
    <w:rsid w:val="00E82474"/>
    <w:rsid w:val="00EA2F0F"/>
    <w:rsid w:val="00F57F7D"/>
    <w:rsid w:val="00F84F63"/>
    <w:rsid w:val="00F86A5E"/>
    <w:rsid w:val="00F92C27"/>
    <w:rsid w:val="00FB7B0F"/>
    <w:rsid w:val="00FD1912"/>
    <w:rsid w:val="00FD50D1"/>
    <w:rsid w:val="00FE0664"/>
    <w:rsid w:val="01050F22"/>
    <w:rsid w:val="013625FC"/>
    <w:rsid w:val="01995B0E"/>
    <w:rsid w:val="01CF1530"/>
    <w:rsid w:val="01D34B7C"/>
    <w:rsid w:val="01D6466C"/>
    <w:rsid w:val="01FA01CD"/>
    <w:rsid w:val="02003302"/>
    <w:rsid w:val="0236335D"/>
    <w:rsid w:val="02A209F3"/>
    <w:rsid w:val="0338365F"/>
    <w:rsid w:val="034060EB"/>
    <w:rsid w:val="034C108A"/>
    <w:rsid w:val="03556B84"/>
    <w:rsid w:val="036A1510"/>
    <w:rsid w:val="03886141"/>
    <w:rsid w:val="03DA74E3"/>
    <w:rsid w:val="040B3430"/>
    <w:rsid w:val="04305D54"/>
    <w:rsid w:val="04620DE2"/>
    <w:rsid w:val="0462668B"/>
    <w:rsid w:val="0470788E"/>
    <w:rsid w:val="047A768F"/>
    <w:rsid w:val="04FD1ACD"/>
    <w:rsid w:val="051E6A56"/>
    <w:rsid w:val="05212B27"/>
    <w:rsid w:val="05882122"/>
    <w:rsid w:val="05977BC3"/>
    <w:rsid w:val="05A50F26"/>
    <w:rsid w:val="05E649F4"/>
    <w:rsid w:val="05E720C3"/>
    <w:rsid w:val="05FB2F48"/>
    <w:rsid w:val="06093262"/>
    <w:rsid w:val="0610569C"/>
    <w:rsid w:val="063A1FAE"/>
    <w:rsid w:val="063D4CBA"/>
    <w:rsid w:val="063E0A32"/>
    <w:rsid w:val="0648365F"/>
    <w:rsid w:val="067F52D3"/>
    <w:rsid w:val="06824DC3"/>
    <w:rsid w:val="06BB2083"/>
    <w:rsid w:val="06F51A39"/>
    <w:rsid w:val="06F537E7"/>
    <w:rsid w:val="07152D72"/>
    <w:rsid w:val="07222102"/>
    <w:rsid w:val="073D09E5"/>
    <w:rsid w:val="07AE7DFA"/>
    <w:rsid w:val="07B23486"/>
    <w:rsid w:val="07B94814"/>
    <w:rsid w:val="07C4BE47"/>
    <w:rsid w:val="07DA2CC5"/>
    <w:rsid w:val="07EC2E3C"/>
    <w:rsid w:val="0817778D"/>
    <w:rsid w:val="08183C31"/>
    <w:rsid w:val="0827440A"/>
    <w:rsid w:val="086500A4"/>
    <w:rsid w:val="09070CA5"/>
    <w:rsid w:val="090B72F2"/>
    <w:rsid w:val="09524F20"/>
    <w:rsid w:val="095742E5"/>
    <w:rsid w:val="09E87633"/>
    <w:rsid w:val="09FE0C04"/>
    <w:rsid w:val="0A0E6FC6"/>
    <w:rsid w:val="0A785AB4"/>
    <w:rsid w:val="0A7D421F"/>
    <w:rsid w:val="0ABFDFE6"/>
    <w:rsid w:val="0AEC6CC4"/>
    <w:rsid w:val="0B17651E"/>
    <w:rsid w:val="0B5B2973"/>
    <w:rsid w:val="0B6658C1"/>
    <w:rsid w:val="0B892750"/>
    <w:rsid w:val="0BB52366"/>
    <w:rsid w:val="0BFE313E"/>
    <w:rsid w:val="0C270621"/>
    <w:rsid w:val="0C3A60D4"/>
    <w:rsid w:val="0C912CFB"/>
    <w:rsid w:val="0C9376F3"/>
    <w:rsid w:val="0CC65DEF"/>
    <w:rsid w:val="0CDE6ACB"/>
    <w:rsid w:val="0D051E9D"/>
    <w:rsid w:val="0D735465"/>
    <w:rsid w:val="0D870F11"/>
    <w:rsid w:val="0DBF9833"/>
    <w:rsid w:val="0DC2073C"/>
    <w:rsid w:val="0DDA2DC7"/>
    <w:rsid w:val="0DE105E0"/>
    <w:rsid w:val="0DF540CC"/>
    <w:rsid w:val="0DFD10CA"/>
    <w:rsid w:val="0E021E86"/>
    <w:rsid w:val="0E1327A4"/>
    <w:rsid w:val="0EB442DF"/>
    <w:rsid w:val="0EC817E1"/>
    <w:rsid w:val="0ECA5069"/>
    <w:rsid w:val="0ED91C40"/>
    <w:rsid w:val="0ED939EE"/>
    <w:rsid w:val="0EFC69CD"/>
    <w:rsid w:val="0EFD148A"/>
    <w:rsid w:val="0F54056A"/>
    <w:rsid w:val="0F5F2145"/>
    <w:rsid w:val="0FB75ADD"/>
    <w:rsid w:val="0FC25A38"/>
    <w:rsid w:val="0FCE7E32"/>
    <w:rsid w:val="0FE8AFA2"/>
    <w:rsid w:val="0FF7FBE6"/>
    <w:rsid w:val="103435D2"/>
    <w:rsid w:val="10BD0EA7"/>
    <w:rsid w:val="10D426BF"/>
    <w:rsid w:val="10EF12A7"/>
    <w:rsid w:val="10FC5772"/>
    <w:rsid w:val="110765F0"/>
    <w:rsid w:val="11163AF7"/>
    <w:rsid w:val="112A3AF7"/>
    <w:rsid w:val="11640ECC"/>
    <w:rsid w:val="11C12C43"/>
    <w:rsid w:val="11FFDE19"/>
    <w:rsid w:val="1218482D"/>
    <w:rsid w:val="12266F4A"/>
    <w:rsid w:val="122E5DFF"/>
    <w:rsid w:val="123A29F6"/>
    <w:rsid w:val="1250583A"/>
    <w:rsid w:val="125F245C"/>
    <w:rsid w:val="12802AFE"/>
    <w:rsid w:val="12805D9E"/>
    <w:rsid w:val="12924D18"/>
    <w:rsid w:val="12C549B5"/>
    <w:rsid w:val="12E7492B"/>
    <w:rsid w:val="130D3C66"/>
    <w:rsid w:val="131B4E1E"/>
    <w:rsid w:val="1332191F"/>
    <w:rsid w:val="134A310C"/>
    <w:rsid w:val="135A6A74"/>
    <w:rsid w:val="135BCFAD"/>
    <w:rsid w:val="13605975"/>
    <w:rsid w:val="13A62514"/>
    <w:rsid w:val="13C6B72C"/>
    <w:rsid w:val="13D11138"/>
    <w:rsid w:val="13EF7DF0"/>
    <w:rsid w:val="13EFFADE"/>
    <w:rsid w:val="13F76DF0"/>
    <w:rsid w:val="142C45C0"/>
    <w:rsid w:val="143040B0"/>
    <w:rsid w:val="147E306D"/>
    <w:rsid w:val="14A45268"/>
    <w:rsid w:val="14F96B98"/>
    <w:rsid w:val="15363948"/>
    <w:rsid w:val="15502B4A"/>
    <w:rsid w:val="155B01F4"/>
    <w:rsid w:val="155E69FB"/>
    <w:rsid w:val="1584723F"/>
    <w:rsid w:val="15AD58F5"/>
    <w:rsid w:val="16467BBB"/>
    <w:rsid w:val="1666345A"/>
    <w:rsid w:val="1697FB45"/>
    <w:rsid w:val="16DC20CC"/>
    <w:rsid w:val="170830C2"/>
    <w:rsid w:val="171B3F42"/>
    <w:rsid w:val="171E28E6"/>
    <w:rsid w:val="1722299A"/>
    <w:rsid w:val="173D57C7"/>
    <w:rsid w:val="1742154C"/>
    <w:rsid w:val="176946F7"/>
    <w:rsid w:val="177A3E2C"/>
    <w:rsid w:val="179828E6"/>
    <w:rsid w:val="17BA97B4"/>
    <w:rsid w:val="17BFEDC5"/>
    <w:rsid w:val="18090EA0"/>
    <w:rsid w:val="181B0BD3"/>
    <w:rsid w:val="18310B7B"/>
    <w:rsid w:val="18455C50"/>
    <w:rsid w:val="185F6D12"/>
    <w:rsid w:val="18AF232E"/>
    <w:rsid w:val="190855FC"/>
    <w:rsid w:val="190A0F11"/>
    <w:rsid w:val="1917583F"/>
    <w:rsid w:val="191E680D"/>
    <w:rsid w:val="195E521C"/>
    <w:rsid w:val="19CF7EC7"/>
    <w:rsid w:val="19DB4615"/>
    <w:rsid w:val="19DE726F"/>
    <w:rsid w:val="1A0F1EC9"/>
    <w:rsid w:val="1A2048F5"/>
    <w:rsid w:val="1A2226ED"/>
    <w:rsid w:val="1A321046"/>
    <w:rsid w:val="1A402B73"/>
    <w:rsid w:val="1A554870"/>
    <w:rsid w:val="1A9058A9"/>
    <w:rsid w:val="1AB1581F"/>
    <w:rsid w:val="1AB53561"/>
    <w:rsid w:val="1AB62E35"/>
    <w:rsid w:val="1ABDF0C2"/>
    <w:rsid w:val="1B043BA1"/>
    <w:rsid w:val="1B519496"/>
    <w:rsid w:val="1B7E1BAD"/>
    <w:rsid w:val="1B7E7DF7"/>
    <w:rsid w:val="1BA35913"/>
    <w:rsid w:val="1BA64D24"/>
    <w:rsid w:val="1BB70BB3"/>
    <w:rsid w:val="1BEF0C66"/>
    <w:rsid w:val="1BF21113"/>
    <w:rsid w:val="1BFFFD91"/>
    <w:rsid w:val="1C1C6D9C"/>
    <w:rsid w:val="1C1D7C47"/>
    <w:rsid w:val="1C5B1EE6"/>
    <w:rsid w:val="1C6176BE"/>
    <w:rsid w:val="1C6C40F3"/>
    <w:rsid w:val="1C9B73A9"/>
    <w:rsid w:val="1CA13D9D"/>
    <w:rsid w:val="1CBFCFB9"/>
    <w:rsid w:val="1CD557F5"/>
    <w:rsid w:val="1CD75A11"/>
    <w:rsid w:val="1CDC5877"/>
    <w:rsid w:val="1D226534"/>
    <w:rsid w:val="1D3A628D"/>
    <w:rsid w:val="1D4806BC"/>
    <w:rsid w:val="1D6848BB"/>
    <w:rsid w:val="1D6A1F35"/>
    <w:rsid w:val="1DA316E2"/>
    <w:rsid w:val="1DAB29F9"/>
    <w:rsid w:val="1DBD835B"/>
    <w:rsid w:val="1DC87107"/>
    <w:rsid w:val="1DDE692B"/>
    <w:rsid w:val="1DE71C83"/>
    <w:rsid w:val="1DFB7E9A"/>
    <w:rsid w:val="1E5B441F"/>
    <w:rsid w:val="1E5FCE4F"/>
    <w:rsid w:val="1E8A6AB3"/>
    <w:rsid w:val="1E8C318B"/>
    <w:rsid w:val="1E981EEA"/>
    <w:rsid w:val="1ECE074D"/>
    <w:rsid w:val="1ED02718"/>
    <w:rsid w:val="1ED02EE2"/>
    <w:rsid w:val="1EDF15D0"/>
    <w:rsid w:val="1EDFEC84"/>
    <w:rsid w:val="1EF3F2F4"/>
    <w:rsid w:val="1F2139B8"/>
    <w:rsid w:val="1F3DB75D"/>
    <w:rsid w:val="1F525966"/>
    <w:rsid w:val="1F5FBD79"/>
    <w:rsid w:val="1F6B2440"/>
    <w:rsid w:val="1F7741F4"/>
    <w:rsid w:val="1F78690B"/>
    <w:rsid w:val="1F7FF7FC"/>
    <w:rsid w:val="1F843502"/>
    <w:rsid w:val="1F9A2D26"/>
    <w:rsid w:val="1FDBFC93"/>
    <w:rsid w:val="1FF3D86F"/>
    <w:rsid w:val="1FF58863"/>
    <w:rsid w:val="1FFC2F2F"/>
    <w:rsid w:val="1FFC6FA9"/>
    <w:rsid w:val="1FFDAB11"/>
    <w:rsid w:val="1FFDBB84"/>
    <w:rsid w:val="1FFF9EDC"/>
    <w:rsid w:val="204A4001"/>
    <w:rsid w:val="205D622D"/>
    <w:rsid w:val="207A2CBA"/>
    <w:rsid w:val="207D68CF"/>
    <w:rsid w:val="207E35BE"/>
    <w:rsid w:val="2080016D"/>
    <w:rsid w:val="20E00C0C"/>
    <w:rsid w:val="20E64474"/>
    <w:rsid w:val="20F621DE"/>
    <w:rsid w:val="2139587A"/>
    <w:rsid w:val="213A78F2"/>
    <w:rsid w:val="21723F5A"/>
    <w:rsid w:val="21871ABC"/>
    <w:rsid w:val="21DF2C72"/>
    <w:rsid w:val="21ED7BB4"/>
    <w:rsid w:val="21FEE43D"/>
    <w:rsid w:val="222B4109"/>
    <w:rsid w:val="223E3E3C"/>
    <w:rsid w:val="22401962"/>
    <w:rsid w:val="226C5EBA"/>
    <w:rsid w:val="22F064FA"/>
    <w:rsid w:val="22F866E1"/>
    <w:rsid w:val="23137077"/>
    <w:rsid w:val="2330101E"/>
    <w:rsid w:val="23977CA8"/>
    <w:rsid w:val="2398757C"/>
    <w:rsid w:val="23AD20F0"/>
    <w:rsid w:val="23AE5B30"/>
    <w:rsid w:val="23AF735E"/>
    <w:rsid w:val="23D138C1"/>
    <w:rsid w:val="23E34C9B"/>
    <w:rsid w:val="24271FED"/>
    <w:rsid w:val="24EC7B7F"/>
    <w:rsid w:val="25AE752B"/>
    <w:rsid w:val="25CE578A"/>
    <w:rsid w:val="25F652C5"/>
    <w:rsid w:val="25FC0296"/>
    <w:rsid w:val="262B46D7"/>
    <w:rsid w:val="26301CEE"/>
    <w:rsid w:val="265351F8"/>
    <w:rsid w:val="26551754"/>
    <w:rsid w:val="26695200"/>
    <w:rsid w:val="26A520EC"/>
    <w:rsid w:val="26FA2C2C"/>
    <w:rsid w:val="26FF84F2"/>
    <w:rsid w:val="271B6D61"/>
    <w:rsid w:val="27221F7E"/>
    <w:rsid w:val="27536C2F"/>
    <w:rsid w:val="2763D785"/>
    <w:rsid w:val="27929826"/>
    <w:rsid w:val="27AC2528"/>
    <w:rsid w:val="27F71AF0"/>
    <w:rsid w:val="27F75631"/>
    <w:rsid w:val="27FBE56A"/>
    <w:rsid w:val="27FEDEC1"/>
    <w:rsid w:val="27FFE4C8"/>
    <w:rsid w:val="28094EEC"/>
    <w:rsid w:val="28237D5C"/>
    <w:rsid w:val="287168BA"/>
    <w:rsid w:val="28724840"/>
    <w:rsid w:val="287E24C7"/>
    <w:rsid w:val="28875B27"/>
    <w:rsid w:val="28B9246E"/>
    <w:rsid w:val="28C57065"/>
    <w:rsid w:val="29017971"/>
    <w:rsid w:val="29453D02"/>
    <w:rsid w:val="296E3259"/>
    <w:rsid w:val="299841B9"/>
    <w:rsid w:val="29E03A2B"/>
    <w:rsid w:val="29F401B5"/>
    <w:rsid w:val="2A0C2A72"/>
    <w:rsid w:val="2A1B4A63"/>
    <w:rsid w:val="2A24600D"/>
    <w:rsid w:val="2A7C3754"/>
    <w:rsid w:val="2A84709D"/>
    <w:rsid w:val="2A8D5ED4"/>
    <w:rsid w:val="2AAA6513"/>
    <w:rsid w:val="2AF0CD39"/>
    <w:rsid w:val="2B243FAA"/>
    <w:rsid w:val="2B2F6A18"/>
    <w:rsid w:val="2B501978"/>
    <w:rsid w:val="2B54396C"/>
    <w:rsid w:val="2B5D6903"/>
    <w:rsid w:val="2B6C1A1A"/>
    <w:rsid w:val="2BB379CE"/>
    <w:rsid w:val="2BBF5FEE"/>
    <w:rsid w:val="2BD7A4B2"/>
    <w:rsid w:val="2C567FD4"/>
    <w:rsid w:val="2C602ECD"/>
    <w:rsid w:val="2C862667"/>
    <w:rsid w:val="2CB6322F"/>
    <w:rsid w:val="2D032C37"/>
    <w:rsid w:val="2D355E3C"/>
    <w:rsid w:val="2D430559"/>
    <w:rsid w:val="2D522E91"/>
    <w:rsid w:val="2D7C1A92"/>
    <w:rsid w:val="2DA05194"/>
    <w:rsid w:val="2DB9D4B3"/>
    <w:rsid w:val="2DD0534B"/>
    <w:rsid w:val="2DDD6F89"/>
    <w:rsid w:val="2DEDAA01"/>
    <w:rsid w:val="2DF79B19"/>
    <w:rsid w:val="2E440819"/>
    <w:rsid w:val="2E89643F"/>
    <w:rsid w:val="2E982B26"/>
    <w:rsid w:val="2E99F187"/>
    <w:rsid w:val="2EDF98AD"/>
    <w:rsid w:val="2F0E56A5"/>
    <w:rsid w:val="2F5D2F5C"/>
    <w:rsid w:val="2F5FC66A"/>
    <w:rsid w:val="2F703E1A"/>
    <w:rsid w:val="2F7F25FD"/>
    <w:rsid w:val="2F920DA6"/>
    <w:rsid w:val="2F9E57B3"/>
    <w:rsid w:val="2FC784F4"/>
    <w:rsid w:val="2FC9E4D4"/>
    <w:rsid w:val="2FCBD81B"/>
    <w:rsid w:val="2FCCFD87"/>
    <w:rsid w:val="2FEB513C"/>
    <w:rsid w:val="2FF5A3ED"/>
    <w:rsid w:val="2FF655F5"/>
    <w:rsid w:val="2FFA5B91"/>
    <w:rsid w:val="2FFAF56F"/>
    <w:rsid w:val="2FFF2723"/>
    <w:rsid w:val="2FFF2C2B"/>
    <w:rsid w:val="2FFF49B9"/>
    <w:rsid w:val="30192862"/>
    <w:rsid w:val="30434E5C"/>
    <w:rsid w:val="305626BE"/>
    <w:rsid w:val="30640F12"/>
    <w:rsid w:val="30B70026"/>
    <w:rsid w:val="30F13248"/>
    <w:rsid w:val="30F60C4E"/>
    <w:rsid w:val="30F93D50"/>
    <w:rsid w:val="314174A5"/>
    <w:rsid w:val="315A2BE3"/>
    <w:rsid w:val="31633C2E"/>
    <w:rsid w:val="31647A1E"/>
    <w:rsid w:val="31BFAA6D"/>
    <w:rsid w:val="31FD161E"/>
    <w:rsid w:val="32335040"/>
    <w:rsid w:val="325B00F2"/>
    <w:rsid w:val="3269F531"/>
    <w:rsid w:val="328C29A2"/>
    <w:rsid w:val="329830F5"/>
    <w:rsid w:val="32CB5278"/>
    <w:rsid w:val="32EE540A"/>
    <w:rsid w:val="32F32A21"/>
    <w:rsid w:val="333A23FE"/>
    <w:rsid w:val="33460DA3"/>
    <w:rsid w:val="334868C9"/>
    <w:rsid w:val="335EB6A4"/>
    <w:rsid w:val="3369683F"/>
    <w:rsid w:val="33765A8C"/>
    <w:rsid w:val="337B412C"/>
    <w:rsid w:val="339C4E66"/>
    <w:rsid w:val="33ADED55"/>
    <w:rsid w:val="33DB25AC"/>
    <w:rsid w:val="33EA5A6D"/>
    <w:rsid w:val="33EC2081"/>
    <w:rsid w:val="33F64577"/>
    <w:rsid w:val="33FC9D8E"/>
    <w:rsid w:val="33FF5F8F"/>
    <w:rsid w:val="34237336"/>
    <w:rsid w:val="34362BC5"/>
    <w:rsid w:val="344A2B14"/>
    <w:rsid w:val="347FA497"/>
    <w:rsid w:val="34831B82"/>
    <w:rsid w:val="348E54E9"/>
    <w:rsid w:val="34AC732B"/>
    <w:rsid w:val="34EAF167"/>
    <w:rsid w:val="34F50233"/>
    <w:rsid w:val="351C625F"/>
    <w:rsid w:val="35FB2318"/>
    <w:rsid w:val="35FFCAEB"/>
    <w:rsid w:val="365E6403"/>
    <w:rsid w:val="369736C3"/>
    <w:rsid w:val="369D33CF"/>
    <w:rsid w:val="36C56777"/>
    <w:rsid w:val="36CF10AF"/>
    <w:rsid w:val="36D5D621"/>
    <w:rsid w:val="36F73F96"/>
    <w:rsid w:val="36FF4D04"/>
    <w:rsid w:val="36FF6D2B"/>
    <w:rsid w:val="370A20E7"/>
    <w:rsid w:val="37147850"/>
    <w:rsid w:val="371511B8"/>
    <w:rsid w:val="37161804"/>
    <w:rsid w:val="373F1875"/>
    <w:rsid w:val="37415715"/>
    <w:rsid w:val="377379D8"/>
    <w:rsid w:val="377BF16E"/>
    <w:rsid w:val="377F2E06"/>
    <w:rsid w:val="378B7ED8"/>
    <w:rsid w:val="378DDD10"/>
    <w:rsid w:val="37AEA863"/>
    <w:rsid w:val="37C404E8"/>
    <w:rsid w:val="37D63A11"/>
    <w:rsid w:val="37EFDCCC"/>
    <w:rsid w:val="37FC6855"/>
    <w:rsid w:val="37FD27B8"/>
    <w:rsid w:val="37FE24B7"/>
    <w:rsid w:val="391FABC5"/>
    <w:rsid w:val="393EAA78"/>
    <w:rsid w:val="393F5B13"/>
    <w:rsid w:val="39447B32"/>
    <w:rsid w:val="39882115"/>
    <w:rsid w:val="39B3B518"/>
    <w:rsid w:val="39B81F56"/>
    <w:rsid w:val="39DFA9B4"/>
    <w:rsid w:val="39E763EC"/>
    <w:rsid w:val="39E82BB3"/>
    <w:rsid w:val="39F33306"/>
    <w:rsid w:val="39FA0E16"/>
    <w:rsid w:val="39FF807C"/>
    <w:rsid w:val="3A1B00E2"/>
    <w:rsid w:val="3A5D0DC3"/>
    <w:rsid w:val="3AC76C6D"/>
    <w:rsid w:val="3AFE02D7"/>
    <w:rsid w:val="3AFE0F0A"/>
    <w:rsid w:val="3B2A71FC"/>
    <w:rsid w:val="3B5F50F7"/>
    <w:rsid w:val="3B67A8F6"/>
    <w:rsid w:val="3B771EAB"/>
    <w:rsid w:val="3B77E9B3"/>
    <w:rsid w:val="3B7CBFBC"/>
    <w:rsid w:val="3B7E323E"/>
    <w:rsid w:val="3BBF1CFB"/>
    <w:rsid w:val="3BBF6D86"/>
    <w:rsid w:val="3BC5ACD4"/>
    <w:rsid w:val="3BC62A80"/>
    <w:rsid w:val="3BCE7B87"/>
    <w:rsid w:val="3BDC22A4"/>
    <w:rsid w:val="3BDF2372"/>
    <w:rsid w:val="3BDFB047"/>
    <w:rsid w:val="3BE13937"/>
    <w:rsid w:val="3BF740A7"/>
    <w:rsid w:val="3BFCDA60"/>
    <w:rsid w:val="3BFCF70C"/>
    <w:rsid w:val="3BFF3DAD"/>
    <w:rsid w:val="3BFF4383"/>
    <w:rsid w:val="3BFF6B07"/>
    <w:rsid w:val="3C036298"/>
    <w:rsid w:val="3C5C5193"/>
    <w:rsid w:val="3C9BA714"/>
    <w:rsid w:val="3CA3249F"/>
    <w:rsid w:val="3CCA3100"/>
    <w:rsid w:val="3CDB5425"/>
    <w:rsid w:val="3CF64CC4"/>
    <w:rsid w:val="3CFF5CC5"/>
    <w:rsid w:val="3D167A38"/>
    <w:rsid w:val="3D33E9DB"/>
    <w:rsid w:val="3D67E2B2"/>
    <w:rsid w:val="3D7D2AAC"/>
    <w:rsid w:val="3D8B6100"/>
    <w:rsid w:val="3D9F4AD0"/>
    <w:rsid w:val="3DBF8240"/>
    <w:rsid w:val="3DC7D099"/>
    <w:rsid w:val="3DCE6765"/>
    <w:rsid w:val="3DD78A06"/>
    <w:rsid w:val="3DDFACA4"/>
    <w:rsid w:val="3DEF4154"/>
    <w:rsid w:val="3DF67475"/>
    <w:rsid w:val="3DFA8581"/>
    <w:rsid w:val="3DFB595E"/>
    <w:rsid w:val="3DFDFE10"/>
    <w:rsid w:val="3DFF5312"/>
    <w:rsid w:val="3E1B341C"/>
    <w:rsid w:val="3E24509F"/>
    <w:rsid w:val="3E353EED"/>
    <w:rsid w:val="3E3D0FF4"/>
    <w:rsid w:val="3E646581"/>
    <w:rsid w:val="3E7FC95C"/>
    <w:rsid w:val="3E8B9115"/>
    <w:rsid w:val="3E8C5546"/>
    <w:rsid w:val="3EA3354D"/>
    <w:rsid w:val="3EBE2135"/>
    <w:rsid w:val="3EDD421D"/>
    <w:rsid w:val="3EDFC9E5"/>
    <w:rsid w:val="3EF8CA0D"/>
    <w:rsid w:val="3EFF5DA5"/>
    <w:rsid w:val="3EFFA10B"/>
    <w:rsid w:val="3EFFDF9E"/>
    <w:rsid w:val="3F142A51"/>
    <w:rsid w:val="3F1E9C0F"/>
    <w:rsid w:val="3F4FA9E1"/>
    <w:rsid w:val="3F5F183A"/>
    <w:rsid w:val="3F5FAB01"/>
    <w:rsid w:val="3F602864"/>
    <w:rsid w:val="3F6F342F"/>
    <w:rsid w:val="3F6F360A"/>
    <w:rsid w:val="3F786884"/>
    <w:rsid w:val="3F864E3C"/>
    <w:rsid w:val="3F968D25"/>
    <w:rsid w:val="3F9F14AD"/>
    <w:rsid w:val="3FAF944D"/>
    <w:rsid w:val="3FB74416"/>
    <w:rsid w:val="3FB79681"/>
    <w:rsid w:val="3FBBE14D"/>
    <w:rsid w:val="3FC25C55"/>
    <w:rsid w:val="3FDF3A25"/>
    <w:rsid w:val="3FDFBDBB"/>
    <w:rsid w:val="3FE3EBE1"/>
    <w:rsid w:val="3FEAED62"/>
    <w:rsid w:val="3FEAF2F9"/>
    <w:rsid w:val="3FEDDCD4"/>
    <w:rsid w:val="3FEDF35F"/>
    <w:rsid w:val="3FEEB2C4"/>
    <w:rsid w:val="3FEF631E"/>
    <w:rsid w:val="3FEF944C"/>
    <w:rsid w:val="3FEFD8E1"/>
    <w:rsid w:val="3FF3AD54"/>
    <w:rsid w:val="3FF555F1"/>
    <w:rsid w:val="3FF75695"/>
    <w:rsid w:val="3FF76775"/>
    <w:rsid w:val="3FF83425"/>
    <w:rsid w:val="3FFB9844"/>
    <w:rsid w:val="3FFD185B"/>
    <w:rsid w:val="3FFDA20E"/>
    <w:rsid w:val="3FFF680B"/>
    <w:rsid w:val="3FFFCE8F"/>
    <w:rsid w:val="3FFFFB44"/>
    <w:rsid w:val="400E0E9A"/>
    <w:rsid w:val="401B7113"/>
    <w:rsid w:val="402611B6"/>
    <w:rsid w:val="402C30CE"/>
    <w:rsid w:val="40B4105A"/>
    <w:rsid w:val="40BC1C13"/>
    <w:rsid w:val="40C77C97"/>
    <w:rsid w:val="40D519B8"/>
    <w:rsid w:val="40D53766"/>
    <w:rsid w:val="40EE65D6"/>
    <w:rsid w:val="41065AEE"/>
    <w:rsid w:val="410A7440"/>
    <w:rsid w:val="41807B75"/>
    <w:rsid w:val="41986C6D"/>
    <w:rsid w:val="41B65345"/>
    <w:rsid w:val="41C537DA"/>
    <w:rsid w:val="41E579D9"/>
    <w:rsid w:val="42012A19"/>
    <w:rsid w:val="42112A00"/>
    <w:rsid w:val="421E3839"/>
    <w:rsid w:val="423A5F76"/>
    <w:rsid w:val="427162C8"/>
    <w:rsid w:val="428B1E10"/>
    <w:rsid w:val="42C85330"/>
    <w:rsid w:val="43083002"/>
    <w:rsid w:val="431B1DF6"/>
    <w:rsid w:val="433E55F2"/>
    <w:rsid w:val="43715C63"/>
    <w:rsid w:val="43C024AB"/>
    <w:rsid w:val="43E42490"/>
    <w:rsid w:val="44037520"/>
    <w:rsid w:val="44303CBA"/>
    <w:rsid w:val="4436276D"/>
    <w:rsid w:val="44444E8A"/>
    <w:rsid w:val="446217B4"/>
    <w:rsid w:val="446F239D"/>
    <w:rsid w:val="44E55C94"/>
    <w:rsid w:val="44FF8F73"/>
    <w:rsid w:val="45124285"/>
    <w:rsid w:val="45124DE6"/>
    <w:rsid w:val="45181E73"/>
    <w:rsid w:val="451E392D"/>
    <w:rsid w:val="452A0524"/>
    <w:rsid w:val="453F38A4"/>
    <w:rsid w:val="458D14F8"/>
    <w:rsid w:val="45BB7D03"/>
    <w:rsid w:val="469519CD"/>
    <w:rsid w:val="46AF0597"/>
    <w:rsid w:val="46D36999"/>
    <w:rsid w:val="471F398D"/>
    <w:rsid w:val="472D02B9"/>
    <w:rsid w:val="47470F6D"/>
    <w:rsid w:val="47595826"/>
    <w:rsid w:val="477113CC"/>
    <w:rsid w:val="477FEEA9"/>
    <w:rsid w:val="478101A3"/>
    <w:rsid w:val="47994BA0"/>
    <w:rsid w:val="479E48B1"/>
    <w:rsid w:val="47B003D5"/>
    <w:rsid w:val="47B40579"/>
    <w:rsid w:val="47CB7B99"/>
    <w:rsid w:val="47D1337E"/>
    <w:rsid w:val="47EB7E9E"/>
    <w:rsid w:val="47F22E4F"/>
    <w:rsid w:val="47F284D7"/>
    <w:rsid w:val="47FB7F56"/>
    <w:rsid w:val="47FD50B0"/>
    <w:rsid w:val="481D3A68"/>
    <w:rsid w:val="48253225"/>
    <w:rsid w:val="483F42E6"/>
    <w:rsid w:val="4860600B"/>
    <w:rsid w:val="48627BEA"/>
    <w:rsid w:val="486D24D6"/>
    <w:rsid w:val="487424BD"/>
    <w:rsid w:val="489D100D"/>
    <w:rsid w:val="48A405ED"/>
    <w:rsid w:val="48CC3761"/>
    <w:rsid w:val="48DE219B"/>
    <w:rsid w:val="48F826E7"/>
    <w:rsid w:val="49025F37"/>
    <w:rsid w:val="49814077"/>
    <w:rsid w:val="49D00F6E"/>
    <w:rsid w:val="49E50EBD"/>
    <w:rsid w:val="4A280DAA"/>
    <w:rsid w:val="4A6D98C3"/>
    <w:rsid w:val="4A727F4B"/>
    <w:rsid w:val="4AB32D6A"/>
    <w:rsid w:val="4AB341BD"/>
    <w:rsid w:val="4ACB00B3"/>
    <w:rsid w:val="4AE84CFE"/>
    <w:rsid w:val="4B2A5372"/>
    <w:rsid w:val="4B3D0885"/>
    <w:rsid w:val="4B49112B"/>
    <w:rsid w:val="4B4A78FA"/>
    <w:rsid w:val="4B524331"/>
    <w:rsid w:val="4B5A976E"/>
    <w:rsid w:val="4B7F8B2B"/>
    <w:rsid w:val="4BB723E6"/>
    <w:rsid w:val="4BDF5450"/>
    <w:rsid w:val="4BE73ECA"/>
    <w:rsid w:val="4BFB25F5"/>
    <w:rsid w:val="4BFD2F66"/>
    <w:rsid w:val="4BFECF38"/>
    <w:rsid w:val="4C285091"/>
    <w:rsid w:val="4C2D4456"/>
    <w:rsid w:val="4C365A00"/>
    <w:rsid w:val="4C742085"/>
    <w:rsid w:val="4C76404F"/>
    <w:rsid w:val="4C806C7C"/>
    <w:rsid w:val="4C847440"/>
    <w:rsid w:val="4CED7AA8"/>
    <w:rsid w:val="4CF65190"/>
    <w:rsid w:val="4CF757AF"/>
    <w:rsid w:val="4D2770F7"/>
    <w:rsid w:val="4D491763"/>
    <w:rsid w:val="4D4C7A54"/>
    <w:rsid w:val="4D565C2E"/>
    <w:rsid w:val="4D6B3488"/>
    <w:rsid w:val="4D771243"/>
    <w:rsid w:val="4DA05D99"/>
    <w:rsid w:val="4DB841F3"/>
    <w:rsid w:val="4DBE4E9F"/>
    <w:rsid w:val="4DD728CB"/>
    <w:rsid w:val="4DDF69CA"/>
    <w:rsid w:val="4DE95F32"/>
    <w:rsid w:val="4DEB281B"/>
    <w:rsid w:val="4DEE9EA4"/>
    <w:rsid w:val="4DFAE9A0"/>
    <w:rsid w:val="4DFB1DC8"/>
    <w:rsid w:val="4E9B1084"/>
    <w:rsid w:val="4E9F4F3F"/>
    <w:rsid w:val="4EBD0D85"/>
    <w:rsid w:val="4EC77E93"/>
    <w:rsid w:val="4EF74C42"/>
    <w:rsid w:val="4EFBD018"/>
    <w:rsid w:val="4EFF2353"/>
    <w:rsid w:val="4F2274AC"/>
    <w:rsid w:val="4F4D2279"/>
    <w:rsid w:val="4F5C165B"/>
    <w:rsid w:val="4F74FCE0"/>
    <w:rsid w:val="4F7D3611"/>
    <w:rsid w:val="4F7EAE02"/>
    <w:rsid w:val="4FAA40B0"/>
    <w:rsid w:val="4FAFA869"/>
    <w:rsid w:val="4FB7A9A1"/>
    <w:rsid w:val="4FBA3567"/>
    <w:rsid w:val="4FBF1F7C"/>
    <w:rsid w:val="4FBF38B7"/>
    <w:rsid w:val="4FDC8D4E"/>
    <w:rsid w:val="4FE2F56E"/>
    <w:rsid w:val="4FEB9B16"/>
    <w:rsid w:val="4FED4628"/>
    <w:rsid w:val="4FF5CDF6"/>
    <w:rsid w:val="4FFB107F"/>
    <w:rsid w:val="4FFD0A1B"/>
    <w:rsid w:val="50033E4B"/>
    <w:rsid w:val="500B71A4"/>
    <w:rsid w:val="50153B7F"/>
    <w:rsid w:val="502D2C76"/>
    <w:rsid w:val="50447FC0"/>
    <w:rsid w:val="504D3319"/>
    <w:rsid w:val="506A211C"/>
    <w:rsid w:val="50744D49"/>
    <w:rsid w:val="50970A38"/>
    <w:rsid w:val="50DC644B"/>
    <w:rsid w:val="51090C30"/>
    <w:rsid w:val="513F7105"/>
    <w:rsid w:val="514B1406"/>
    <w:rsid w:val="515F5CDB"/>
    <w:rsid w:val="516D7E41"/>
    <w:rsid w:val="51743CE6"/>
    <w:rsid w:val="51759224"/>
    <w:rsid w:val="51783D88"/>
    <w:rsid w:val="51916FD1"/>
    <w:rsid w:val="51B11685"/>
    <w:rsid w:val="51FD7E40"/>
    <w:rsid w:val="523429E2"/>
    <w:rsid w:val="52530FF8"/>
    <w:rsid w:val="52D92F47"/>
    <w:rsid w:val="533A6B9D"/>
    <w:rsid w:val="533D7674"/>
    <w:rsid w:val="534053B7"/>
    <w:rsid w:val="5344F8B1"/>
    <w:rsid w:val="53533E63"/>
    <w:rsid w:val="536746F1"/>
    <w:rsid w:val="537E0735"/>
    <w:rsid w:val="53876B42"/>
    <w:rsid w:val="538D5EB1"/>
    <w:rsid w:val="538E3985"/>
    <w:rsid w:val="53955F69"/>
    <w:rsid w:val="539D0113"/>
    <w:rsid w:val="53AB6BB4"/>
    <w:rsid w:val="53BF41CE"/>
    <w:rsid w:val="53CC27A6"/>
    <w:rsid w:val="53E53868"/>
    <w:rsid w:val="53E93358"/>
    <w:rsid w:val="53F1045F"/>
    <w:rsid w:val="53FD2317"/>
    <w:rsid w:val="53FDC667"/>
    <w:rsid w:val="53FF8C69"/>
    <w:rsid w:val="540463E4"/>
    <w:rsid w:val="5415414D"/>
    <w:rsid w:val="54221BB4"/>
    <w:rsid w:val="54243B24"/>
    <w:rsid w:val="543835BD"/>
    <w:rsid w:val="543C792C"/>
    <w:rsid w:val="547FC26E"/>
    <w:rsid w:val="54992445"/>
    <w:rsid w:val="54BBE28F"/>
    <w:rsid w:val="54C95985"/>
    <w:rsid w:val="54DD48DD"/>
    <w:rsid w:val="55103AE6"/>
    <w:rsid w:val="55115317"/>
    <w:rsid w:val="553E5926"/>
    <w:rsid w:val="555D3FFE"/>
    <w:rsid w:val="55651104"/>
    <w:rsid w:val="557BFC5C"/>
    <w:rsid w:val="55B31E70"/>
    <w:rsid w:val="55D703C5"/>
    <w:rsid w:val="55D74F60"/>
    <w:rsid w:val="55F34962"/>
    <w:rsid w:val="55F363F6"/>
    <w:rsid w:val="55FD00E0"/>
    <w:rsid w:val="55FD76D0"/>
    <w:rsid w:val="56A95021"/>
    <w:rsid w:val="56B19C7F"/>
    <w:rsid w:val="56D3E763"/>
    <w:rsid w:val="56E74E12"/>
    <w:rsid w:val="56EE0C86"/>
    <w:rsid w:val="56EF4104"/>
    <w:rsid w:val="56FF567F"/>
    <w:rsid w:val="57062473"/>
    <w:rsid w:val="57106E4E"/>
    <w:rsid w:val="571F7DFB"/>
    <w:rsid w:val="573E7752"/>
    <w:rsid w:val="5776C3D9"/>
    <w:rsid w:val="577E64AD"/>
    <w:rsid w:val="577F6A9F"/>
    <w:rsid w:val="577FB35D"/>
    <w:rsid w:val="5799298C"/>
    <w:rsid w:val="579FFBF2"/>
    <w:rsid w:val="57AF37A8"/>
    <w:rsid w:val="57B63E99"/>
    <w:rsid w:val="57BFE79A"/>
    <w:rsid w:val="57ED341E"/>
    <w:rsid w:val="57F33A39"/>
    <w:rsid w:val="57F7E518"/>
    <w:rsid w:val="57F97537"/>
    <w:rsid w:val="57FB5136"/>
    <w:rsid w:val="57FF1671"/>
    <w:rsid w:val="57FF712F"/>
    <w:rsid w:val="58006EC2"/>
    <w:rsid w:val="5818245E"/>
    <w:rsid w:val="583F3E8F"/>
    <w:rsid w:val="58657C25"/>
    <w:rsid w:val="587363AB"/>
    <w:rsid w:val="589F40B5"/>
    <w:rsid w:val="58E12282"/>
    <w:rsid w:val="59195E34"/>
    <w:rsid w:val="5923730C"/>
    <w:rsid w:val="5928031A"/>
    <w:rsid w:val="59305585"/>
    <w:rsid w:val="59396B30"/>
    <w:rsid w:val="59404A9D"/>
    <w:rsid w:val="59611BE3"/>
    <w:rsid w:val="59BB12F3"/>
    <w:rsid w:val="59F5E983"/>
    <w:rsid w:val="59FCF3EF"/>
    <w:rsid w:val="59FF6839"/>
    <w:rsid w:val="5A1629CD"/>
    <w:rsid w:val="5A1BBA80"/>
    <w:rsid w:val="5A2E41BB"/>
    <w:rsid w:val="5A320287"/>
    <w:rsid w:val="5A33532D"/>
    <w:rsid w:val="5A3E3C53"/>
    <w:rsid w:val="5A436A4F"/>
    <w:rsid w:val="5A754311"/>
    <w:rsid w:val="5A7BF0E1"/>
    <w:rsid w:val="5A963B0E"/>
    <w:rsid w:val="5AAB71FD"/>
    <w:rsid w:val="5ABE28B2"/>
    <w:rsid w:val="5AC44FC1"/>
    <w:rsid w:val="5AFE2AB5"/>
    <w:rsid w:val="5B092532"/>
    <w:rsid w:val="5B101B12"/>
    <w:rsid w:val="5B1C31CD"/>
    <w:rsid w:val="5B303F63"/>
    <w:rsid w:val="5B445318"/>
    <w:rsid w:val="5B590DC3"/>
    <w:rsid w:val="5B670766"/>
    <w:rsid w:val="5B70610D"/>
    <w:rsid w:val="5B78C749"/>
    <w:rsid w:val="5B83E85E"/>
    <w:rsid w:val="5B9BD7CA"/>
    <w:rsid w:val="5B9E2C7A"/>
    <w:rsid w:val="5BA214E3"/>
    <w:rsid w:val="5BA5E4E9"/>
    <w:rsid w:val="5BB89E5A"/>
    <w:rsid w:val="5BBC785B"/>
    <w:rsid w:val="5BD17844"/>
    <w:rsid w:val="5BFB7F8C"/>
    <w:rsid w:val="5BFBF10F"/>
    <w:rsid w:val="5BFFBE05"/>
    <w:rsid w:val="5C186ED1"/>
    <w:rsid w:val="5C3F1C54"/>
    <w:rsid w:val="5CE81F53"/>
    <w:rsid w:val="5CFC4075"/>
    <w:rsid w:val="5D1F428F"/>
    <w:rsid w:val="5D481659"/>
    <w:rsid w:val="5D5D6393"/>
    <w:rsid w:val="5D5F57CB"/>
    <w:rsid w:val="5D7A56E1"/>
    <w:rsid w:val="5D7F9AA6"/>
    <w:rsid w:val="5D879376"/>
    <w:rsid w:val="5D9407D9"/>
    <w:rsid w:val="5D9D9E79"/>
    <w:rsid w:val="5D9F6740"/>
    <w:rsid w:val="5DBE7A38"/>
    <w:rsid w:val="5DBF88B1"/>
    <w:rsid w:val="5DEF28C6"/>
    <w:rsid w:val="5DEF5A0F"/>
    <w:rsid w:val="5DF03535"/>
    <w:rsid w:val="5DF3698E"/>
    <w:rsid w:val="5DF6244C"/>
    <w:rsid w:val="5DFE529D"/>
    <w:rsid w:val="5DFF027E"/>
    <w:rsid w:val="5E2A76E5"/>
    <w:rsid w:val="5E2F22B0"/>
    <w:rsid w:val="5E305A39"/>
    <w:rsid w:val="5E331CDD"/>
    <w:rsid w:val="5E6B2B03"/>
    <w:rsid w:val="5E73398D"/>
    <w:rsid w:val="5E79572D"/>
    <w:rsid w:val="5E8819C0"/>
    <w:rsid w:val="5EBF5A54"/>
    <w:rsid w:val="5ECF833A"/>
    <w:rsid w:val="5EEE9AF3"/>
    <w:rsid w:val="5EEF11C3"/>
    <w:rsid w:val="5EF1B924"/>
    <w:rsid w:val="5EF7FA63"/>
    <w:rsid w:val="5EFB3B56"/>
    <w:rsid w:val="5EFDC9AD"/>
    <w:rsid w:val="5EFFE28C"/>
    <w:rsid w:val="5F0CE1C3"/>
    <w:rsid w:val="5F1DD56F"/>
    <w:rsid w:val="5F37F7AD"/>
    <w:rsid w:val="5F3E8EA7"/>
    <w:rsid w:val="5F4DDCB4"/>
    <w:rsid w:val="5F5E82AD"/>
    <w:rsid w:val="5F5F24FF"/>
    <w:rsid w:val="5F6F5194"/>
    <w:rsid w:val="5F7BD8C7"/>
    <w:rsid w:val="5F7E8E92"/>
    <w:rsid w:val="5FA43013"/>
    <w:rsid w:val="5FAF565E"/>
    <w:rsid w:val="5FB8156D"/>
    <w:rsid w:val="5FB92779"/>
    <w:rsid w:val="5FBB3F6D"/>
    <w:rsid w:val="5FBB8CC2"/>
    <w:rsid w:val="5FD67B3A"/>
    <w:rsid w:val="5FDFAB7D"/>
    <w:rsid w:val="5FE90F16"/>
    <w:rsid w:val="5FF22C5A"/>
    <w:rsid w:val="5FF27A20"/>
    <w:rsid w:val="5FF2D4B3"/>
    <w:rsid w:val="5FF3E36D"/>
    <w:rsid w:val="5FF5D21A"/>
    <w:rsid w:val="5FF737CB"/>
    <w:rsid w:val="5FFBE397"/>
    <w:rsid w:val="5FFD2D29"/>
    <w:rsid w:val="5FFE6BBA"/>
    <w:rsid w:val="5FFE7D05"/>
    <w:rsid w:val="5FFF4CE6"/>
    <w:rsid w:val="601F1559"/>
    <w:rsid w:val="602F6597"/>
    <w:rsid w:val="6055131D"/>
    <w:rsid w:val="60580B10"/>
    <w:rsid w:val="605E5B2A"/>
    <w:rsid w:val="606F4BE5"/>
    <w:rsid w:val="607B7A2E"/>
    <w:rsid w:val="60854409"/>
    <w:rsid w:val="60874625"/>
    <w:rsid w:val="608C5797"/>
    <w:rsid w:val="60A30D33"/>
    <w:rsid w:val="60B5098E"/>
    <w:rsid w:val="61071C8B"/>
    <w:rsid w:val="61080CB6"/>
    <w:rsid w:val="611A121D"/>
    <w:rsid w:val="612A5C2C"/>
    <w:rsid w:val="614F73D5"/>
    <w:rsid w:val="61572249"/>
    <w:rsid w:val="61897F29"/>
    <w:rsid w:val="61BA6334"/>
    <w:rsid w:val="61D94FD1"/>
    <w:rsid w:val="61FD80B3"/>
    <w:rsid w:val="624502F4"/>
    <w:rsid w:val="628C5F22"/>
    <w:rsid w:val="62AA63A9"/>
    <w:rsid w:val="62CB1ECC"/>
    <w:rsid w:val="6360128C"/>
    <w:rsid w:val="63917771"/>
    <w:rsid w:val="63B70D7D"/>
    <w:rsid w:val="63BC0650"/>
    <w:rsid w:val="63BE4D02"/>
    <w:rsid w:val="63C83C57"/>
    <w:rsid w:val="63F56604"/>
    <w:rsid w:val="63FF0A8F"/>
    <w:rsid w:val="63FFE385"/>
    <w:rsid w:val="6411656A"/>
    <w:rsid w:val="641C3AF0"/>
    <w:rsid w:val="6421269A"/>
    <w:rsid w:val="6463193A"/>
    <w:rsid w:val="646D58E0"/>
    <w:rsid w:val="64722EF6"/>
    <w:rsid w:val="647F0B47"/>
    <w:rsid w:val="64925346"/>
    <w:rsid w:val="649B069F"/>
    <w:rsid w:val="64B13A1E"/>
    <w:rsid w:val="64B96D77"/>
    <w:rsid w:val="64BFB844"/>
    <w:rsid w:val="64DD5792"/>
    <w:rsid w:val="64E33DF4"/>
    <w:rsid w:val="64FD410C"/>
    <w:rsid w:val="650F3EE6"/>
    <w:rsid w:val="650F430C"/>
    <w:rsid w:val="650F4BE9"/>
    <w:rsid w:val="65271F32"/>
    <w:rsid w:val="65510D5D"/>
    <w:rsid w:val="65D07B0C"/>
    <w:rsid w:val="65E6CEBF"/>
    <w:rsid w:val="65EFFD02"/>
    <w:rsid w:val="65F3850B"/>
    <w:rsid w:val="65F53DDF"/>
    <w:rsid w:val="65FA484A"/>
    <w:rsid w:val="65FF146D"/>
    <w:rsid w:val="660B3602"/>
    <w:rsid w:val="661204ED"/>
    <w:rsid w:val="6692162D"/>
    <w:rsid w:val="66AC6B93"/>
    <w:rsid w:val="66C8504F"/>
    <w:rsid w:val="66D24120"/>
    <w:rsid w:val="66D4616C"/>
    <w:rsid w:val="66FB6F77"/>
    <w:rsid w:val="67386535"/>
    <w:rsid w:val="6739419F"/>
    <w:rsid w:val="67851192"/>
    <w:rsid w:val="679F2254"/>
    <w:rsid w:val="679FEEFB"/>
    <w:rsid w:val="67B670B9"/>
    <w:rsid w:val="67C41CBB"/>
    <w:rsid w:val="67CF5115"/>
    <w:rsid w:val="67DFD320"/>
    <w:rsid w:val="67EDB3B9"/>
    <w:rsid w:val="67EFAEF0"/>
    <w:rsid w:val="67F4D4D2"/>
    <w:rsid w:val="67F66155"/>
    <w:rsid w:val="67F79CFA"/>
    <w:rsid w:val="67FC6E5C"/>
    <w:rsid w:val="67FE4FC1"/>
    <w:rsid w:val="680D4BA1"/>
    <w:rsid w:val="681E511F"/>
    <w:rsid w:val="68212C69"/>
    <w:rsid w:val="68802085"/>
    <w:rsid w:val="68A34419"/>
    <w:rsid w:val="68AF49AB"/>
    <w:rsid w:val="68BC5EB7"/>
    <w:rsid w:val="68F4DA95"/>
    <w:rsid w:val="68FF374C"/>
    <w:rsid w:val="690E58E3"/>
    <w:rsid w:val="693E784B"/>
    <w:rsid w:val="694A37F8"/>
    <w:rsid w:val="694C01BA"/>
    <w:rsid w:val="69561A09"/>
    <w:rsid w:val="69913E1E"/>
    <w:rsid w:val="69BF6A53"/>
    <w:rsid w:val="69CE51D8"/>
    <w:rsid w:val="69EFA75A"/>
    <w:rsid w:val="69F149D2"/>
    <w:rsid w:val="69F781E9"/>
    <w:rsid w:val="69FDF53D"/>
    <w:rsid w:val="69FDFB7F"/>
    <w:rsid w:val="6A136F29"/>
    <w:rsid w:val="6A2E78BF"/>
    <w:rsid w:val="6A7823ED"/>
    <w:rsid w:val="6A9C2A7B"/>
    <w:rsid w:val="6AB85549"/>
    <w:rsid w:val="6AC36259"/>
    <w:rsid w:val="6AE91F54"/>
    <w:rsid w:val="6AF72E29"/>
    <w:rsid w:val="6AFF8323"/>
    <w:rsid w:val="6B2211F4"/>
    <w:rsid w:val="6B4D1FC7"/>
    <w:rsid w:val="6B511AB7"/>
    <w:rsid w:val="6B574BF4"/>
    <w:rsid w:val="6B5C5DC0"/>
    <w:rsid w:val="6B5D4D71"/>
    <w:rsid w:val="6B5E09C6"/>
    <w:rsid w:val="6B715CB5"/>
    <w:rsid w:val="6B7FBBF4"/>
    <w:rsid w:val="6BC820D9"/>
    <w:rsid w:val="6BEC17E0"/>
    <w:rsid w:val="6BFF4DDD"/>
    <w:rsid w:val="6C1D5E3D"/>
    <w:rsid w:val="6C3BFA4A"/>
    <w:rsid w:val="6C77D343"/>
    <w:rsid w:val="6C96621E"/>
    <w:rsid w:val="6CA83959"/>
    <w:rsid w:val="6CB124BD"/>
    <w:rsid w:val="6CC97DAB"/>
    <w:rsid w:val="6CDF3865"/>
    <w:rsid w:val="6CF546C4"/>
    <w:rsid w:val="6CFC0641"/>
    <w:rsid w:val="6CFF4661"/>
    <w:rsid w:val="6D65A317"/>
    <w:rsid w:val="6D6D06FE"/>
    <w:rsid w:val="6D6F4E13"/>
    <w:rsid w:val="6D723F67"/>
    <w:rsid w:val="6D73236B"/>
    <w:rsid w:val="6D8EFDE0"/>
    <w:rsid w:val="6D967C55"/>
    <w:rsid w:val="6D9835EA"/>
    <w:rsid w:val="6D9FA245"/>
    <w:rsid w:val="6DB83E15"/>
    <w:rsid w:val="6DB93944"/>
    <w:rsid w:val="6DBFFCD5"/>
    <w:rsid w:val="6DD50263"/>
    <w:rsid w:val="6DDB5FB0"/>
    <w:rsid w:val="6DDF646F"/>
    <w:rsid w:val="6DEA6105"/>
    <w:rsid w:val="6DEE183F"/>
    <w:rsid w:val="6DF93101"/>
    <w:rsid w:val="6DF96264"/>
    <w:rsid w:val="6DFB1FC4"/>
    <w:rsid w:val="6DFE5748"/>
    <w:rsid w:val="6DFF5835"/>
    <w:rsid w:val="6DFFC3B7"/>
    <w:rsid w:val="6E775AB8"/>
    <w:rsid w:val="6E9F2F49"/>
    <w:rsid w:val="6EA7151B"/>
    <w:rsid w:val="6EB9CE44"/>
    <w:rsid w:val="6EBF0762"/>
    <w:rsid w:val="6ED8604B"/>
    <w:rsid w:val="6EDC4A5C"/>
    <w:rsid w:val="6EDE79E0"/>
    <w:rsid w:val="6EEB3447"/>
    <w:rsid w:val="6EEF31F9"/>
    <w:rsid w:val="6EFBD93F"/>
    <w:rsid w:val="6EFF2BF9"/>
    <w:rsid w:val="6EFFC22C"/>
    <w:rsid w:val="6F084B83"/>
    <w:rsid w:val="6F0A472F"/>
    <w:rsid w:val="6F264CF5"/>
    <w:rsid w:val="6F282B2F"/>
    <w:rsid w:val="6F470821"/>
    <w:rsid w:val="6F4DF9D0"/>
    <w:rsid w:val="6F4F9709"/>
    <w:rsid w:val="6F75C91A"/>
    <w:rsid w:val="6F794AC5"/>
    <w:rsid w:val="6F7B552D"/>
    <w:rsid w:val="6F7B6861"/>
    <w:rsid w:val="6F83705E"/>
    <w:rsid w:val="6F9FBA1A"/>
    <w:rsid w:val="6FAB27D3"/>
    <w:rsid w:val="6FABE3FB"/>
    <w:rsid w:val="6FAD572A"/>
    <w:rsid w:val="6FB37925"/>
    <w:rsid w:val="6FBCABF4"/>
    <w:rsid w:val="6FBD00D0"/>
    <w:rsid w:val="6FBE2E0F"/>
    <w:rsid w:val="6FBF6982"/>
    <w:rsid w:val="6FC84312"/>
    <w:rsid w:val="6FCFA1A8"/>
    <w:rsid w:val="6FD796CF"/>
    <w:rsid w:val="6FDA6D92"/>
    <w:rsid w:val="6FDBBBF7"/>
    <w:rsid w:val="6FDEBC53"/>
    <w:rsid w:val="6FE741FB"/>
    <w:rsid w:val="6FE74CB6"/>
    <w:rsid w:val="6FEA1733"/>
    <w:rsid w:val="6FEBFF31"/>
    <w:rsid w:val="6FEC52AB"/>
    <w:rsid w:val="6FEE6BAE"/>
    <w:rsid w:val="6FEED5EC"/>
    <w:rsid w:val="6FF3AC5E"/>
    <w:rsid w:val="6FF43359"/>
    <w:rsid w:val="6FF7DD75"/>
    <w:rsid w:val="6FF84568"/>
    <w:rsid w:val="6FF9D80B"/>
    <w:rsid w:val="6FFC6476"/>
    <w:rsid w:val="6FFCCB77"/>
    <w:rsid w:val="6FFE6783"/>
    <w:rsid w:val="6FFFD8AA"/>
    <w:rsid w:val="6FFFEF7D"/>
    <w:rsid w:val="700370F8"/>
    <w:rsid w:val="70433998"/>
    <w:rsid w:val="70441BEA"/>
    <w:rsid w:val="704936A5"/>
    <w:rsid w:val="707713BE"/>
    <w:rsid w:val="70A345EE"/>
    <w:rsid w:val="70AB7EBB"/>
    <w:rsid w:val="70ADF9CB"/>
    <w:rsid w:val="70B13BF4"/>
    <w:rsid w:val="70F01D72"/>
    <w:rsid w:val="71017ADB"/>
    <w:rsid w:val="711315BD"/>
    <w:rsid w:val="71186BD3"/>
    <w:rsid w:val="716322C3"/>
    <w:rsid w:val="716342F2"/>
    <w:rsid w:val="71645162"/>
    <w:rsid w:val="71777D9E"/>
    <w:rsid w:val="71996287"/>
    <w:rsid w:val="71BF359D"/>
    <w:rsid w:val="71D368CA"/>
    <w:rsid w:val="71E35433"/>
    <w:rsid w:val="71EFA253"/>
    <w:rsid w:val="71EFDB3C"/>
    <w:rsid w:val="721041F5"/>
    <w:rsid w:val="721346BA"/>
    <w:rsid w:val="721E46BD"/>
    <w:rsid w:val="721F7F8A"/>
    <w:rsid w:val="72541E8D"/>
    <w:rsid w:val="727D5888"/>
    <w:rsid w:val="727DBFD2"/>
    <w:rsid w:val="72A526E9"/>
    <w:rsid w:val="72B04169"/>
    <w:rsid w:val="72EE5E3E"/>
    <w:rsid w:val="72FF4A71"/>
    <w:rsid w:val="73520AC2"/>
    <w:rsid w:val="735CFC1A"/>
    <w:rsid w:val="738D1AFA"/>
    <w:rsid w:val="739F35DC"/>
    <w:rsid w:val="73B5FDCD"/>
    <w:rsid w:val="73BBC937"/>
    <w:rsid w:val="73C51294"/>
    <w:rsid w:val="73C60B68"/>
    <w:rsid w:val="73D9089C"/>
    <w:rsid w:val="73F12317"/>
    <w:rsid w:val="73F7E07C"/>
    <w:rsid w:val="73FEC893"/>
    <w:rsid w:val="73FF0377"/>
    <w:rsid w:val="7423532A"/>
    <w:rsid w:val="742E149A"/>
    <w:rsid w:val="74320410"/>
    <w:rsid w:val="747D0CE3"/>
    <w:rsid w:val="74934EEE"/>
    <w:rsid w:val="74B03CF2"/>
    <w:rsid w:val="74B29AC4"/>
    <w:rsid w:val="74C05308"/>
    <w:rsid w:val="74CF84E6"/>
    <w:rsid w:val="74E41548"/>
    <w:rsid w:val="74FF7233"/>
    <w:rsid w:val="7506649A"/>
    <w:rsid w:val="752C418C"/>
    <w:rsid w:val="752FA104"/>
    <w:rsid w:val="753BFE8A"/>
    <w:rsid w:val="755F75FF"/>
    <w:rsid w:val="75616D9B"/>
    <w:rsid w:val="757A1C0A"/>
    <w:rsid w:val="757F039C"/>
    <w:rsid w:val="757F3455"/>
    <w:rsid w:val="75C53718"/>
    <w:rsid w:val="75DC4673"/>
    <w:rsid w:val="75FB4194"/>
    <w:rsid w:val="75FD2A0C"/>
    <w:rsid w:val="75FE49A8"/>
    <w:rsid w:val="75FF0213"/>
    <w:rsid w:val="75FF07D2"/>
    <w:rsid w:val="76092B19"/>
    <w:rsid w:val="763612C0"/>
    <w:rsid w:val="7636ABD3"/>
    <w:rsid w:val="76375E62"/>
    <w:rsid w:val="763D608D"/>
    <w:rsid w:val="764D7612"/>
    <w:rsid w:val="7662101C"/>
    <w:rsid w:val="76685BD5"/>
    <w:rsid w:val="7677FDD9"/>
    <w:rsid w:val="769361E8"/>
    <w:rsid w:val="76BFCC0D"/>
    <w:rsid w:val="76C3CDAF"/>
    <w:rsid w:val="76CA0970"/>
    <w:rsid w:val="76DE3E86"/>
    <w:rsid w:val="76EF438F"/>
    <w:rsid w:val="76F5AF29"/>
    <w:rsid w:val="76FBF843"/>
    <w:rsid w:val="76FE1EF7"/>
    <w:rsid w:val="76FF4A3A"/>
    <w:rsid w:val="76FFC98D"/>
    <w:rsid w:val="7721F82A"/>
    <w:rsid w:val="772A2FC3"/>
    <w:rsid w:val="773AAFC4"/>
    <w:rsid w:val="77494134"/>
    <w:rsid w:val="775B2D60"/>
    <w:rsid w:val="7763B5D0"/>
    <w:rsid w:val="776EA857"/>
    <w:rsid w:val="7777CF24"/>
    <w:rsid w:val="777F0C12"/>
    <w:rsid w:val="777F12DF"/>
    <w:rsid w:val="777FC50B"/>
    <w:rsid w:val="7797F5FD"/>
    <w:rsid w:val="779BF832"/>
    <w:rsid w:val="77AFB173"/>
    <w:rsid w:val="77B3BE7A"/>
    <w:rsid w:val="77B784F7"/>
    <w:rsid w:val="77BBFABC"/>
    <w:rsid w:val="77BF7A2E"/>
    <w:rsid w:val="77C71506"/>
    <w:rsid w:val="77CF3113"/>
    <w:rsid w:val="77D660C6"/>
    <w:rsid w:val="77D938EE"/>
    <w:rsid w:val="77DF822D"/>
    <w:rsid w:val="77DFD073"/>
    <w:rsid w:val="77E356C9"/>
    <w:rsid w:val="77EA72CA"/>
    <w:rsid w:val="77EC3706"/>
    <w:rsid w:val="77EDF7BA"/>
    <w:rsid w:val="77F67BA0"/>
    <w:rsid w:val="77F7071D"/>
    <w:rsid w:val="77F75281"/>
    <w:rsid w:val="77FA4C42"/>
    <w:rsid w:val="77FAF836"/>
    <w:rsid w:val="77FB4916"/>
    <w:rsid w:val="77FC7366"/>
    <w:rsid w:val="77FD7F10"/>
    <w:rsid w:val="77FDCDF1"/>
    <w:rsid w:val="77FE2FF7"/>
    <w:rsid w:val="77FE6B23"/>
    <w:rsid w:val="77FFCD3F"/>
    <w:rsid w:val="77FFDEA6"/>
    <w:rsid w:val="7835167F"/>
    <w:rsid w:val="787D038F"/>
    <w:rsid w:val="789C633C"/>
    <w:rsid w:val="78DB53BC"/>
    <w:rsid w:val="78E0091E"/>
    <w:rsid w:val="78E2643F"/>
    <w:rsid w:val="78EDEFC7"/>
    <w:rsid w:val="78F70129"/>
    <w:rsid w:val="79077C59"/>
    <w:rsid w:val="7923B7E5"/>
    <w:rsid w:val="792B77F3"/>
    <w:rsid w:val="79541EBA"/>
    <w:rsid w:val="79660EF3"/>
    <w:rsid w:val="799FA29E"/>
    <w:rsid w:val="79A6E685"/>
    <w:rsid w:val="79DD11DE"/>
    <w:rsid w:val="79DE4E5E"/>
    <w:rsid w:val="79E47F9A"/>
    <w:rsid w:val="79F6B52C"/>
    <w:rsid w:val="79F7C7B9"/>
    <w:rsid w:val="79F93C40"/>
    <w:rsid w:val="79FB43EB"/>
    <w:rsid w:val="79FD6AF7"/>
    <w:rsid w:val="79FFD022"/>
    <w:rsid w:val="7A3251AA"/>
    <w:rsid w:val="7A3BF7A1"/>
    <w:rsid w:val="7A486491"/>
    <w:rsid w:val="7A561A1A"/>
    <w:rsid w:val="7A6F9777"/>
    <w:rsid w:val="7A7632E8"/>
    <w:rsid w:val="7AAE2C70"/>
    <w:rsid w:val="7AB22FCA"/>
    <w:rsid w:val="7AB4FADA"/>
    <w:rsid w:val="7AC55567"/>
    <w:rsid w:val="7AFFAC57"/>
    <w:rsid w:val="7B0F54EB"/>
    <w:rsid w:val="7B310FBD"/>
    <w:rsid w:val="7B37A3BE"/>
    <w:rsid w:val="7B502EAE"/>
    <w:rsid w:val="7B564A80"/>
    <w:rsid w:val="7B5DF510"/>
    <w:rsid w:val="7B6B4C8D"/>
    <w:rsid w:val="7B7F3B76"/>
    <w:rsid w:val="7B7F65EA"/>
    <w:rsid w:val="7B9DE2E4"/>
    <w:rsid w:val="7B9F4D5B"/>
    <w:rsid w:val="7B9FCC51"/>
    <w:rsid w:val="7BAB6FC2"/>
    <w:rsid w:val="7BAFA5ED"/>
    <w:rsid w:val="7BBBE17F"/>
    <w:rsid w:val="7BBDE26A"/>
    <w:rsid w:val="7BBED44A"/>
    <w:rsid w:val="7BBF0318"/>
    <w:rsid w:val="7BBF109B"/>
    <w:rsid w:val="7BBF4230"/>
    <w:rsid w:val="7BBF8A17"/>
    <w:rsid w:val="7BC66A47"/>
    <w:rsid w:val="7BCFEB8B"/>
    <w:rsid w:val="7BD692CD"/>
    <w:rsid w:val="7BDE8405"/>
    <w:rsid w:val="7BDF060F"/>
    <w:rsid w:val="7BE91898"/>
    <w:rsid w:val="7BEA0A86"/>
    <w:rsid w:val="7BEFE964"/>
    <w:rsid w:val="7BF74E32"/>
    <w:rsid w:val="7BF76104"/>
    <w:rsid w:val="7BFBC295"/>
    <w:rsid w:val="7BFD55F0"/>
    <w:rsid w:val="7BFD7B1F"/>
    <w:rsid w:val="7BFDFF75"/>
    <w:rsid w:val="7BFE9647"/>
    <w:rsid w:val="7BFF06E0"/>
    <w:rsid w:val="7BFF2C1F"/>
    <w:rsid w:val="7BFF2D49"/>
    <w:rsid w:val="7BFF83C4"/>
    <w:rsid w:val="7C2060EA"/>
    <w:rsid w:val="7C2C53BA"/>
    <w:rsid w:val="7C3733B5"/>
    <w:rsid w:val="7C5C2218"/>
    <w:rsid w:val="7C633DCB"/>
    <w:rsid w:val="7C6C5F1A"/>
    <w:rsid w:val="7C703D67"/>
    <w:rsid w:val="7C7F1A40"/>
    <w:rsid w:val="7C857813"/>
    <w:rsid w:val="7C9FD2B3"/>
    <w:rsid w:val="7CB1046C"/>
    <w:rsid w:val="7CBADFC6"/>
    <w:rsid w:val="7CC55E13"/>
    <w:rsid w:val="7CDB2ED6"/>
    <w:rsid w:val="7CE24C65"/>
    <w:rsid w:val="7CEF374C"/>
    <w:rsid w:val="7CEFE4EB"/>
    <w:rsid w:val="7CFDDD59"/>
    <w:rsid w:val="7CFFCCC0"/>
    <w:rsid w:val="7D246FF1"/>
    <w:rsid w:val="7D341B22"/>
    <w:rsid w:val="7D603DDC"/>
    <w:rsid w:val="7D6E2F0C"/>
    <w:rsid w:val="7D6FC3E6"/>
    <w:rsid w:val="7D7575CE"/>
    <w:rsid w:val="7D77BFDD"/>
    <w:rsid w:val="7D7A30EF"/>
    <w:rsid w:val="7D7B210E"/>
    <w:rsid w:val="7D7CA925"/>
    <w:rsid w:val="7D7F5D07"/>
    <w:rsid w:val="7D8F4BA0"/>
    <w:rsid w:val="7D8FFF92"/>
    <w:rsid w:val="7D913F95"/>
    <w:rsid w:val="7DA50E93"/>
    <w:rsid w:val="7DA54608"/>
    <w:rsid w:val="7DB380C1"/>
    <w:rsid w:val="7DB95602"/>
    <w:rsid w:val="7DBECD8E"/>
    <w:rsid w:val="7DC4436B"/>
    <w:rsid w:val="7DC7872C"/>
    <w:rsid w:val="7DD221BC"/>
    <w:rsid w:val="7DD81BC4"/>
    <w:rsid w:val="7DD8C601"/>
    <w:rsid w:val="7DDBC114"/>
    <w:rsid w:val="7DDF7188"/>
    <w:rsid w:val="7DDFA8C6"/>
    <w:rsid w:val="7DE70059"/>
    <w:rsid w:val="7DEB1835"/>
    <w:rsid w:val="7DEBCF5A"/>
    <w:rsid w:val="7DF4B51A"/>
    <w:rsid w:val="7DF626C9"/>
    <w:rsid w:val="7DF79E68"/>
    <w:rsid w:val="7DFBD423"/>
    <w:rsid w:val="7DFD109D"/>
    <w:rsid w:val="7DFD24EE"/>
    <w:rsid w:val="7DFE2F97"/>
    <w:rsid w:val="7DFE48EF"/>
    <w:rsid w:val="7E2B6045"/>
    <w:rsid w:val="7E5F295B"/>
    <w:rsid w:val="7E605637"/>
    <w:rsid w:val="7E6BDD65"/>
    <w:rsid w:val="7E6CA588"/>
    <w:rsid w:val="7E7D3138"/>
    <w:rsid w:val="7E7FAEB9"/>
    <w:rsid w:val="7E9383C6"/>
    <w:rsid w:val="7E97297D"/>
    <w:rsid w:val="7E9E31F5"/>
    <w:rsid w:val="7E9F2FE7"/>
    <w:rsid w:val="7EAF0729"/>
    <w:rsid w:val="7EB3937D"/>
    <w:rsid w:val="7EB4B0D5"/>
    <w:rsid w:val="7EBF3665"/>
    <w:rsid w:val="7EBF423D"/>
    <w:rsid w:val="7EBFF15F"/>
    <w:rsid w:val="7ECB2E3E"/>
    <w:rsid w:val="7ED01D83"/>
    <w:rsid w:val="7ED607F9"/>
    <w:rsid w:val="7EDD06DA"/>
    <w:rsid w:val="7EEB75B8"/>
    <w:rsid w:val="7EED7E36"/>
    <w:rsid w:val="7EEDA5E2"/>
    <w:rsid w:val="7EEFCEF0"/>
    <w:rsid w:val="7EF45D84"/>
    <w:rsid w:val="7EF7C647"/>
    <w:rsid w:val="7EFB1AEB"/>
    <w:rsid w:val="7EFB44B6"/>
    <w:rsid w:val="7EFB5AE8"/>
    <w:rsid w:val="7EFB8A93"/>
    <w:rsid w:val="7EFBC0DA"/>
    <w:rsid w:val="7EFF06A0"/>
    <w:rsid w:val="7EFF3400"/>
    <w:rsid w:val="7EFF7E2C"/>
    <w:rsid w:val="7EFFE48C"/>
    <w:rsid w:val="7F0014E2"/>
    <w:rsid w:val="7F005876"/>
    <w:rsid w:val="7F073AE9"/>
    <w:rsid w:val="7F076C05"/>
    <w:rsid w:val="7F08297D"/>
    <w:rsid w:val="7F0D2FFE"/>
    <w:rsid w:val="7F0FE7AB"/>
    <w:rsid w:val="7F166E48"/>
    <w:rsid w:val="7F1777C8"/>
    <w:rsid w:val="7F1C1107"/>
    <w:rsid w:val="7F2B0EE4"/>
    <w:rsid w:val="7F2F82F4"/>
    <w:rsid w:val="7F33019E"/>
    <w:rsid w:val="7F390D88"/>
    <w:rsid w:val="7F3D2627"/>
    <w:rsid w:val="7F3D9A26"/>
    <w:rsid w:val="7F3F1089"/>
    <w:rsid w:val="7F455CDB"/>
    <w:rsid w:val="7F57ABCA"/>
    <w:rsid w:val="7F5E6A84"/>
    <w:rsid w:val="7F651AEA"/>
    <w:rsid w:val="7F6A54E9"/>
    <w:rsid w:val="7F6B1CED"/>
    <w:rsid w:val="7F6E91DE"/>
    <w:rsid w:val="7F6EE412"/>
    <w:rsid w:val="7F6EFE5D"/>
    <w:rsid w:val="7F6FEBFB"/>
    <w:rsid w:val="7F73D683"/>
    <w:rsid w:val="7F76A671"/>
    <w:rsid w:val="7F7D10F3"/>
    <w:rsid w:val="7F7D11FA"/>
    <w:rsid w:val="7F7F91FE"/>
    <w:rsid w:val="7F7FD496"/>
    <w:rsid w:val="7F7FFEB9"/>
    <w:rsid w:val="7F8BA882"/>
    <w:rsid w:val="7F8E07AF"/>
    <w:rsid w:val="7F96EC91"/>
    <w:rsid w:val="7F9A24F6"/>
    <w:rsid w:val="7F9BD1EE"/>
    <w:rsid w:val="7F9C4E17"/>
    <w:rsid w:val="7F9F2632"/>
    <w:rsid w:val="7F9F26D6"/>
    <w:rsid w:val="7FA4D743"/>
    <w:rsid w:val="7FA7ABB3"/>
    <w:rsid w:val="7FA957FD"/>
    <w:rsid w:val="7FABEAA6"/>
    <w:rsid w:val="7FB1091F"/>
    <w:rsid w:val="7FB5C4B8"/>
    <w:rsid w:val="7FB65F35"/>
    <w:rsid w:val="7FBD84CA"/>
    <w:rsid w:val="7FBDCF21"/>
    <w:rsid w:val="7FBE17E5"/>
    <w:rsid w:val="7FBF0869"/>
    <w:rsid w:val="7FBF9D48"/>
    <w:rsid w:val="7FBFCB47"/>
    <w:rsid w:val="7FBFDEA3"/>
    <w:rsid w:val="7FC56178"/>
    <w:rsid w:val="7FC7FF2E"/>
    <w:rsid w:val="7FCD7C71"/>
    <w:rsid w:val="7FD59DA3"/>
    <w:rsid w:val="7FD7266D"/>
    <w:rsid w:val="7FD9DD8A"/>
    <w:rsid w:val="7FDACCFB"/>
    <w:rsid w:val="7FDB0077"/>
    <w:rsid w:val="7FDB6BD1"/>
    <w:rsid w:val="7FDB8467"/>
    <w:rsid w:val="7FDF0EB9"/>
    <w:rsid w:val="7FDF5D28"/>
    <w:rsid w:val="7FE745B0"/>
    <w:rsid w:val="7FE7C7F4"/>
    <w:rsid w:val="7FEB29B4"/>
    <w:rsid w:val="7FEB9226"/>
    <w:rsid w:val="7FEE3BF5"/>
    <w:rsid w:val="7FEF08DB"/>
    <w:rsid w:val="7FEF0A25"/>
    <w:rsid w:val="7FEF3458"/>
    <w:rsid w:val="7FF058EB"/>
    <w:rsid w:val="7FF3A9BF"/>
    <w:rsid w:val="7FFB0AE3"/>
    <w:rsid w:val="7FFB2B0B"/>
    <w:rsid w:val="7FFB77E4"/>
    <w:rsid w:val="7FFB7A59"/>
    <w:rsid w:val="7FFBBFBE"/>
    <w:rsid w:val="7FFCB85D"/>
    <w:rsid w:val="7FFD3FC9"/>
    <w:rsid w:val="7FFD4CE5"/>
    <w:rsid w:val="7FFDBFB9"/>
    <w:rsid w:val="7FFDFB25"/>
    <w:rsid w:val="7FFE32FF"/>
    <w:rsid w:val="7FFE4D2B"/>
    <w:rsid w:val="7FFE7B5E"/>
    <w:rsid w:val="7FFEBF16"/>
    <w:rsid w:val="7FFEC98E"/>
    <w:rsid w:val="7FFF0157"/>
    <w:rsid w:val="7FFF0E42"/>
    <w:rsid w:val="7FFF1F80"/>
    <w:rsid w:val="7FFF289D"/>
    <w:rsid w:val="7FFF3CD5"/>
    <w:rsid w:val="7FFF4FA9"/>
    <w:rsid w:val="7FFF5FE4"/>
    <w:rsid w:val="7FFF7237"/>
    <w:rsid w:val="7FFF78BD"/>
    <w:rsid w:val="7FFF9825"/>
    <w:rsid w:val="7FFFB179"/>
    <w:rsid w:val="7FFFDBC9"/>
    <w:rsid w:val="7FFFFA77"/>
    <w:rsid w:val="82FE7BB3"/>
    <w:rsid w:val="84A7B1A2"/>
    <w:rsid w:val="87FE2C68"/>
    <w:rsid w:val="8B7EF7E9"/>
    <w:rsid w:val="8E5764F3"/>
    <w:rsid w:val="8EB24B7B"/>
    <w:rsid w:val="8EEB899A"/>
    <w:rsid w:val="8F76F01E"/>
    <w:rsid w:val="8FFF4878"/>
    <w:rsid w:val="91DF6620"/>
    <w:rsid w:val="93DD378A"/>
    <w:rsid w:val="93FFF604"/>
    <w:rsid w:val="95EFD23E"/>
    <w:rsid w:val="965FB964"/>
    <w:rsid w:val="967924B0"/>
    <w:rsid w:val="96FC4589"/>
    <w:rsid w:val="973F1F2A"/>
    <w:rsid w:val="97FFF932"/>
    <w:rsid w:val="9A6FB01C"/>
    <w:rsid w:val="9A7B7BEA"/>
    <w:rsid w:val="9B9B3988"/>
    <w:rsid w:val="9BDDA725"/>
    <w:rsid w:val="9BEE9CC0"/>
    <w:rsid w:val="9BFF7852"/>
    <w:rsid w:val="9BFFE855"/>
    <w:rsid w:val="9CEF905A"/>
    <w:rsid w:val="9CFF4B86"/>
    <w:rsid w:val="9D3F8B01"/>
    <w:rsid w:val="9D79E02C"/>
    <w:rsid w:val="9D7B62C8"/>
    <w:rsid w:val="9DDD41D9"/>
    <w:rsid w:val="9E7BC4C5"/>
    <w:rsid w:val="9E7F1AC2"/>
    <w:rsid w:val="9ED25E21"/>
    <w:rsid w:val="9EDF7740"/>
    <w:rsid w:val="9EDFB11B"/>
    <w:rsid w:val="9EFE9E2D"/>
    <w:rsid w:val="9F51F575"/>
    <w:rsid w:val="9F7717F4"/>
    <w:rsid w:val="9F7F8012"/>
    <w:rsid w:val="9FDF0631"/>
    <w:rsid w:val="9FE7D5B2"/>
    <w:rsid w:val="9FED8E75"/>
    <w:rsid w:val="9FF56CF5"/>
    <w:rsid w:val="9FF7C48E"/>
    <w:rsid w:val="9FF99786"/>
    <w:rsid w:val="9FFF001A"/>
    <w:rsid w:val="A195B84A"/>
    <w:rsid w:val="A2FF5131"/>
    <w:rsid w:val="A3EF3B2C"/>
    <w:rsid w:val="A49B44F2"/>
    <w:rsid w:val="A4AE16C2"/>
    <w:rsid w:val="A4BFDBD1"/>
    <w:rsid w:val="A7CBFC05"/>
    <w:rsid w:val="A7D675C1"/>
    <w:rsid w:val="A9ADF18A"/>
    <w:rsid w:val="ABDCE1E1"/>
    <w:rsid w:val="ABFFE0A5"/>
    <w:rsid w:val="AC6F80BD"/>
    <w:rsid w:val="AD7480CE"/>
    <w:rsid w:val="AD7F3C64"/>
    <w:rsid w:val="ADCB7154"/>
    <w:rsid w:val="ADDE1FBE"/>
    <w:rsid w:val="ADEF4BC6"/>
    <w:rsid w:val="ADFEFB3A"/>
    <w:rsid w:val="ADFF47D2"/>
    <w:rsid w:val="AEBE3917"/>
    <w:rsid w:val="AF3B28AB"/>
    <w:rsid w:val="AFBF9CD7"/>
    <w:rsid w:val="AFDDCBE1"/>
    <w:rsid w:val="AFE229DB"/>
    <w:rsid w:val="AFF7C1FA"/>
    <w:rsid w:val="AFFAE9D5"/>
    <w:rsid w:val="AFFF2714"/>
    <w:rsid w:val="AFFF8365"/>
    <w:rsid w:val="AFFFBBFD"/>
    <w:rsid w:val="B0F9B5BF"/>
    <w:rsid w:val="B16C84C5"/>
    <w:rsid w:val="B1FEE0F1"/>
    <w:rsid w:val="B37D3772"/>
    <w:rsid w:val="B3DF5CE4"/>
    <w:rsid w:val="B3FB1196"/>
    <w:rsid w:val="B3FFC053"/>
    <w:rsid w:val="B3FFCC9F"/>
    <w:rsid w:val="B47F7333"/>
    <w:rsid w:val="B4F7843F"/>
    <w:rsid w:val="B52D43EE"/>
    <w:rsid w:val="B59D6BA5"/>
    <w:rsid w:val="B5BB1AB9"/>
    <w:rsid w:val="B5EF5F38"/>
    <w:rsid w:val="B5FE4F4F"/>
    <w:rsid w:val="B66FE009"/>
    <w:rsid w:val="B67BDE7E"/>
    <w:rsid w:val="B6F49286"/>
    <w:rsid w:val="B6FF5E8A"/>
    <w:rsid w:val="B6FF8319"/>
    <w:rsid w:val="B77FA127"/>
    <w:rsid w:val="B7962279"/>
    <w:rsid w:val="B79BE19C"/>
    <w:rsid w:val="B79FC245"/>
    <w:rsid w:val="B7A605E7"/>
    <w:rsid w:val="B7BDB6D3"/>
    <w:rsid w:val="B7BEF204"/>
    <w:rsid w:val="B7CF44CC"/>
    <w:rsid w:val="B7ED1C33"/>
    <w:rsid w:val="B7F7A78D"/>
    <w:rsid w:val="B8DB58BC"/>
    <w:rsid w:val="B8ED1785"/>
    <w:rsid w:val="B8F76C5C"/>
    <w:rsid w:val="B9CFC7D9"/>
    <w:rsid w:val="B9D7DAD2"/>
    <w:rsid w:val="BA3B16D7"/>
    <w:rsid w:val="BA64C18A"/>
    <w:rsid w:val="BA9F1BA0"/>
    <w:rsid w:val="BAD8C1BC"/>
    <w:rsid w:val="BAEDB191"/>
    <w:rsid w:val="BAFD0D38"/>
    <w:rsid w:val="BAFF73E2"/>
    <w:rsid w:val="BAFF8720"/>
    <w:rsid w:val="BB5FCEAB"/>
    <w:rsid w:val="BB7FA221"/>
    <w:rsid w:val="BBBC1F2C"/>
    <w:rsid w:val="BBBFA2E9"/>
    <w:rsid w:val="BBEF0EEF"/>
    <w:rsid w:val="BBF634A9"/>
    <w:rsid w:val="BBF7E648"/>
    <w:rsid w:val="BBFAEC96"/>
    <w:rsid w:val="BBFF9890"/>
    <w:rsid w:val="BBFF9EA6"/>
    <w:rsid w:val="BBFFC67F"/>
    <w:rsid w:val="BCEDAA7A"/>
    <w:rsid w:val="BCF75D04"/>
    <w:rsid w:val="BCFE312E"/>
    <w:rsid w:val="BD1FDFFA"/>
    <w:rsid w:val="BD732AC6"/>
    <w:rsid w:val="BD733321"/>
    <w:rsid w:val="BDBB547B"/>
    <w:rsid w:val="BDBFC594"/>
    <w:rsid w:val="BDCC6278"/>
    <w:rsid w:val="BDDE924F"/>
    <w:rsid w:val="BDDF7245"/>
    <w:rsid w:val="BDE18C1E"/>
    <w:rsid w:val="BDECBB3D"/>
    <w:rsid w:val="BDEFA358"/>
    <w:rsid w:val="BDEFB115"/>
    <w:rsid w:val="BDF7A012"/>
    <w:rsid w:val="BDF7CE3F"/>
    <w:rsid w:val="BE5E31BE"/>
    <w:rsid w:val="BE5EDB16"/>
    <w:rsid w:val="BE6B41F6"/>
    <w:rsid w:val="BE7020C3"/>
    <w:rsid w:val="BE7E2538"/>
    <w:rsid w:val="BE9F8659"/>
    <w:rsid w:val="BEBBAB43"/>
    <w:rsid w:val="BED79C2B"/>
    <w:rsid w:val="BEEC6E80"/>
    <w:rsid w:val="BEED5761"/>
    <w:rsid w:val="BEED5797"/>
    <w:rsid w:val="BF3DB0C0"/>
    <w:rsid w:val="BF3F8792"/>
    <w:rsid w:val="BF5FB24A"/>
    <w:rsid w:val="BF6FFA19"/>
    <w:rsid w:val="BF7C4776"/>
    <w:rsid w:val="BF7F0641"/>
    <w:rsid w:val="BF7F0DDA"/>
    <w:rsid w:val="BF7F32C7"/>
    <w:rsid w:val="BF7F9D56"/>
    <w:rsid w:val="BFA7FBDC"/>
    <w:rsid w:val="BFAF4E82"/>
    <w:rsid w:val="BFBD14F4"/>
    <w:rsid w:val="BFBE1AB8"/>
    <w:rsid w:val="BFC4DDA3"/>
    <w:rsid w:val="BFDC3079"/>
    <w:rsid w:val="BFDD4F72"/>
    <w:rsid w:val="BFDD5F08"/>
    <w:rsid w:val="BFDF6D97"/>
    <w:rsid w:val="BFE78A16"/>
    <w:rsid w:val="BFEDC863"/>
    <w:rsid w:val="BFEE8269"/>
    <w:rsid w:val="BFEF3469"/>
    <w:rsid w:val="BFEF49D9"/>
    <w:rsid w:val="BFF281AB"/>
    <w:rsid w:val="BFF2C19C"/>
    <w:rsid w:val="BFF653CE"/>
    <w:rsid w:val="BFF9F9A3"/>
    <w:rsid w:val="BFFA164C"/>
    <w:rsid w:val="BFFA4143"/>
    <w:rsid w:val="BFFAFE6B"/>
    <w:rsid w:val="BFFB7662"/>
    <w:rsid w:val="BFFE5D2C"/>
    <w:rsid w:val="BFFF3708"/>
    <w:rsid w:val="BFFF57F1"/>
    <w:rsid w:val="BFFFF93F"/>
    <w:rsid w:val="C2EBF663"/>
    <w:rsid w:val="C2FF5704"/>
    <w:rsid w:val="C33D5483"/>
    <w:rsid w:val="C3D1CE29"/>
    <w:rsid w:val="C3DF3FA1"/>
    <w:rsid w:val="C4F2666F"/>
    <w:rsid w:val="C5FDCB8E"/>
    <w:rsid w:val="C61E9991"/>
    <w:rsid w:val="C6C82830"/>
    <w:rsid w:val="C7641F1F"/>
    <w:rsid w:val="C77F55AD"/>
    <w:rsid w:val="C7BD9EDB"/>
    <w:rsid w:val="C8E76491"/>
    <w:rsid w:val="C9FF7BC6"/>
    <w:rsid w:val="CAF79DFC"/>
    <w:rsid w:val="CBBF82AA"/>
    <w:rsid w:val="CBBF84E2"/>
    <w:rsid w:val="CBEEE8E2"/>
    <w:rsid w:val="CBEF0D42"/>
    <w:rsid w:val="CBFDB0AB"/>
    <w:rsid w:val="CC7B2089"/>
    <w:rsid w:val="CCDA9450"/>
    <w:rsid w:val="CD368DBB"/>
    <w:rsid w:val="CDAE3DEB"/>
    <w:rsid w:val="CDC38C12"/>
    <w:rsid w:val="CDC96DA0"/>
    <w:rsid w:val="CDCDD164"/>
    <w:rsid w:val="CDD55A00"/>
    <w:rsid w:val="CDE83330"/>
    <w:rsid w:val="CDF2E09F"/>
    <w:rsid w:val="CDFBD80A"/>
    <w:rsid w:val="CDFF4EB7"/>
    <w:rsid w:val="CEBEF49C"/>
    <w:rsid w:val="CEFF21AC"/>
    <w:rsid w:val="CF590FBE"/>
    <w:rsid w:val="CF5BAB04"/>
    <w:rsid w:val="CF776378"/>
    <w:rsid w:val="CF9376E4"/>
    <w:rsid w:val="CFA4872B"/>
    <w:rsid w:val="CFAF1D4F"/>
    <w:rsid w:val="CFAFE7C1"/>
    <w:rsid w:val="CFB9A037"/>
    <w:rsid w:val="CFBBD0D5"/>
    <w:rsid w:val="CFBD1390"/>
    <w:rsid w:val="CFDFFB91"/>
    <w:rsid w:val="CFEB8D6E"/>
    <w:rsid w:val="CFEEB333"/>
    <w:rsid w:val="CFF673C9"/>
    <w:rsid w:val="CFFD71B7"/>
    <w:rsid w:val="CFFDBC08"/>
    <w:rsid w:val="CFFFC7A1"/>
    <w:rsid w:val="D1DE22A2"/>
    <w:rsid w:val="D1EF1A9B"/>
    <w:rsid w:val="D2EFC9F7"/>
    <w:rsid w:val="D32555C8"/>
    <w:rsid w:val="D37EB4A3"/>
    <w:rsid w:val="D3BFBD38"/>
    <w:rsid w:val="D3DB29F9"/>
    <w:rsid w:val="D3FDFF40"/>
    <w:rsid w:val="D6FB729A"/>
    <w:rsid w:val="D6FFFEE0"/>
    <w:rsid w:val="D717F0FD"/>
    <w:rsid w:val="D75ED560"/>
    <w:rsid w:val="D7766B64"/>
    <w:rsid w:val="D77D7119"/>
    <w:rsid w:val="D7AF9E8B"/>
    <w:rsid w:val="D7BCF9B8"/>
    <w:rsid w:val="D7C79098"/>
    <w:rsid w:val="D7DDEA19"/>
    <w:rsid w:val="D7E61B8E"/>
    <w:rsid w:val="D7E789AC"/>
    <w:rsid w:val="D7ECC91B"/>
    <w:rsid w:val="D7F16340"/>
    <w:rsid w:val="D7FAAA0D"/>
    <w:rsid w:val="D7FB680E"/>
    <w:rsid w:val="D7FCFAB0"/>
    <w:rsid w:val="D7FF7F0A"/>
    <w:rsid w:val="D8F76596"/>
    <w:rsid w:val="D931C1F1"/>
    <w:rsid w:val="D97E9081"/>
    <w:rsid w:val="D9EBE82A"/>
    <w:rsid w:val="DAB7E7C5"/>
    <w:rsid w:val="DABE8A66"/>
    <w:rsid w:val="DAEAE6FB"/>
    <w:rsid w:val="DB57B80D"/>
    <w:rsid w:val="DB7F7959"/>
    <w:rsid w:val="DBAE67B7"/>
    <w:rsid w:val="DBB8CB62"/>
    <w:rsid w:val="DBBFD760"/>
    <w:rsid w:val="DBCFAF7D"/>
    <w:rsid w:val="DBDB8C21"/>
    <w:rsid w:val="DBDE3DDA"/>
    <w:rsid w:val="DBEF595B"/>
    <w:rsid w:val="DBEFA2FA"/>
    <w:rsid w:val="DBFA5077"/>
    <w:rsid w:val="DBFF1EC4"/>
    <w:rsid w:val="DC5F149A"/>
    <w:rsid w:val="DC670CD3"/>
    <w:rsid w:val="DCED100F"/>
    <w:rsid w:val="DCFF1208"/>
    <w:rsid w:val="DD1DBD77"/>
    <w:rsid w:val="DD71167A"/>
    <w:rsid w:val="DDBF165A"/>
    <w:rsid w:val="DDBF20E3"/>
    <w:rsid w:val="DDBF9EBB"/>
    <w:rsid w:val="DDEE5912"/>
    <w:rsid w:val="DDF222B7"/>
    <w:rsid w:val="DDF61773"/>
    <w:rsid w:val="DDFD1AC9"/>
    <w:rsid w:val="DDFEC8E6"/>
    <w:rsid w:val="DE6CF49E"/>
    <w:rsid w:val="DEBB6F8C"/>
    <w:rsid w:val="DEBF2E16"/>
    <w:rsid w:val="DEC5E9F6"/>
    <w:rsid w:val="DEDA9653"/>
    <w:rsid w:val="DEEF7B78"/>
    <w:rsid w:val="DF1FAD13"/>
    <w:rsid w:val="DF2EC29F"/>
    <w:rsid w:val="DF3BAF35"/>
    <w:rsid w:val="DF4F66B7"/>
    <w:rsid w:val="DF5DD06C"/>
    <w:rsid w:val="DF776B67"/>
    <w:rsid w:val="DF7A759C"/>
    <w:rsid w:val="DF7B9FF3"/>
    <w:rsid w:val="DF7C0AFD"/>
    <w:rsid w:val="DF7F7E4F"/>
    <w:rsid w:val="DF7FAB8E"/>
    <w:rsid w:val="DFAD866A"/>
    <w:rsid w:val="DFB5DA01"/>
    <w:rsid w:val="DFBF1D0A"/>
    <w:rsid w:val="DFCFA6FC"/>
    <w:rsid w:val="DFDB16F0"/>
    <w:rsid w:val="DFDE6E5A"/>
    <w:rsid w:val="DFDF4CE2"/>
    <w:rsid w:val="DFE90418"/>
    <w:rsid w:val="DFEADDA0"/>
    <w:rsid w:val="DFEAE0B6"/>
    <w:rsid w:val="DFEF0195"/>
    <w:rsid w:val="DFEFE32B"/>
    <w:rsid w:val="DFF7241B"/>
    <w:rsid w:val="DFF743AF"/>
    <w:rsid w:val="DFFB45BC"/>
    <w:rsid w:val="DFFC39EE"/>
    <w:rsid w:val="DFFCEA6F"/>
    <w:rsid w:val="DFFD1A6E"/>
    <w:rsid w:val="DFFD5739"/>
    <w:rsid w:val="DFFE4460"/>
    <w:rsid w:val="DFFF0753"/>
    <w:rsid w:val="DFFF0B28"/>
    <w:rsid w:val="DFFF4D3C"/>
    <w:rsid w:val="DFFF627C"/>
    <w:rsid w:val="DFFF8407"/>
    <w:rsid w:val="DFFFAD1E"/>
    <w:rsid w:val="E1A7D032"/>
    <w:rsid w:val="E1B8DCDB"/>
    <w:rsid w:val="E1F52296"/>
    <w:rsid w:val="E1F7B138"/>
    <w:rsid w:val="E36974E0"/>
    <w:rsid w:val="E39C0390"/>
    <w:rsid w:val="E3B72A1A"/>
    <w:rsid w:val="E3E39B02"/>
    <w:rsid w:val="E3EE9F57"/>
    <w:rsid w:val="E3F74DCB"/>
    <w:rsid w:val="E3FDB831"/>
    <w:rsid w:val="E4AF4DC3"/>
    <w:rsid w:val="E4EDD6F3"/>
    <w:rsid w:val="E53F2BB7"/>
    <w:rsid w:val="E57F956D"/>
    <w:rsid w:val="E5F74604"/>
    <w:rsid w:val="E5FE90B7"/>
    <w:rsid w:val="E66F549F"/>
    <w:rsid w:val="E6BF7068"/>
    <w:rsid w:val="E7A61AAA"/>
    <w:rsid w:val="E7AF9704"/>
    <w:rsid w:val="E7D34C1A"/>
    <w:rsid w:val="E7EB06C0"/>
    <w:rsid w:val="E7F5E601"/>
    <w:rsid w:val="E7FBC898"/>
    <w:rsid w:val="E7FE1A14"/>
    <w:rsid w:val="E7FF302F"/>
    <w:rsid w:val="E7FF6B10"/>
    <w:rsid w:val="E7FF8E4B"/>
    <w:rsid w:val="E93F44B5"/>
    <w:rsid w:val="E9FE0632"/>
    <w:rsid w:val="EA7EB9C9"/>
    <w:rsid w:val="EA7FF6A2"/>
    <w:rsid w:val="EA8F98B1"/>
    <w:rsid w:val="EADB0569"/>
    <w:rsid w:val="EAFF16D9"/>
    <w:rsid w:val="EB11DCC0"/>
    <w:rsid w:val="EB7B2FF4"/>
    <w:rsid w:val="EBBB060C"/>
    <w:rsid w:val="EBBECEDC"/>
    <w:rsid w:val="EBCF262D"/>
    <w:rsid w:val="EBDB8FA0"/>
    <w:rsid w:val="EBDF00B7"/>
    <w:rsid w:val="EBE97BE8"/>
    <w:rsid w:val="EBF3FD52"/>
    <w:rsid w:val="EBFBBD31"/>
    <w:rsid w:val="EBFC81AD"/>
    <w:rsid w:val="EBFD2B55"/>
    <w:rsid w:val="EBFF447D"/>
    <w:rsid w:val="EBFF827A"/>
    <w:rsid w:val="EC772F69"/>
    <w:rsid w:val="EC7F13C0"/>
    <w:rsid w:val="ECEF2468"/>
    <w:rsid w:val="EDBD82E3"/>
    <w:rsid w:val="EDDD59BB"/>
    <w:rsid w:val="EDE2DE86"/>
    <w:rsid w:val="EDF39CB4"/>
    <w:rsid w:val="EDF508AA"/>
    <w:rsid w:val="EDF6C033"/>
    <w:rsid w:val="EDFDEB72"/>
    <w:rsid w:val="EE5F5122"/>
    <w:rsid w:val="EE77564A"/>
    <w:rsid w:val="EE7FB873"/>
    <w:rsid w:val="EE7FDE98"/>
    <w:rsid w:val="EE9A328B"/>
    <w:rsid w:val="EEBB6AF4"/>
    <w:rsid w:val="EECF5CE2"/>
    <w:rsid w:val="EECFB00B"/>
    <w:rsid w:val="EED3FB37"/>
    <w:rsid w:val="EEEEE959"/>
    <w:rsid w:val="EF5BFCA2"/>
    <w:rsid w:val="EF5C2935"/>
    <w:rsid w:val="EF5F197F"/>
    <w:rsid w:val="EF669DAB"/>
    <w:rsid w:val="EF77B4A5"/>
    <w:rsid w:val="EF7B96E2"/>
    <w:rsid w:val="EFA5CE30"/>
    <w:rsid w:val="EFB7CEFB"/>
    <w:rsid w:val="EFBBD5E9"/>
    <w:rsid w:val="EFBD3937"/>
    <w:rsid w:val="EFBE7F35"/>
    <w:rsid w:val="EFBFC94C"/>
    <w:rsid w:val="EFBFF190"/>
    <w:rsid w:val="EFD1D000"/>
    <w:rsid w:val="EFDBCCAB"/>
    <w:rsid w:val="EFDF6F2D"/>
    <w:rsid w:val="EFE3D77A"/>
    <w:rsid w:val="EFE9A697"/>
    <w:rsid w:val="EFED3B76"/>
    <w:rsid w:val="EFEF8A9B"/>
    <w:rsid w:val="EFF787AC"/>
    <w:rsid w:val="EFF7D666"/>
    <w:rsid w:val="EFFF1590"/>
    <w:rsid w:val="EFFF7F24"/>
    <w:rsid w:val="EFFF9D0A"/>
    <w:rsid w:val="EFFF9ED4"/>
    <w:rsid w:val="EFFFCB94"/>
    <w:rsid w:val="F0FEBE60"/>
    <w:rsid w:val="F1535A94"/>
    <w:rsid w:val="F1FED2B2"/>
    <w:rsid w:val="F2F399EB"/>
    <w:rsid w:val="F3471EC7"/>
    <w:rsid w:val="F3610148"/>
    <w:rsid w:val="F377A91F"/>
    <w:rsid w:val="F39E23EF"/>
    <w:rsid w:val="F3BFBA16"/>
    <w:rsid w:val="F3CDDA6D"/>
    <w:rsid w:val="F3DB1289"/>
    <w:rsid w:val="F3DC9DAA"/>
    <w:rsid w:val="F3DD8D38"/>
    <w:rsid w:val="F3FF1933"/>
    <w:rsid w:val="F3FF5941"/>
    <w:rsid w:val="F4CDADCC"/>
    <w:rsid w:val="F4ED29C2"/>
    <w:rsid w:val="F4FED9E2"/>
    <w:rsid w:val="F5639F34"/>
    <w:rsid w:val="F5797216"/>
    <w:rsid w:val="F57E9530"/>
    <w:rsid w:val="F5B78FEB"/>
    <w:rsid w:val="F5B7B6E9"/>
    <w:rsid w:val="F5BF4CE9"/>
    <w:rsid w:val="F5BFD7FE"/>
    <w:rsid w:val="F5D54127"/>
    <w:rsid w:val="F5D75513"/>
    <w:rsid w:val="F5DE2E20"/>
    <w:rsid w:val="F5E332BF"/>
    <w:rsid w:val="F5EF2555"/>
    <w:rsid w:val="F5F69249"/>
    <w:rsid w:val="F5FB670D"/>
    <w:rsid w:val="F5FE56FD"/>
    <w:rsid w:val="F5FF4AA8"/>
    <w:rsid w:val="F63DE9C6"/>
    <w:rsid w:val="F65F7BDB"/>
    <w:rsid w:val="F67BD09A"/>
    <w:rsid w:val="F6B54B46"/>
    <w:rsid w:val="F6CF981A"/>
    <w:rsid w:val="F6D6E228"/>
    <w:rsid w:val="F6DFC27B"/>
    <w:rsid w:val="F6DFD7F0"/>
    <w:rsid w:val="F6ED3506"/>
    <w:rsid w:val="F6F350D4"/>
    <w:rsid w:val="F6F6FE8E"/>
    <w:rsid w:val="F6FB6825"/>
    <w:rsid w:val="F6FBC443"/>
    <w:rsid w:val="F7373DC1"/>
    <w:rsid w:val="F73F88B9"/>
    <w:rsid w:val="F75D627C"/>
    <w:rsid w:val="F7757B1A"/>
    <w:rsid w:val="F777B30C"/>
    <w:rsid w:val="F77D18B6"/>
    <w:rsid w:val="F77E9A6C"/>
    <w:rsid w:val="F77E9D3C"/>
    <w:rsid w:val="F77F25F9"/>
    <w:rsid w:val="F77F7BB0"/>
    <w:rsid w:val="F79ECC32"/>
    <w:rsid w:val="F7A74AC7"/>
    <w:rsid w:val="F7AE1593"/>
    <w:rsid w:val="F7AF16B2"/>
    <w:rsid w:val="F7AF9272"/>
    <w:rsid w:val="F7AF9B72"/>
    <w:rsid w:val="F7B7E76A"/>
    <w:rsid w:val="F7BE1CE7"/>
    <w:rsid w:val="F7BFEA9D"/>
    <w:rsid w:val="F7C77F17"/>
    <w:rsid w:val="F7C79BE6"/>
    <w:rsid w:val="F7CFF942"/>
    <w:rsid w:val="F7DC54C5"/>
    <w:rsid w:val="F7E74FEF"/>
    <w:rsid w:val="F7ED2056"/>
    <w:rsid w:val="F7F458E4"/>
    <w:rsid w:val="F7F56D75"/>
    <w:rsid w:val="F7F70A0C"/>
    <w:rsid w:val="F7FBF01F"/>
    <w:rsid w:val="F7FC9D40"/>
    <w:rsid w:val="F7FD8EB4"/>
    <w:rsid w:val="F7FE166D"/>
    <w:rsid w:val="F7FE6794"/>
    <w:rsid w:val="F7FEDD32"/>
    <w:rsid w:val="F7FF1743"/>
    <w:rsid w:val="F7FF317E"/>
    <w:rsid w:val="F7FF8E11"/>
    <w:rsid w:val="F7FF8E20"/>
    <w:rsid w:val="F7FFF0B6"/>
    <w:rsid w:val="F7FFF22E"/>
    <w:rsid w:val="F88B0E4F"/>
    <w:rsid w:val="F8AB14D3"/>
    <w:rsid w:val="F8DFB9B0"/>
    <w:rsid w:val="F8FF8427"/>
    <w:rsid w:val="F8FFA5B5"/>
    <w:rsid w:val="F8FFDEAE"/>
    <w:rsid w:val="F95E066A"/>
    <w:rsid w:val="F95F5653"/>
    <w:rsid w:val="F97C2929"/>
    <w:rsid w:val="F99EFDE0"/>
    <w:rsid w:val="F9DB0A2C"/>
    <w:rsid w:val="F9DB3B5B"/>
    <w:rsid w:val="F9DFF2A3"/>
    <w:rsid w:val="F9E74362"/>
    <w:rsid w:val="F9EA22A9"/>
    <w:rsid w:val="F9F6EF29"/>
    <w:rsid w:val="F9FA1409"/>
    <w:rsid w:val="FAFB248E"/>
    <w:rsid w:val="FAFD5541"/>
    <w:rsid w:val="FAFD9D15"/>
    <w:rsid w:val="FAFDA5CE"/>
    <w:rsid w:val="FAFE8BCD"/>
    <w:rsid w:val="FB59413F"/>
    <w:rsid w:val="FB5D29C7"/>
    <w:rsid w:val="FB5F9577"/>
    <w:rsid w:val="FB5FDFEC"/>
    <w:rsid w:val="FB679148"/>
    <w:rsid w:val="FB6FD8F8"/>
    <w:rsid w:val="FB73A16D"/>
    <w:rsid w:val="FB7AD561"/>
    <w:rsid w:val="FB82BBEA"/>
    <w:rsid w:val="FB9F2043"/>
    <w:rsid w:val="FBB57D28"/>
    <w:rsid w:val="FBB7F33A"/>
    <w:rsid w:val="FBBFA989"/>
    <w:rsid w:val="FBCD1C5C"/>
    <w:rsid w:val="FBCF6A03"/>
    <w:rsid w:val="FBD45BB3"/>
    <w:rsid w:val="FBD6A8F8"/>
    <w:rsid w:val="FBDB2734"/>
    <w:rsid w:val="FBDB2DBB"/>
    <w:rsid w:val="FBDDC747"/>
    <w:rsid w:val="FBDE5AFA"/>
    <w:rsid w:val="FBDECF57"/>
    <w:rsid w:val="FBDFECA7"/>
    <w:rsid w:val="FBE77010"/>
    <w:rsid w:val="FBE86359"/>
    <w:rsid w:val="FBEB4F39"/>
    <w:rsid w:val="FBEFAA81"/>
    <w:rsid w:val="FBF40E71"/>
    <w:rsid w:val="FBF4CBEC"/>
    <w:rsid w:val="FBF59D15"/>
    <w:rsid w:val="FBF5EADF"/>
    <w:rsid w:val="FBF7D9A2"/>
    <w:rsid w:val="FBFE8D6E"/>
    <w:rsid w:val="FBFF0CE9"/>
    <w:rsid w:val="FBFF3E52"/>
    <w:rsid w:val="FBFF518D"/>
    <w:rsid w:val="FBFF71DA"/>
    <w:rsid w:val="FBFFA014"/>
    <w:rsid w:val="FBFFEAAD"/>
    <w:rsid w:val="FC3D6861"/>
    <w:rsid w:val="FCBDDD90"/>
    <w:rsid w:val="FCBF0ADA"/>
    <w:rsid w:val="FCBF34B9"/>
    <w:rsid w:val="FCCC5D32"/>
    <w:rsid w:val="FCCFB6CC"/>
    <w:rsid w:val="FCDFA480"/>
    <w:rsid w:val="FCF7BEDB"/>
    <w:rsid w:val="FCFB483B"/>
    <w:rsid w:val="FCFD9CDE"/>
    <w:rsid w:val="FCFF1E49"/>
    <w:rsid w:val="FCFF2013"/>
    <w:rsid w:val="FCFFCE52"/>
    <w:rsid w:val="FD4B9335"/>
    <w:rsid w:val="FD4FCBE4"/>
    <w:rsid w:val="FD5B5F7F"/>
    <w:rsid w:val="FD5C5CF1"/>
    <w:rsid w:val="FD6FA267"/>
    <w:rsid w:val="FD7B3816"/>
    <w:rsid w:val="FD7DA99D"/>
    <w:rsid w:val="FD7EA88A"/>
    <w:rsid w:val="FD7F28D1"/>
    <w:rsid w:val="FD973BB5"/>
    <w:rsid w:val="FDA70469"/>
    <w:rsid w:val="FDAB6C75"/>
    <w:rsid w:val="FDB360AC"/>
    <w:rsid w:val="FDB71D7C"/>
    <w:rsid w:val="FDBB52E6"/>
    <w:rsid w:val="FDBBF322"/>
    <w:rsid w:val="FDBEDB02"/>
    <w:rsid w:val="FDBF6BA2"/>
    <w:rsid w:val="FDD7F0F2"/>
    <w:rsid w:val="FDDBA42D"/>
    <w:rsid w:val="FDE7A9C1"/>
    <w:rsid w:val="FDEFB8D9"/>
    <w:rsid w:val="FDF515D3"/>
    <w:rsid w:val="FDF5A6F6"/>
    <w:rsid w:val="FDF5C24D"/>
    <w:rsid w:val="FDFBC163"/>
    <w:rsid w:val="FDFE9330"/>
    <w:rsid w:val="FDFF188F"/>
    <w:rsid w:val="FDFF1961"/>
    <w:rsid w:val="FDFF21EE"/>
    <w:rsid w:val="FDFF3AD7"/>
    <w:rsid w:val="FDFFA636"/>
    <w:rsid w:val="FDFFA6F7"/>
    <w:rsid w:val="FDFFB316"/>
    <w:rsid w:val="FDFFB97E"/>
    <w:rsid w:val="FE0D1492"/>
    <w:rsid w:val="FE33A857"/>
    <w:rsid w:val="FE3B7424"/>
    <w:rsid w:val="FE649427"/>
    <w:rsid w:val="FE66BC24"/>
    <w:rsid w:val="FE6D61C2"/>
    <w:rsid w:val="FE77E925"/>
    <w:rsid w:val="FE7DEED2"/>
    <w:rsid w:val="FE7E9E76"/>
    <w:rsid w:val="FE8A526C"/>
    <w:rsid w:val="FE8E1188"/>
    <w:rsid w:val="FE9F359B"/>
    <w:rsid w:val="FEA330DE"/>
    <w:rsid w:val="FEABB83C"/>
    <w:rsid w:val="FEADD111"/>
    <w:rsid w:val="FEBBA3EE"/>
    <w:rsid w:val="FEBC7C30"/>
    <w:rsid w:val="FEBD5C68"/>
    <w:rsid w:val="FEBE087C"/>
    <w:rsid w:val="FECF4E26"/>
    <w:rsid w:val="FED7C7CF"/>
    <w:rsid w:val="FEDAF11B"/>
    <w:rsid w:val="FEDB5D9F"/>
    <w:rsid w:val="FEDEC448"/>
    <w:rsid w:val="FEDEE063"/>
    <w:rsid w:val="FEDF581C"/>
    <w:rsid w:val="FEE05BC1"/>
    <w:rsid w:val="FEE97D4D"/>
    <w:rsid w:val="FEEF5B08"/>
    <w:rsid w:val="FEEF7301"/>
    <w:rsid w:val="FEF1EF71"/>
    <w:rsid w:val="FEF241D7"/>
    <w:rsid w:val="FEF95DE6"/>
    <w:rsid w:val="FEF97160"/>
    <w:rsid w:val="FEFB21C2"/>
    <w:rsid w:val="FEFE4768"/>
    <w:rsid w:val="FEFE5F3C"/>
    <w:rsid w:val="FEFE635D"/>
    <w:rsid w:val="FEFE7053"/>
    <w:rsid w:val="FEFEED92"/>
    <w:rsid w:val="FEFF0CFA"/>
    <w:rsid w:val="FEFF2EAA"/>
    <w:rsid w:val="FEFF89A4"/>
    <w:rsid w:val="FEFF92EF"/>
    <w:rsid w:val="FEFFFD38"/>
    <w:rsid w:val="FF0E9A9A"/>
    <w:rsid w:val="FF16AAEC"/>
    <w:rsid w:val="FF1D7034"/>
    <w:rsid w:val="FF246F87"/>
    <w:rsid w:val="FF2E0E8D"/>
    <w:rsid w:val="FF2FE7E7"/>
    <w:rsid w:val="FF3D6D5C"/>
    <w:rsid w:val="FF3E15FA"/>
    <w:rsid w:val="FF47CD70"/>
    <w:rsid w:val="FF550181"/>
    <w:rsid w:val="FF5B5E70"/>
    <w:rsid w:val="FF6B44D9"/>
    <w:rsid w:val="FF6DF38E"/>
    <w:rsid w:val="FF6E329D"/>
    <w:rsid w:val="FF6F7041"/>
    <w:rsid w:val="FF6FB69B"/>
    <w:rsid w:val="FF770EC1"/>
    <w:rsid w:val="FF77F9A5"/>
    <w:rsid w:val="FF7A86EE"/>
    <w:rsid w:val="FF7B832C"/>
    <w:rsid w:val="FF7BB64D"/>
    <w:rsid w:val="FF7D8908"/>
    <w:rsid w:val="FF7F413A"/>
    <w:rsid w:val="FF7F5995"/>
    <w:rsid w:val="FF7F6385"/>
    <w:rsid w:val="FF7F691B"/>
    <w:rsid w:val="FF7F99DF"/>
    <w:rsid w:val="FF87AC75"/>
    <w:rsid w:val="FF8B7FF8"/>
    <w:rsid w:val="FF8C2A74"/>
    <w:rsid w:val="FF8FA9D5"/>
    <w:rsid w:val="FF9F51B7"/>
    <w:rsid w:val="FFAB2750"/>
    <w:rsid w:val="FFAB4357"/>
    <w:rsid w:val="FFAE7324"/>
    <w:rsid w:val="FFAF86AE"/>
    <w:rsid w:val="FFB0A329"/>
    <w:rsid w:val="FFBBB385"/>
    <w:rsid w:val="FFBBECEB"/>
    <w:rsid w:val="FFBE23B6"/>
    <w:rsid w:val="FFBE5615"/>
    <w:rsid w:val="FFBEFA9A"/>
    <w:rsid w:val="FFBF096F"/>
    <w:rsid w:val="FFBF92E0"/>
    <w:rsid w:val="FFBFDFEF"/>
    <w:rsid w:val="FFBFE4B1"/>
    <w:rsid w:val="FFC9710B"/>
    <w:rsid w:val="FFC97483"/>
    <w:rsid w:val="FFCE884B"/>
    <w:rsid w:val="FFD52ED1"/>
    <w:rsid w:val="FFD6E3AD"/>
    <w:rsid w:val="FFD763E3"/>
    <w:rsid w:val="FFD92D81"/>
    <w:rsid w:val="FFD9DE2C"/>
    <w:rsid w:val="FFDB2404"/>
    <w:rsid w:val="FFDCA4D0"/>
    <w:rsid w:val="FFDD9838"/>
    <w:rsid w:val="FFDE2AC3"/>
    <w:rsid w:val="FFDE6AFA"/>
    <w:rsid w:val="FFDF52C3"/>
    <w:rsid w:val="FFDFEA58"/>
    <w:rsid w:val="FFE25297"/>
    <w:rsid w:val="FFE52B12"/>
    <w:rsid w:val="FFE5F6BA"/>
    <w:rsid w:val="FFE70B49"/>
    <w:rsid w:val="FFEDBD57"/>
    <w:rsid w:val="FFEDFBE7"/>
    <w:rsid w:val="FFEF3387"/>
    <w:rsid w:val="FFEF376E"/>
    <w:rsid w:val="FFEF59A8"/>
    <w:rsid w:val="FFEF5A8F"/>
    <w:rsid w:val="FFEF5FD0"/>
    <w:rsid w:val="FFF173BE"/>
    <w:rsid w:val="FFF34A85"/>
    <w:rsid w:val="FFF5F997"/>
    <w:rsid w:val="FFF68F37"/>
    <w:rsid w:val="FFF6909F"/>
    <w:rsid w:val="FFF6C589"/>
    <w:rsid w:val="FFF7641A"/>
    <w:rsid w:val="FFF76C56"/>
    <w:rsid w:val="FFF782CB"/>
    <w:rsid w:val="FFF79299"/>
    <w:rsid w:val="FFF7BA16"/>
    <w:rsid w:val="FFF7ECFA"/>
    <w:rsid w:val="FFFA7B6A"/>
    <w:rsid w:val="FFFAB98C"/>
    <w:rsid w:val="FFFB0D09"/>
    <w:rsid w:val="FFFDAFDA"/>
    <w:rsid w:val="FFFDB457"/>
    <w:rsid w:val="FFFDC8E6"/>
    <w:rsid w:val="FFFDF7D8"/>
    <w:rsid w:val="FFFEF9A9"/>
    <w:rsid w:val="FFFEFCD3"/>
    <w:rsid w:val="FFFF0555"/>
    <w:rsid w:val="FFFF528F"/>
    <w:rsid w:val="FFFF62EB"/>
    <w:rsid w:val="FFFF9122"/>
    <w:rsid w:val="FFFFD4F2"/>
    <w:rsid w:val="FFFFDA42"/>
    <w:rsid w:val="FFFFF1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keepNext/>
      <w:keepLines/>
      <w:spacing w:line="520" w:lineRule="exact"/>
      <w:jc w:val="left"/>
      <w:outlineLvl w:val="0"/>
    </w:pPr>
    <w:rPr>
      <w:rFonts w:eastAsia="黑体"/>
      <w:b/>
      <w:kern w:val="44"/>
      <w:sz w:val="32"/>
      <w:szCs w:val="32"/>
    </w:rPr>
  </w:style>
  <w:style w:type="paragraph" w:styleId="3">
    <w:name w:val="heading 2"/>
    <w:basedOn w:val="1"/>
    <w:next w:val="1"/>
    <w:unhideWhenUsed/>
    <w:qFormat/>
    <w:uiPriority w:val="0"/>
    <w:pPr>
      <w:keepNext/>
      <w:keepLines/>
      <w:spacing w:line="520" w:lineRule="exact"/>
      <w:jc w:val="left"/>
      <w:outlineLvl w:val="1"/>
    </w:pPr>
    <w:rPr>
      <w:rFonts w:ascii="Calibri Light" w:hAnsi="Calibri Light" w:eastAsia="楷体_GB2312"/>
      <w:b/>
      <w:sz w:val="32"/>
      <w:szCs w:val="32"/>
    </w:rPr>
  </w:style>
  <w:style w:type="paragraph" w:styleId="4">
    <w:name w:val="heading 3"/>
    <w:basedOn w:val="1"/>
    <w:next w:val="1"/>
    <w:unhideWhenUsed/>
    <w:qFormat/>
    <w:uiPriority w:val="0"/>
    <w:pPr>
      <w:keepNext/>
      <w:keepLines/>
      <w:spacing w:line="520" w:lineRule="exact"/>
      <w:jc w:val="left"/>
      <w:outlineLvl w:val="2"/>
    </w:pPr>
    <w:rPr>
      <w:rFonts w:hint="eastAsia" w:ascii="仿宋_GB2312" w:eastAsia="仿宋_GB2312"/>
      <w:b/>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4"/>
    <w:semiHidden/>
    <w:qFormat/>
    <w:uiPriority w:val="0"/>
    <w:pPr>
      <w:shd w:val="clear" w:color="auto" w:fill="000080"/>
    </w:pPr>
  </w:style>
  <w:style w:type="paragraph" w:styleId="6">
    <w:name w:val="annotation text"/>
    <w:basedOn w:val="1"/>
    <w:link w:val="34"/>
    <w:semiHidden/>
    <w:unhideWhenUsed/>
    <w:qFormat/>
    <w:uiPriority w:val="99"/>
    <w:pPr>
      <w:jc w:val="left"/>
    </w:pPr>
  </w:style>
  <w:style w:type="paragraph" w:styleId="7">
    <w:name w:val="Body Text Indent"/>
    <w:basedOn w:val="1"/>
    <w:qFormat/>
    <w:uiPriority w:val="99"/>
    <w:pPr>
      <w:spacing w:after="120"/>
      <w:ind w:left="420" w:leftChars="200"/>
    </w:pPr>
    <w:rPr>
      <w:szCs w:val="20"/>
    </w:rPr>
  </w:style>
  <w:style w:type="paragraph" w:styleId="8">
    <w:name w:val="Balloon Text"/>
    <w:basedOn w:val="1"/>
    <w:link w:val="27"/>
    <w:qFormat/>
    <w:uiPriority w:val="0"/>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qFormat/>
    <w:uiPriority w:val="0"/>
    <w:pPr>
      <w:spacing w:before="120"/>
      <w:jc w:val="left"/>
      <w:outlineLvl w:val="1"/>
    </w:pPr>
    <w:rPr>
      <w:rFonts w:ascii="Calibri Light" w:hAnsi="Calibri Light" w:eastAsia="楷体_GB2312"/>
      <w:bCs/>
      <w:kern w:val="28"/>
      <w:sz w:val="32"/>
      <w:szCs w:val="32"/>
    </w:rPr>
  </w:style>
  <w:style w:type="paragraph" w:styleId="12">
    <w:name w:val="Body Text 2"/>
    <w:basedOn w:val="1"/>
    <w:qFormat/>
    <w:uiPriority w:val="0"/>
    <w:pPr>
      <w:spacing w:after="120" w:line="480" w:lineRule="auto"/>
    </w:pPr>
  </w:style>
  <w:style w:type="paragraph" w:styleId="13">
    <w:name w:val="annotation subject"/>
    <w:basedOn w:val="6"/>
    <w:next w:val="6"/>
    <w:link w:val="35"/>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line number"/>
    <w:basedOn w:val="16"/>
    <w:semiHidden/>
    <w:unhideWhenUsed/>
    <w:qFormat/>
    <w:uiPriority w:val="99"/>
  </w:style>
  <w:style w:type="character" w:styleId="19">
    <w:name w:val="HTML Code"/>
    <w:basedOn w:val="16"/>
    <w:semiHidden/>
    <w:unhideWhenUsed/>
    <w:qFormat/>
    <w:uiPriority w:val="99"/>
    <w:rPr>
      <w:rFonts w:ascii="Courier New" w:hAnsi="Courier New"/>
      <w:sz w:val="20"/>
    </w:rPr>
  </w:style>
  <w:style w:type="character" w:styleId="20">
    <w:name w:val="annotation reference"/>
    <w:basedOn w:val="16"/>
    <w:semiHidden/>
    <w:unhideWhenUsed/>
    <w:qFormat/>
    <w:uiPriority w:val="99"/>
    <w:rPr>
      <w:sz w:val="21"/>
      <w:szCs w:val="21"/>
    </w:rPr>
  </w:style>
  <w:style w:type="paragraph" w:styleId="21">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22">
    <w:name w:val="页眉 字符"/>
    <w:basedOn w:val="16"/>
    <w:link w:val="10"/>
    <w:qFormat/>
    <w:uiPriority w:val="99"/>
    <w:rPr>
      <w:sz w:val="18"/>
      <w:szCs w:val="18"/>
    </w:rPr>
  </w:style>
  <w:style w:type="character" w:customStyle="1" w:styleId="23">
    <w:name w:val="页脚 字符"/>
    <w:basedOn w:val="16"/>
    <w:link w:val="9"/>
    <w:qFormat/>
    <w:uiPriority w:val="99"/>
    <w:rPr>
      <w:sz w:val="18"/>
      <w:szCs w:val="18"/>
    </w:rPr>
  </w:style>
  <w:style w:type="character" w:customStyle="1" w:styleId="24">
    <w:name w:val="文档结构图 字符"/>
    <w:basedOn w:val="16"/>
    <w:link w:val="5"/>
    <w:semiHidden/>
    <w:qFormat/>
    <w:uiPriority w:val="0"/>
    <w:rPr>
      <w:rFonts w:ascii="Times New Roman" w:hAnsi="Times New Roman" w:eastAsia="宋体" w:cs="Times New Roman"/>
      <w:szCs w:val="24"/>
      <w:shd w:val="clear" w:color="auto" w:fill="000080"/>
    </w:rPr>
  </w:style>
  <w:style w:type="paragraph" w:customStyle="1" w:styleId="25">
    <w:name w:val="List Paragraph1"/>
    <w:basedOn w:val="1"/>
    <w:qFormat/>
    <w:uiPriority w:val="0"/>
    <w:pPr>
      <w:widowControl/>
      <w:spacing w:before="120" w:after="120" w:line="276" w:lineRule="exact"/>
      <w:ind w:left="720"/>
      <w:contextualSpacing/>
      <w:jc w:val="left"/>
    </w:pPr>
    <w:rPr>
      <w:rFonts w:ascii="Tahoma" w:hAnsi="Tahoma" w:eastAsia="PMingLiU"/>
      <w:kern w:val="0"/>
      <w:sz w:val="20"/>
      <w:lang w:eastAsia="en-US"/>
    </w:rPr>
  </w:style>
  <w:style w:type="character" w:customStyle="1" w:styleId="26">
    <w:name w:val="f101"/>
    <w:qFormat/>
    <w:uiPriority w:val="0"/>
    <w:rPr>
      <w:spacing w:val="500"/>
      <w:sz w:val="24"/>
      <w:szCs w:val="24"/>
    </w:rPr>
  </w:style>
  <w:style w:type="character" w:customStyle="1" w:styleId="27">
    <w:name w:val="批注框文本 字符"/>
    <w:basedOn w:val="16"/>
    <w:link w:val="8"/>
    <w:qFormat/>
    <w:uiPriority w:val="0"/>
    <w:rPr>
      <w:rFonts w:ascii="Times New Roman" w:hAnsi="Times New Roman" w:eastAsia="宋体" w:cs="Times New Roman"/>
      <w:sz w:val="18"/>
      <w:szCs w:val="18"/>
    </w:rPr>
  </w:style>
  <w:style w:type="paragraph" w:customStyle="1" w:styleId="28">
    <w:name w:val="调查项目"/>
    <w:basedOn w:val="1"/>
    <w:qFormat/>
    <w:uiPriority w:val="0"/>
    <w:pPr>
      <w:jc w:val="left"/>
      <w:outlineLvl w:val="1"/>
    </w:pPr>
    <w:rPr>
      <w:rFonts w:ascii="Tahoma" w:hAnsi="Tahoma" w:eastAsia="黑体"/>
      <w:color w:val="333399"/>
      <w:kern w:val="0"/>
      <w:sz w:val="18"/>
      <w:szCs w:val="18"/>
    </w:rPr>
  </w:style>
  <w:style w:type="paragraph" w:customStyle="1" w:styleId="29">
    <w:name w:val="表格正文文本"/>
    <w:basedOn w:val="1"/>
    <w:qFormat/>
    <w:uiPriority w:val="0"/>
    <w:pPr>
      <w:jc w:val="center"/>
    </w:pPr>
    <w:rPr>
      <w:rFonts w:ascii="Tahoma" w:hAnsi="Tahoma"/>
      <w:kern w:val="0"/>
      <w:sz w:val="18"/>
      <w:szCs w:val="18"/>
    </w:rPr>
  </w:style>
  <w:style w:type="paragraph" w:customStyle="1" w:styleId="30">
    <w:name w:val="列出段落1"/>
    <w:basedOn w:val="1"/>
    <w:qFormat/>
    <w:uiPriority w:val="0"/>
    <w:pPr>
      <w:jc w:val="left"/>
    </w:pPr>
    <w:rPr>
      <w:rFonts w:ascii="Calibri" w:hAnsi="Calibri"/>
      <w:szCs w:val="21"/>
    </w:rPr>
  </w:style>
  <w:style w:type="paragraph" w:customStyle="1" w:styleId="31">
    <w:name w:val="列标题"/>
    <w:qFormat/>
    <w:uiPriority w:val="0"/>
    <w:pPr>
      <w:widowControl w:val="0"/>
      <w:jc w:val="center"/>
      <w:outlineLvl w:val="1"/>
    </w:pPr>
    <w:rPr>
      <w:rFonts w:ascii="Tahoma" w:hAnsi="Tahoma" w:eastAsia="黑体" w:cs="Times New Roman"/>
      <w:color w:val="333399"/>
      <w:sz w:val="18"/>
      <w:szCs w:val="18"/>
      <w:lang w:val="en-US" w:eastAsia="zh-CN" w:bidi="ar-SA"/>
    </w:rPr>
  </w:style>
  <w:style w:type="paragraph" w:customStyle="1" w:styleId="32">
    <w:name w:val="王奕改内文"/>
    <w:basedOn w:val="1"/>
    <w:qFormat/>
    <w:uiPriority w:val="0"/>
    <w:pPr>
      <w:widowControl/>
      <w:spacing w:line="360" w:lineRule="auto"/>
      <w:ind w:firstLine="200" w:firstLineChars="200"/>
    </w:pPr>
    <w:rPr>
      <w:rFonts w:ascii="宋体" w:hAnsi="宋体"/>
      <w:color w:val="000000"/>
      <w:spacing w:val="-4"/>
      <w:sz w:val="24"/>
    </w:rPr>
  </w:style>
  <w:style w:type="paragraph" w:customStyle="1" w:styleId="33">
    <w:name w:val="列出段落2"/>
    <w:basedOn w:val="1"/>
    <w:qFormat/>
    <w:uiPriority w:val="99"/>
    <w:pPr>
      <w:ind w:firstLine="420" w:firstLineChars="200"/>
    </w:pPr>
    <w:rPr>
      <w:rFonts w:ascii="Calibri" w:hAnsi="Calibri"/>
      <w:szCs w:val="22"/>
    </w:rPr>
  </w:style>
  <w:style w:type="character" w:customStyle="1" w:styleId="34">
    <w:name w:val="批注文字 字符"/>
    <w:basedOn w:val="16"/>
    <w:link w:val="6"/>
    <w:semiHidden/>
    <w:qFormat/>
    <w:uiPriority w:val="99"/>
    <w:rPr>
      <w:kern w:val="2"/>
      <w:sz w:val="21"/>
      <w:szCs w:val="24"/>
    </w:rPr>
  </w:style>
  <w:style w:type="character" w:customStyle="1" w:styleId="35">
    <w:name w:val="批注主题 字符"/>
    <w:basedOn w:val="34"/>
    <w:link w:val="13"/>
    <w:semiHidden/>
    <w:qFormat/>
    <w:uiPriority w:val="99"/>
    <w:rPr>
      <w:b/>
      <w:bCs/>
      <w:kern w:val="2"/>
      <w:sz w:val="21"/>
      <w:szCs w:val="24"/>
    </w:rPr>
  </w:style>
  <w:style w:type="character" w:customStyle="1" w:styleId="36">
    <w:name w:val="标题 1 字符"/>
    <w:link w:val="2"/>
    <w:qFormat/>
    <w:uiPriority w:val="0"/>
    <w:rPr>
      <w:rFonts w:eastAsia="黑体"/>
      <w:b/>
      <w:kern w:val="44"/>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CFDA</Company>
  <Pages>22</Pages>
  <Words>8548</Words>
  <Characters>9198</Characters>
  <Lines>69</Lines>
  <Paragraphs>19</Paragraphs>
  <TotalTime>0</TotalTime>
  <ScaleCrop>false</ScaleCrop>
  <LinksUpToDate>false</LinksUpToDate>
  <CharactersWithSpaces>9244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2017-10-24T18:10:00Z</dcterms:created>
  <dc:creator>果靓</dc:creator>
  <cp:lastModifiedBy>WPS_1590842190</cp:lastModifiedBy>
  <cp:lastPrinted>2024-06-13T14:31:00Z</cp:lastPrinted>
  <dcterms:modified xsi:type="dcterms:W3CDTF">2026-08-07T02:27:58Z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BA026ADF3789479F953F800B12164E2D_13</vt:lpwstr>
  </property>
  <property fmtid="{D5CDD505-2E9C-101B-9397-08002B2CF9AE}" pid="4" name="KSOTemplateDocerSaveRecord">
    <vt:lpwstr>eyJoZGlkIjoiODgzMGRlZjM2Yjc1Y2M3NjAzMzBkZjU3MzdmNTY2N2QiLCJ1c2VySWQiOiIxMDAyNDQwODgxIn0=</vt:lpwstr>
  </property>
</Properties>
</file>