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附件</w:t>
      </w:r>
    </w:p>
    <w:p>
      <w:pPr>
        <w:pStyle w:val="14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“港澳药械通”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医疗服务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和价格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600" w:lineRule="auto"/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单位（医疗机构公章）：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日期：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联系人：</w:t>
      </w:r>
    </w:p>
    <w:tbl>
      <w:tblPr>
        <w:tblStyle w:val="11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579"/>
        <w:gridCol w:w="1434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 别</w:t>
            </w:r>
          </w:p>
        </w:tc>
        <w:tc>
          <w:tcPr>
            <w:tcW w:w="65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一、综合医疗服务类  □  二、医技诊疗类          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三、临床诊疗类      □  四、中医及民族医诊疗类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医保医用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耗材编码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项目价格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  明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价格构成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（可另附：1.实行打包收费的提供服务价格和耗材价格；2.耗材除外收费的提供耗材价格）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（填写医疗服务价格项目适用的特定医疗目的）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工作原理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操作规范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（涉及医疗器械名称以及产品标准编号）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境外同类医疗服务项目及参考价格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省卫生健康委批准指定医疗机构文件和文号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发文日期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省药监局同意进口医疗器械批件号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批件有效期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其他要说明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的情况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（可另附，重点说明与同类现行医疗服务价格项目的差异性，对比分析两者间的经济性、先进性和必要性）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center"/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备注：产品标准、部门批件和有关说明等佐证材料可另附。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308F"/>
    <w:rsid w:val="0602308F"/>
    <w:rsid w:val="644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paragraph" w:customStyle="1" w:styleId="1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2024-02-18T08:44:00Z</dcterms:created>
  <dc:creator>李华润（驻场）</dc:creator>
  <cp:lastModifiedBy>李华润（驻场）</cp:lastModifiedBy>
  <dcterms:modified xsi:type="dcterms:W3CDTF">2024-02-18T08:45:03Z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E4337563D9334752A2D85AA7A55856FC</vt:lpwstr>
  </property>
</Properties>
</file>