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600" w:lineRule="exact"/>
        <w:ind w:left="0" w:right="0"/>
        <w:jc w:val="center"/>
        <w:textAlignment w:val="auto"/>
        <w:rPr>
          <w:rFonts w:hint="eastAsia" w:ascii="方正小标宋简体" w:hAnsi="方正小标宋简体" w:eastAsia="方正小标宋简体" w:cs="方正小标宋简体"/>
          <w:b w:val="0"/>
          <w:bCs w:val="0"/>
          <w:snapToGrid/>
          <w:color w:val="000000" w:themeColor="text1"/>
          <w:kern w:val="2"/>
          <w:sz w:val="44"/>
          <w:szCs w:val="44"/>
          <w:u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snapToGrid/>
          <w:color w:val="000000" w:themeColor="text1"/>
          <w:kern w:val="2"/>
          <w:sz w:val="44"/>
          <w:szCs w:val="44"/>
          <w:u w:val="none"/>
          <w:lang w:val="en-US" w:eastAsia="zh-CN"/>
          <w14:textFill>
            <w14:solidFill>
              <w14:schemeClr w14:val="tx1"/>
            </w14:solidFill>
          </w14:textFill>
        </w:rPr>
        <w:t>广东省医疗保障局关于做好“港澳药械通”医疗服务价格项目有关工</w:t>
      </w:r>
      <w:r>
        <w:rPr>
          <w:rFonts w:hint="eastAsia" w:ascii="方正小标宋简体" w:hAnsi="方正小标宋简体" w:eastAsia="方正小标宋简体" w:cs="方正小标宋简体"/>
          <w:b w:val="0"/>
          <w:bCs w:val="0"/>
          <w:snapToGrid/>
          <w:color w:val="000000" w:themeColor="text1"/>
          <w:kern w:val="2"/>
          <w:sz w:val="44"/>
          <w:szCs w:val="44"/>
          <w:u w:val="none"/>
          <w14:textFill>
            <w14:solidFill>
              <w14:schemeClr w14:val="tx1"/>
            </w14:solidFill>
          </w14:textFill>
        </w:rPr>
        <w:t>作</w:t>
      </w:r>
      <w:r>
        <w:rPr>
          <w:rFonts w:hint="eastAsia" w:ascii="方正小标宋简体" w:hAnsi="方正小标宋简体" w:eastAsia="方正小标宋简体" w:cs="方正小标宋简体"/>
          <w:b w:val="0"/>
          <w:bCs w:val="0"/>
          <w:snapToGrid/>
          <w:color w:val="000000" w:themeColor="text1"/>
          <w:kern w:val="2"/>
          <w:sz w:val="44"/>
          <w:szCs w:val="44"/>
          <w:u w:val="none"/>
          <w:lang w:val="en-US" w:eastAsia="zh-CN"/>
          <w14:textFill>
            <w14:solidFill>
              <w14:schemeClr w14:val="tx1"/>
            </w14:solidFill>
          </w14:textFill>
        </w:rPr>
        <w:t>的通知</w:t>
      </w:r>
    </w:p>
    <w:p>
      <w:pPr>
        <w:jc w:val="center"/>
        <w:rPr>
          <w:rFonts w:hint="eastAsia" w:ascii="仿宋" w:hAnsi="仿宋" w:eastAsia="仿宋" w:cs="仿宋"/>
          <w:snapToGrid/>
          <w:color w:val="000000" w:themeColor="text1"/>
          <w:kern w:val="2"/>
          <w:sz w:val="32"/>
          <w:szCs w:val="32"/>
          <w:u w:val="none"/>
          <w:lang w:eastAsia="zh-CN"/>
          <w14:textFill>
            <w14:solidFill>
              <w14:schemeClr w14:val="tx1"/>
            </w14:solidFill>
          </w14:textFill>
        </w:rPr>
      </w:pPr>
      <w:r>
        <w:rPr>
          <w:rFonts w:hint="eastAsia" w:ascii="仿宋" w:hAnsi="仿宋" w:eastAsia="仿宋" w:cs="仿宋"/>
          <w:snapToGrid/>
          <w:color w:val="000000" w:themeColor="text1"/>
          <w:kern w:val="2"/>
          <w:sz w:val="32"/>
          <w:szCs w:val="32"/>
          <w:u w:val="none"/>
          <w:lang w:eastAsia="zh-CN"/>
          <w14:textFill>
            <w14:solidFill>
              <w14:schemeClr w14:val="tx1"/>
            </w14:solidFill>
          </w14:textFill>
        </w:rPr>
        <w:t>（征求意见稿）</w:t>
      </w:r>
    </w:p>
    <w:p>
      <w:pPr>
        <w:keepNext w:val="0"/>
        <w:keepLines w:val="0"/>
        <w:pageBreakBefore w:val="0"/>
        <w:kinsoku/>
        <w:wordWrap/>
        <w:overflowPunct/>
        <w:topLinePunct w:val="0"/>
        <w:autoSpaceDE/>
        <w:autoSpaceDN/>
        <w:bidi w:val="0"/>
        <w:adjustRightInd/>
        <w:spacing w:line="600" w:lineRule="exact"/>
        <w:textAlignment w:val="auto"/>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pPr>
      <w:r>
        <w:rPr>
          <w:rFonts w:hint="default" w:ascii="Nimbus Roman" w:hAnsi="Nimbus Roman" w:eastAsia="仿宋" w:cs="Nimbus Roman"/>
          <w:snapToGrid/>
          <w:color w:val="000000" w:themeColor="text1"/>
          <w:kern w:val="2"/>
          <w:sz w:val="32"/>
          <w:szCs w:val="32"/>
          <w:u w:val="none"/>
          <w14:textFill>
            <w14:solidFill>
              <w14:schemeClr w14:val="tx1"/>
            </w14:solidFill>
          </w14:textFill>
        </w:rPr>
        <w:t>广州、深圳、珠海、佛山、惠州、东莞、中山、江门、肇庆</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市医疗保障局</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广东省药品交易中心</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600" w:lineRule="exact"/>
        <w:ind w:firstLine="640"/>
        <w:textAlignment w:val="auto"/>
        <w:rPr>
          <w:rFonts w:hint="default" w:ascii="Nimbus Roman" w:hAnsi="Nimbus Roman" w:eastAsia="仿宋" w:cs="Nimbus Roman"/>
          <w:snapToGrid/>
          <w:color w:val="000000" w:themeColor="text1"/>
          <w:kern w:val="2"/>
          <w:sz w:val="32"/>
          <w:szCs w:val="32"/>
          <w:u w:val="none"/>
          <w14:textFill>
            <w14:solidFill>
              <w14:schemeClr w14:val="tx1"/>
            </w14:solidFill>
          </w14:textFill>
        </w:rPr>
      </w:pPr>
      <w:r>
        <w:rPr>
          <w:rFonts w:hint="default" w:ascii="Nimbus Roman" w:hAnsi="Nimbus Roman" w:eastAsia="仿宋" w:cs="Nimbus Roman"/>
          <w:snapToGrid/>
          <w:color w:val="000000" w:themeColor="text1"/>
          <w:kern w:val="2"/>
          <w:sz w:val="32"/>
          <w:szCs w:val="32"/>
          <w:u w:val="none"/>
          <w14:textFill>
            <w14:solidFill>
              <w14:schemeClr w14:val="tx1"/>
            </w14:solidFill>
          </w14:textFill>
        </w:rPr>
        <w:t>为深入贯彻《粤港澳大湾区发展规划纲要》</w:t>
      </w:r>
      <w:r>
        <w:rPr>
          <w:rFonts w:hint="default" w:ascii="Nimbus Roman" w:hAnsi="Nimbus Roman" w:eastAsia="仿宋" w:cs="Nimbus Roman"/>
          <w:snapToGrid/>
          <w:color w:val="000000" w:themeColor="text1"/>
          <w:kern w:val="2"/>
          <w:sz w:val="32"/>
          <w:szCs w:val="32"/>
          <w:u w:val="none"/>
          <w:lang w:eastAsia="zh-CN"/>
          <w14:textFill>
            <w14:solidFill>
              <w14:schemeClr w14:val="tx1"/>
            </w14:solidFill>
          </w14:textFill>
        </w:rPr>
        <w:t>和</w:t>
      </w:r>
      <w:r>
        <w:rPr>
          <w:rFonts w:hint="default" w:ascii="Nimbus Roman" w:hAnsi="Nimbus Roman" w:eastAsia="仿宋" w:cs="Nimbus Roman"/>
          <w:snapToGrid/>
          <w:color w:val="000000" w:themeColor="text1"/>
          <w:kern w:val="2"/>
          <w:sz w:val="32"/>
          <w:szCs w:val="32"/>
          <w:u w:val="none"/>
          <w14:textFill>
            <w14:solidFill>
              <w14:schemeClr w14:val="tx1"/>
            </w14:solidFill>
          </w14:textFill>
        </w:rPr>
        <w:t>《关于贯彻落实&lt;粤港澳大湾区发展规划纲要&gt;的实施意见》</w:t>
      </w:r>
      <w:r>
        <w:rPr>
          <w:rFonts w:hint="default" w:ascii="Nimbus Roman" w:hAnsi="Nimbus Roman" w:eastAsia="仿宋" w:cs="Nimbus Roman"/>
          <w:snapToGrid/>
          <w:color w:val="000000" w:themeColor="text1"/>
          <w:kern w:val="2"/>
          <w:sz w:val="32"/>
          <w:szCs w:val="32"/>
          <w:u w:val="none"/>
          <w:lang w:eastAsia="zh-CN"/>
          <w14:textFill>
            <w14:solidFill>
              <w14:schemeClr w14:val="tx1"/>
            </w14:solidFill>
          </w14:textFill>
        </w:rPr>
        <w:t>精神，进一步落实《广东省粤港澳大湾区内地临床急需进口港澳药品医疗器械管理暂行规定》有关规定，支持粤港澳大湾区药品医疗器械创新发展，</w:t>
      </w:r>
      <w:r>
        <w:rPr>
          <w:rFonts w:hint="default" w:ascii="Nimbus Roman" w:hAnsi="Nimbus Roman" w:eastAsia="仿宋" w:cs="Nimbus Roman"/>
          <w:snapToGrid/>
          <w:color w:val="000000" w:themeColor="text1"/>
          <w:kern w:val="2"/>
          <w:sz w:val="32"/>
          <w:szCs w:val="32"/>
          <w:u w:val="none"/>
          <w14:textFill>
            <w14:solidFill>
              <w14:schemeClr w14:val="tx1"/>
            </w14:solidFill>
          </w14:textFill>
        </w:rPr>
        <w:t>更好地满足粤港澳大湾区居民</w:t>
      </w:r>
      <w:r>
        <w:rPr>
          <w:rFonts w:hint="default" w:ascii="Nimbus Roman" w:hAnsi="Nimbus Roman" w:eastAsia="仿宋" w:cs="Nimbus Roman"/>
          <w:snapToGrid/>
          <w:color w:val="000000" w:themeColor="text1"/>
          <w:kern w:val="2"/>
          <w:sz w:val="32"/>
          <w:szCs w:val="32"/>
          <w:u w:val="none"/>
          <w:lang w:eastAsia="zh-CN"/>
          <w14:textFill>
            <w14:solidFill>
              <w14:schemeClr w14:val="tx1"/>
            </w14:solidFill>
          </w14:textFill>
        </w:rPr>
        <w:t>医疗服务</w:t>
      </w:r>
      <w:r>
        <w:rPr>
          <w:rFonts w:hint="default" w:ascii="Nimbus Roman" w:hAnsi="Nimbus Roman" w:eastAsia="仿宋" w:cs="Nimbus Roman"/>
          <w:snapToGrid/>
          <w:color w:val="000000" w:themeColor="text1"/>
          <w:kern w:val="2"/>
          <w:sz w:val="32"/>
          <w:szCs w:val="32"/>
          <w:u w:val="none"/>
          <w14:textFill>
            <w14:solidFill>
              <w14:schemeClr w14:val="tx1"/>
            </w14:solidFill>
          </w14:textFill>
        </w:rPr>
        <w:t>需求</w:t>
      </w:r>
      <w:r>
        <w:rPr>
          <w:rFonts w:hint="default" w:ascii="Nimbus Roman" w:hAnsi="Nimbus Roman" w:eastAsia="仿宋" w:cs="Nimbus Roman"/>
          <w:snapToGrid/>
          <w:color w:val="000000" w:themeColor="text1"/>
          <w:kern w:val="2"/>
          <w:sz w:val="32"/>
          <w:szCs w:val="32"/>
          <w:u w:val="none"/>
          <w:lang w:eastAsia="zh-CN"/>
          <w14:textFill>
            <w14:solidFill>
              <w14:schemeClr w14:val="tx1"/>
            </w14:solidFill>
          </w14:textFill>
        </w:rPr>
        <w:t>，释放更多政策红利，</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根据国家医保局有关意见，</w:t>
      </w:r>
      <w:r>
        <w:rPr>
          <w:rFonts w:hint="default" w:ascii="Nimbus Roman" w:hAnsi="Nimbus Roman" w:eastAsia="仿宋" w:cs="Nimbus Roman"/>
          <w:snapToGrid/>
          <w:color w:val="000000" w:themeColor="text1"/>
          <w:kern w:val="2"/>
          <w:sz w:val="32"/>
          <w:szCs w:val="32"/>
          <w:u w:val="none"/>
          <w14:textFill>
            <w14:solidFill>
              <w14:schemeClr w14:val="tx1"/>
            </w14:solidFill>
          </w14:textFill>
        </w:rPr>
        <w:t>现就</w:t>
      </w:r>
      <w:r>
        <w:rPr>
          <w:rFonts w:hint="default" w:ascii="Nimbus Roman" w:hAnsi="Nimbus Roman" w:eastAsia="仿宋" w:cs="Nimbus Roman"/>
          <w:snapToGrid/>
          <w:color w:val="000000" w:themeColor="text1"/>
          <w:kern w:val="2"/>
          <w:sz w:val="32"/>
          <w:szCs w:val="32"/>
          <w:u w:val="none"/>
          <w:lang w:eastAsia="zh-CN"/>
          <w14:textFill>
            <w14:solidFill>
              <w14:schemeClr w14:val="tx1"/>
            </w14:solidFill>
          </w14:textFill>
        </w:rPr>
        <w:t>实施“港澳药械通”</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相关医疗服务项目</w:t>
      </w:r>
      <w:r>
        <w:rPr>
          <w:rFonts w:hint="default" w:ascii="Nimbus Roman" w:hAnsi="Nimbus Roman" w:eastAsia="仿宋" w:cs="Nimbus Roman"/>
          <w:snapToGrid/>
          <w:color w:val="000000" w:themeColor="text1"/>
          <w:kern w:val="2"/>
          <w:sz w:val="32"/>
          <w:szCs w:val="32"/>
          <w:u w:val="none"/>
          <w14:textFill>
            <w14:solidFill>
              <w14:schemeClr w14:val="tx1"/>
            </w14:solidFill>
          </w14:textFill>
        </w:rPr>
        <w:t>工作有关事项通知如下：</w:t>
      </w:r>
    </w:p>
    <w:p>
      <w:pPr>
        <w:pStyle w:val="4"/>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600" w:lineRule="exact"/>
        <w:ind w:right="0" w:rightChars="0" w:firstLine="640" w:firstLineChars="200"/>
        <w:jc w:val="both"/>
        <w:textAlignment w:val="auto"/>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pPr>
      <w:r>
        <w:rPr>
          <w:rFonts w:hint="eastAsia" w:ascii="Nimbus Roman" w:hAnsi="Nimbus Roman" w:eastAsia="方正黑体_GBK" w:cs="Nimbus Roman"/>
          <w:snapToGrid/>
          <w:color w:val="000000" w:themeColor="text1"/>
          <w:kern w:val="2"/>
          <w:sz w:val="32"/>
          <w:szCs w:val="32"/>
          <w:u w:val="none"/>
          <w:lang w:eastAsia="zh-CN"/>
          <w14:textFill>
            <w14:solidFill>
              <w14:schemeClr w14:val="tx1"/>
            </w14:solidFill>
          </w14:textFill>
        </w:rPr>
        <w:t>一、</w:t>
      </w:r>
      <w:r>
        <w:rPr>
          <w:rFonts w:hint="default" w:ascii="Nimbus Roman" w:hAnsi="Nimbus Roman" w:eastAsia="方正黑体_GBK" w:cs="Nimbus Roman"/>
          <w:snapToGrid/>
          <w:color w:val="000000" w:themeColor="text1"/>
          <w:kern w:val="2"/>
          <w:sz w:val="32"/>
          <w:szCs w:val="32"/>
          <w:u w:val="none"/>
          <w:lang w:eastAsia="zh-CN"/>
          <w14:textFill>
            <w14:solidFill>
              <w14:schemeClr w14:val="tx1"/>
            </w14:solidFill>
          </w14:textFill>
        </w:rPr>
        <w:t>“</w:t>
      </w:r>
      <w:r>
        <w:rPr>
          <w:rFonts w:hint="default" w:ascii="Nimbus Roman" w:hAnsi="Nimbus Roman" w:eastAsia="方正黑体_GBK" w:cs="Nimbus Roman"/>
          <w:snapToGrid/>
          <w:color w:val="000000" w:themeColor="text1"/>
          <w:kern w:val="2"/>
          <w:sz w:val="32"/>
          <w:szCs w:val="32"/>
          <w:u w:val="none"/>
          <w:lang w:val="en-US" w:eastAsia="zh-CN"/>
          <w14:textFill>
            <w14:solidFill>
              <w14:schemeClr w14:val="tx1"/>
            </w14:solidFill>
          </w14:textFill>
        </w:rPr>
        <w:t>港澳药械通”医疗服务项目实行备案管理。</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指定医疗机构应用经批准纳入</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港澳药械通</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的医疗器械</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提供医疗服务</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需设立的</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医疗服务项目</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（以下简称“</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港澳药械通”医疗服务项目</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，实行省级备案，属地</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监</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管，加快临床转化进度。</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备案“</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港澳药械通</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医疗服务项目</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和价格由指定医疗机构</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参考境外地区成熟做法，遵循公平、合法和诚实信用的原则自主确定，</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不以现有项目加收项的形式立项。指定</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医疗机构</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向</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省医保局提交《</w:t>
      </w:r>
      <w:r>
        <w:rPr>
          <w:rFonts w:hint="default" w:ascii="Nimbus Roman" w:hAnsi="Nimbus Roman" w:eastAsia="仿宋" w:cs="Nimbus Roman"/>
          <w:snapToGrid/>
          <w:color w:val="000000" w:themeColor="text1"/>
          <w:kern w:val="2"/>
          <w:sz w:val="32"/>
          <w:szCs w:val="32"/>
          <w:u w:val="none"/>
          <w:lang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港澳药械通”</w:t>
      </w:r>
      <w:r>
        <w:rPr>
          <w:rFonts w:hint="default" w:ascii="Nimbus Roman" w:hAnsi="Nimbus Roman" w:eastAsia="仿宋字体" w:cs="Nimbus Roman"/>
          <w:color w:val="000000" w:themeColor="text1"/>
          <w:spacing w:val="0"/>
          <w:position w:val="0"/>
          <w:sz w:val="32"/>
          <w:u w:val="none"/>
          <w:shd w:val="clear" w:fill="auto"/>
          <w14:textFill>
            <w14:solidFill>
              <w14:schemeClr w14:val="tx1"/>
            </w14:solidFill>
          </w14:textFill>
        </w:rPr>
        <w:t>医疗服务项目</w:t>
      </w:r>
      <w:r>
        <w:rPr>
          <w:rFonts w:hint="eastAsia" w:ascii="Nimbus Roman" w:hAnsi="Nimbus Roman" w:eastAsia="仿宋字体" w:cs="Nimbus Roman"/>
          <w:color w:val="000000" w:themeColor="text1"/>
          <w:spacing w:val="0"/>
          <w:position w:val="0"/>
          <w:sz w:val="32"/>
          <w:u w:val="none"/>
          <w:shd w:val="clear" w:fill="auto"/>
          <w:lang w:eastAsia="zh-CN"/>
          <w14:textFill>
            <w14:solidFill>
              <w14:schemeClr w14:val="tx1"/>
            </w14:solidFill>
          </w14:textFill>
        </w:rPr>
        <w:t>和价格</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备案</w:t>
      </w:r>
      <w:r>
        <w:rPr>
          <w:rFonts w:hint="default" w:ascii="Nimbus Roman" w:hAnsi="Nimbus Roman" w:eastAsia="仿宋字体" w:cs="Nimbus Roman"/>
          <w:color w:val="000000" w:themeColor="text1"/>
          <w:spacing w:val="0"/>
          <w:position w:val="0"/>
          <w:sz w:val="32"/>
          <w:u w:val="none"/>
          <w:shd w:val="clear" w:fill="auto"/>
          <w14:textFill>
            <w14:solidFill>
              <w14:schemeClr w14:val="tx1"/>
            </w14:solidFill>
          </w14:textFill>
        </w:rPr>
        <w:t>表</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》（见附件）及有关佐证材料</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（其中涉及</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医用耗材</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的需先获得国家医保医用耗材</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编码</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省医保局公开已备案</w:t>
      </w:r>
      <w:r>
        <w:rPr>
          <w:rFonts w:hint="eastAsia" w:ascii="Nimbus Roman" w:hAnsi="Nimbus Roman" w:eastAsia="仿宋" w:cs="Nimbus Roman"/>
          <w:snapToGrid/>
          <w:color w:val="000000" w:themeColor="text1"/>
          <w:kern w:val="2"/>
          <w:sz w:val="32"/>
          <w:szCs w:val="32"/>
          <w:u w:val="none"/>
          <w:lang w:val="en-US" w:eastAsia="zh-CN" w:bidi="ar-SA"/>
          <w14:textFill>
            <w14:solidFill>
              <w14:schemeClr w14:val="tx1"/>
            </w14:solidFill>
          </w14:textFill>
        </w:rPr>
        <w:t>的</w:t>
      </w:r>
      <w:r>
        <w:rPr>
          <w:rFonts w:hint="default" w:ascii="Nimbus Roman" w:hAnsi="Nimbus Roman" w:eastAsia="仿宋" w:cs="Nimbus Roman"/>
          <w:snapToGrid/>
          <w:color w:val="000000" w:themeColor="text1"/>
          <w:kern w:val="2"/>
          <w:sz w:val="32"/>
          <w:szCs w:val="32"/>
          <w:u w:val="none"/>
          <w:lang w:val="en-US" w:eastAsia="zh-CN" w:bidi="ar-SA"/>
          <w14:textFill>
            <w14:solidFill>
              <w14:schemeClr w14:val="tx1"/>
            </w14:solidFill>
          </w14:textFill>
        </w:rPr>
        <w:t>“港澳药械通”医疗服务项目</w:t>
      </w:r>
      <w:r>
        <w:rPr>
          <w:rFonts w:hint="eastAsia" w:ascii="Nimbus Roman" w:hAnsi="Nimbus Roman" w:eastAsia="仿宋" w:cs="Nimbus Roman"/>
          <w:snapToGrid/>
          <w:color w:val="000000" w:themeColor="text1"/>
          <w:kern w:val="2"/>
          <w:sz w:val="32"/>
          <w:szCs w:val="32"/>
          <w:u w:val="none"/>
          <w:lang w:val="en-US" w:eastAsia="zh-CN" w:bidi="ar-SA"/>
          <w14:textFill>
            <w14:solidFill>
              <w14:schemeClr w14:val="tx1"/>
            </w14:solidFill>
          </w14:textFill>
        </w:rPr>
        <w:t>。备案内容有调整的应重新备案。</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其他指定医疗机构使用</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港澳药械通</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医疗器械实施相同医疗服务的，参照已</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报</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备</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实施</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的项目</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名称、内涵等要素备案</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，提高效率。</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pPr>
      <w:r>
        <w:rPr>
          <w:rFonts w:hint="eastAsia" w:ascii="Nimbus Roman" w:hAnsi="Nimbus Roman" w:eastAsia="方正黑体_GBK" w:cs="Nimbus Roman"/>
          <w:snapToGrid/>
          <w:color w:val="000000" w:themeColor="text1"/>
          <w:kern w:val="2"/>
          <w:sz w:val="32"/>
          <w:szCs w:val="32"/>
          <w:u w:val="none"/>
          <w:lang w:eastAsia="zh-CN"/>
          <w14:textFill>
            <w14:solidFill>
              <w14:schemeClr w14:val="tx1"/>
            </w14:solidFill>
          </w14:textFill>
        </w:rPr>
        <w:t>二、</w:t>
      </w:r>
      <w:r>
        <w:rPr>
          <w:rFonts w:hint="default" w:ascii="Nimbus Roman" w:hAnsi="Nimbus Roman" w:eastAsia="方正黑体_GBK" w:cs="Nimbus Roman"/>
          <w:snapToGrid/>
          <w:color w:val="000000" w:themeColor="text1"/>
          <w:kern w:val="2"/>
          <w:sz w:val="32"/>
          <w:szCs w:val="32"/>
          <w:u w:val="none"/>
          <w:lang w:eastAsia="zh-CN"/>
          <w14:textFill>
            <w14:solidFill>
              <w14:schemeClr w14:val="tx1"/>
            </w14:solidFill>
          </w14:textFill>
        </w:rPr>
        <w:t>“</w:t>
      </w:r>
      <w:r>
        <w:rPr>
          <w:rFonts w:hint="default" w:ascii="Nimbus Roman" w:hAnsi="Nimbus Roman" w:eastAsia="方正黑体_GBK" w:cs="Nimbus Roman"/>
          <w:snapToGrid/>
          <w:color w:val="000000" w:themeColor="text1"/>
          <w:kern w:val="2"/>
          <w:sz w:val="32"/>
          <w:szCs w:val="32"/>
          <w:u w:val="none"/>
          <w:lang w:val="en-US" w:eastAsia="zh-CN"/>
          <w14:textFill>
            <w14:solidFill>
              <w14:schemeClr w14:val="tx1"/>
            </w14:solidFill>
          </w14:textFill>
        </w:rPr>
        <w:t>港澳药械通”医疗服务项目</w:t>
      </w:r>
      <w:r>
        <w:rPr>
          <w:rFonts w:hint="eastAsia" w:ascii="Nimbus Roman" w:hAnsi="Nimbus Roman" w:eastAsia="方正黑体_GBK" w:cs="Nimbus Roman"/>
          <w:snapToGrid/>
          <w:color w:val="000000" w:themeColor="text1"/>
          <w:kern w:val="2"/>
          <w:sz w:val="32"/>
          <w:szCs w:val="32"/>
          <w:u w:val="none"/>
          <w:lang w:val="en-US" w:eastAsia="zh-CN"/>
          <w14:textFill>
            <w14:solidFill>
              <w14:schemeClr w14:val="tx1"/>
            </w14:solidFill>
          </w14:textFill>
        </w:rPr>
        <w:t>的适用范围</w:t>
      </w:r>
      <w:r>
        <w:rPr>
          <w:rFonts w:hint="default" w:ascii="Nimbus Roman" w:hAnsi="Nimbus Roman" w:eastAsia="方正黑体_GBK"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备案的</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港澳药械通</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医疗服务项目，仅限备案的指定医疗机构使用</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，不纳入我省基本医疗服务和市场调节价服务价格项目目录管理，由医疗机构和患者按自费单独结算</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。指定医疗机构和备案项目依托的</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港澳药械通</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医疗器械，以行业主管部门批准的实施范围为准，行业主管部门中止使用授权或到使用授权逾期未续的，备案项目自动失效；行业主管部门批准继续授权使用的，由指定医疗机构重新报备</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后使用</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备案项目适用范围拟扩大至“港澳药械通”指定医疗机构以外的其他医疗机构的，应在相应进口医疗器械获得国家药监部门进口注册批准上市的基础上，按照新增医疗服务价格项目的政策规定常态化管理。</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pPr>
      <w:r>
        <w:rPr>
          <w:rFonts w:hint="eastAsia" w:ascii="Nimbus Roman" w:hAnsi="Nimbus Roman" w:eastAsia="方正黑体_GBK" w:cs="Nimbus Roman"/>
          <w:snapToGrid/>
          <w:color w:val="000000" w:themeColor="text1"/>
          <w:kern w:val="2"/>
          <w:sz w:val="32"/>
          <w:szCs w:val="32"/>
          <w:u w:val="none"/>
          <w:lang w:val="en-US" w:eastAsia="zh-CN"/>
          <w14:textFill>
            <w14:solidFill>
              <w14:schemeClr w14:val="tx1"/>
            </w14:solidFill>
          </w14:textFill>
        </w:rPr>
        <w:t>三、</w:t>
      </w:r>
      <w:r>
        <w:rPr>
          <w:rFonts w:hint="default" w:ascii="Nimbus Roman" w:hAnsi="Nimbus Roman" w:eastAsia="方正黑体_GBK" w:cs="Nimbus Roman"/>
          <w:snapToGrid/>
          <w:color w:val="000000" w:themeColor="text1"/>
          <w:kern w:val="2"/>
          <w:sz w:val="32"/>
          <w:szCs w:val="32"/>
          <w:u w:val="none"/>
          <w:lang w:val="en-US" w:eastAsia="zh-CN"/>
          <w14:textFill>
            <w14:solidFill>
              <w14:schemeClr w14:val="tx1"/>
            </w14:solidFill>
          </w14:textFill>
        </w:rPr>
        <w:t>“港澳药械通”</w:t>
      </w:r>
      <w:r>
        <w:rPr>
          <w:rFonts w:hint="eastAsia" w:ascii="Nimbus Roman" w:hAnsi="Nimbus Roman" w:eastAsia="方正黑体_GBK" w:cs="Nimbus Roman"/>
          <w:snapToGrid/>
          <w:color w:val="000000" w:themeColor="text1"/>
          <w:kern w:val="2"/>
          <w:sz w:val="32"/>
          <w:szCs w:val="32"/>
          <w:u w:val="none"/>
          <w:lang w:val="en-US" w:eastAsia="zh-CN"/>
          <w14:textFill>
            <w14:solidFill>
              <w14:schemeClr w14:val="tx1"/>
            </w14:solidFill>
          </w14:textFill>
        </w:rPr>
        <w:t>药品和医用耗材的采购。</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指</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定</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公立</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医疗机构</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使用</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纳入“港澳药械通”的</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药品和医用耗材应当通过采购平台采购。发挥集团采购规模效应，支持以区域联盟、医院联合等方式开展带量采购，实施梯度价格，量价挂钩，构建市场主导、多方参与的</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“港澳药械通”</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药品和医用耗材的价格形成机制。</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“港澳药械通”</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药品和医用耗材的首发挂网价格由省招采子系统集中受理，各采购平台相应做好其采购交易工作。</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pPr>
      <w:r>
        <w:rPr>
          <w:rFonts w:hint="eastAsia" w:ascii="Nimbus Roman" w:hAnsi="Nimbus Roman" w:eastAsia="方正黑体_GBK" w:cs="Nimbus Roman"/>
          <w:snapToGrid/>
          <w:color w:val="000000" w:themeColor="text1"/>
          <w:kern w:val="2"/>
          <w:sz w:val="32"/>
          <w:szCs w:val="32"/>
          <w:u w:val="none"/>
          <w:lang w:val="en-US" w:eastAsia="zh-CN"/>
          <w14:textFill>
            <w14:solidFill>
              <w14:schemeClr w14:val="tx1"/>
            </w14:solidFill>
          </w14:textFill>
        </w:rPr>
        <w:t>四、</w:t>
      </w:r>
      <w:r>
        <w:rPr>
          <w:rFonts w:hint="default" w:ascii="Nimbus Roman" w:hAnsi="Nimbus Roman" w:eastAsia="方正黑体_GBK" w:cs="Nimbus Roman"/>
          <w:snapToGrid/>
          <w:color w:val="000000" w:themeColor="text1"/>
          <w:kern w:val="2"/>
          <w:sz w:val="32"/>
          <w:szCs w:val="32"/>
          <w:u w:val="none"/>
          <w:lang w:val="en-US" w:eastAsia="zh-CN"/>
          <w14:textFill>
            <w14:solidFill>
              <w14:schemeClr w14:val="tx1"/>
            </w14:solidFill>
          </w14:textFill>
        </w:rPr>
        <w:t>强</w:t>
      </w:r>
      <w:r>
        <w:rPr>
          <w:rFonts w:hint="eastAsia" w:ascii="Nimbus Roman" w:hAnsi="Nimbus Roman" w:eastAsia="方正黑体_GBK" w:cs="Nimbus Roman"/>
          <w:snapToGrid/>
          <w:color w:val="000000" w:themeColor="text1"/>
          <w:kern w:val="2"/>
          <w:sz w:val="32"/>
          <w:szCs w:val="32"/>
          <w:u w:val="none"/>
          <w:lang w:val="en-US" w:eastAsia="zh-CN"/>
          <w14:textFill>
            <w14:solidFill>
              <w14:schemeClr w14:val="tx1"/>
            </w14:solidFill>
          </w14:textFill>
        </w:rPr>
        <w:t>化</w:t>
      </w:r>
      <w:r>
        <w:rPr>
          <w:rFonts w:hint="default" w:ascii="Nimbus Roman" w:hAnsi="Nimbus Roman" w:eastAsia="方正黑体_GBK" w:cs="Nimbus Roman"/>
          <w:snapToGrid/>
          <w:color w:val="000000" w:themeColor="text1"/>
          <w:kern w:val="2"/>
          <w:sz w:val="32"/>
          <w:szCs w:val="32"/>
          <w:u w:val="none"/>
          <w:lang w:val="en-US" w:eastAsia="zh-CN"/>
          <w14:textFill>
            <w14:solidFill>
              <w14:schemeClr w14:val="tx1"/>
            </w14:solidFill>
          </w14:textFill>
        </w:rPr>
        <w:t>“港澳药械通”医疗服务的协同管理。</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指定医疗机构严格遵守明码标价、日费用清单制度等规定，切实做好</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项目和</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价格信息公开工作，</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主动公开承诺不收取明码标价之外的费用，确保</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患者</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知悉</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使用“港澳药械通”</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医疗服务</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项目</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和医疗器械</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以及对其就医全过程价格信息的知情权。指定医疗机构</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做好</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港澳药械通”医疗服务项目</w:t>
      </w:r>
      <w:r>
        <w:rPr>
          <w:rFonts w:hint="eastAsia" w:ascii="Nimbus Roman" w:hAnsi="Nimbus Roman" w:eastAsia="仿宋" w:cs="Nimbus Roman"/>
          <w:snapToGrid/>
          <w:color w:val="000000" w:themeColor="text1"/>
          <w:kern w:val="2"/>
          <w:sz w:val="32"/>
          <w:szCs w:val="32"/>
          <w:u w:val="none"/>
          <w:lang w:val="en-US" w:eastAsia="zh-CN"/>
          <w14:textFill>
            <w14:solidFill>
              <w14:schemeClr w14:val="tx1"/>
            </w14:solidFill>
          </w14:textFill>
        </w:rPr>
        <w:t>和医用耗材使用情况的登记管理，</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每半年向所在</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地级以上</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市医保局报送“港澳药械通”医疗服务项目的</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服务量和金额等</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情况</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医保部门</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加强项目备案和使用的指导，</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做好价格监测和检查等工作，</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相关地级以上市医保局及时</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汇总</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项目使用</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情况报省医保局。</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强化</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部门协同管理机制，医保</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部门</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加强</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和</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卫健、药监</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部门在</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“港澳药械通”</w:t>
      </w: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注册审批、医疗服务项目价格等</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信息的对接和共享，提高信息的完整性和兼容性。</w:t>
      </w:r>
    </w:p>
    <w:p>
      <w:pPr>
        <w:keepNext w:val="0"/>
        <w:keepLines w:val="0"/>
        <w:pageBreakBefore w:val="0"/>
        <w:widowControl w:val="0"/>
        <w:kinsoku/>
        <w:wordWrap/>
        <w:overflowPunct/>
        <w:topLinePunct w:val="0"/>
        <w:autoSpaceDE/>
        <w:autoSpaceDN/>
        <w:bidi w:val="0"/>
        <w:adjustRightInd/>
        <w:snapToGrid w:val="0"/>
        <w:spacing w:before="0" w:after="0" w:line="600" w:lineRule="exact"/>
        <w:ind w:right="0"/>
        <w:jc w:val="both"/>
        <w:textAlignment w:val="auto"/>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pPr>
      <w:r>
        <w:rPr>
          <w:rFonts w:hint="eastAsia"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Nimbus Roman" w:hAnsi="Nimbus Roman" w:eastAsia="仿宋字体" w:cs="Nimbus Roman"/>
          <w:color w:val="000000" w:themeColor="text1"/>
          <w:spacing w:val="0"/>
          <w:position w:val="0"/>
          <w:sz w:val="32"/>
          <w:u w:val="none"/>
          <w:shd w:val="clear" w:fill="auto"/>
          <w14:textFill>
            <w14:solidFill>
              <w14:schemeClr w14:val="tx1"/>
            </w14:solidFill>
          </w14:textFill>
        </w:rPr>
      </w:pP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附件：</w:t>
      </w:r>
      <w:r>
        <w:rPr>
          <w:rFonts w:hint="default" w:ascii="Nimbus Roman" w:hAnsi="Nimbus Roman" w:eastAsia="仿宋" w:cs="Nimbus Roman"/>
          <w:snapToGrid/>
          <w:color w:val="000000" w:themeColor="text1"/>
          <w:kern w:val="2"/>
          <w:sz w:val="32"/>
          <w:szCs w:val="32"/>
          <w:u w:val="none"/>
          <w:lang w:eastAsia="zh-CN"/>
          <w14:textFill>
            <w14:solidFill>
              <w14:schemeClr w14:val="tx1"/>
            </w14:solidFill>
          </w14:textFill>
        </w:rPr>
        <w:t>“</w:t>
      </w:r>
      <w:r>
        <w:rPr>
          <w:rFonts w:hint="default" w:ascii="Nimbus Roman" w:hAnsi="Nimbus Roman" w:eastAsia="仿宋" w:cs="Nimbus Roman"/>
          <w:snapToGrid/>
          <w:color w:val="000000" w:themeColor="text1"/>
          <w:kern w:val="2"/>
          <w:sz w:val="32"/>
          <w:szCs w:val="32"/>
          <w:u w:val="none"/>
          <w:lang w:val="en-US" w:eastAsia="zh-CN"/>
          <w14:textFill>
            <w14:solidFill>
              <w14:schemeClr w14:val="tx1"/>
            </w14:solidFill>
          </w14:textFill>
        </w:rPr>
        <w:t>港澳药械通”</w:t>
      </w:r>
      <w:r>
        <w:rPr>
          <w:rFonts w:hint="default" w:ascii="Nimbus Roman" w:hAnsi="Nimbus Roman" w:eastAsia="仿宋字体" w:cs="Nimbus Roman"/>
          <w:color w:val="000000" w:themeColor="text1"/>
          <w:spacing w:val="0"/>
          <w:position w:val="0"/>
          <w:sz w:val="32"/>
          <w:u w:val="none"/>
          <w:shd w:val="clear" w:fill="auto"/>
          <w14:textFill>
            <w14:solidFill>
              <w14:schemeClr w14:val="tx1"/>
            </w14:solidFill>
          </w14:textFill>
        </w:rPr>
        <w:t>医疗服务项目</w:t>
      </w:r>
      <w:r>
        <w:rPr>
          <w:rFonts w:hint="eastAsia" w:ascii="Nimbus Roman" w:hAnsi="Nimbus Roman" w:eastAsia="仿宋字体" w:cs="Nimbus Roman"/>
          <w:color w:val="000000" w:themeColor="text1"/>
          <w:spacing w:val="0"/>
          <w:position w:val="0"/>
          <w:sz w:val="32"/>
          <w:u w:val="none"/>
          <w:shd w:val="clear" w:fill="auto"/>
          <w:lang w:eastAsia="zh-CN"/>
          <w14:textFill>
            <w14:solidFill>
              <w14:schemeClr w14:val="tx1"/>
            </w14:solidFill>
          </w14:textFill>
        </w:rPr>
        <w:t>和价格</w:t>
      </w: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备案</w:t>
      </w:r>
      <w:r>
        <w:rPr>
          <w:rFonts w:hint="default" w:ascii="Nimbus Roman" w:hAnsi="Nimbus Roman" w:eastAsia="仿宋字体" w:cs="Nimbus Roman"/>
          <w:color w:val="000000" w:themeColor="text1"/>
          <w:spacing w:val="0"/>
          <w:position w:val="0"/>
          <w:sz w:val="32"/>
          <w:u w:val="none"/>
          <w:shd w:val="clear" w:fill="auto"/>
          <w14:textFill>
            <w14:solidFill>
              <w14:schemeClr w14:val="tx1"/>
            </w14:solidFill>
          </w14:textFill>
        </w:rPr>
        <w:t>表</w:t>
      </w:r>
    </w:p>
    <w:p>
      <w:pPr>
        <w:keepNext w:val="0"/>
        <w:keepLines w:val="0"/>
        <w:pageBreakBefore w:val="0"/>
        <w:numPr>
          <w:ilvl w:val="0"/>
          <w:numId w:val="0"/>
        </w:numPr>
        <w:kinsoku/>
        <w:wordWrap/>
        <w:overflowPunct/>
        <w:topLinePunct w:val="0"/>
        <w:autoSpaceDE/>
        <w:autoSpaceDN/>
        <w:bidi w:val="0"/>
        <w:adjustRightInd/>
        <w:spacing w:line="600" w:lineRule="exact"/>
        <w:textAlignment w:val="auto"/>
        <w:rPr>
          <w:rFonts w:hint="default" w:ascii="Nimbus Roman" w:hAnsi="Nimbus Roman" w:eastAsia="仿宋字体" w:cs="Nimbus Roman"/>
          <w:color w:val="000000" w:themeColor="text1"/>
          <w:spacing w:val="0"/>
          <w:position w:val="0"/>
          <w:sz w:val="32"/>
          <w:u w:val="none"/>
          <w:shd w:val="clear" w:fill="auto"/>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pacing w:line="600" w:lineRule="exact"/>
        <w:textAlignment w:val="auto"/>
        <w:rPr>
          <w:rFonts w:hint="default" w:ascii="Nimbus Roman" w:hAnsi="Nimbus Roman" w:eastAsia="仿宋字体" w:cs="Nimbus Roman"/>
          <w:color w:val="000000" w:themeColor="text1"/>
          <w:spacing w:val="0"/>
          <w:position w:val="0"/>
          <w:sz w:val="32"/>
          <w:u w:val="none"/>
          <w:shd w:val="clear"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after="0" w:line="600" w:lineRule="exact"/>
        <w:ind w:right="0" w:firstLine="640" w:firstLineChars="200"/>
        <w:jc w:val="both"/>
        <w:textAlignment w:val="auto"/>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pPr>
      <w:r>
        <w:rPr>
          <w:rFonts w:hint="default" w:ascii="Nimbus Roman" w:hAnsi="Nimbus Roman" w:eastAsia="仿宋字体" w:cs="Nimbus Roman"/>
          <w:color w:val="000000" w:themeColor="text1"/>
          <w:spacing w:val="0"/>
          <w:position w:val="0"/>
          <w:sz w:val="32"/>
          <w:u w:val="none"/>
          <w:shd w:val="clear" w:fill="auto"/>
          <w:lang w:val="en-US" w:eastAsia="zh-CN"/>
          <w14:textFill>
            <w14:solidFill>
              <w14:schemeClr w14:val="tx1"/>
            </w14:solidFill>
          </w14:textFill>
        </w:rPr>
        <w:t xml:space="preserve">                            </w:t>
      </w:r>
    </w:p>
    <w:p>
      <w:pPr>
        <w:spacing w:line="600" w:lineRule="auto"/>
        <w:rPr>
          <w:rFonts w:eastAsia="黑体"/>
          <w:color w:val="000000" w:themeColor="text1"/>
          <w:sz w:val="32"/>
          <w:u w:val="none"/>
          <w14:textFill>
            <w14:solidFill>
              <w14:schemeClr w14:val="tx1"/>
            </w14:solidFill>
          </w14:textFill>
        </w:rPr>
      </w:pPr>
    </w:p>
    <w:p>
      <w:pPr>
        <w:spacing w:line="600" w:lineRule="auto"/>
        <w:rPr>
          <w:rFonts w:eastAsia="黑体"/>
          <w:color w:val="000000" w:themeColor="text1"/>
          <w:sz w:val="32"/>
          <w:u w:val="none"/>
          <w14:textFill>
            <w14:solidFill>
              <w14:schemeClr w14:val="tx1"/>
            </w14:solidFill>
          </w14:textFill>
        </w:rPr>
      </w:pPr>
    </w:p>
    <w:p>
      <w:pPr>
        <w:spacing w:line="600" w:lineRule="auto"/>
        <w:rPr>
          <w:rFonts w:eastAsia="黑体"/>
          <w:color w:val="000000" w:themeColor="text1"/>
          <w:sz w:val="32"/>
          <w:u w:val="none"/>
          <w14:textFill>
            <w14:solidFill>
              <w14:schemeClr w14:val="tx1"/>
            </w14:solidFill>
          </w14:textFill>
        </w:rPr>
      </w:pPr>
    </w:p>
    <w:p>
      <w:pPr>
        <w:spacing w:line="600" w:lineRule="auto"/>
        <w:rPr>
          <w:rFonts w:eastAsia="黑体"/>
          <w:color w:val="000000" w:themeColor="text1"/>
          <w:sz w:val="32"/>
          <w:u w:val="none"/>
          <w14:textFill>
            <w14:solidFill>
              <w14:schemeClr w14:val="tx1"/>
            </w14:solidFill>
          </w14:textFill>
        </w:rPr>
      </w:pPr>
      <w:r>
        <w:rPr>
          <w:rFonts w:eastAsia="黑体"/>
          <w:color w:val="000000" w:themeColor="text1"/>
          <w:sz w:val="32"/>
          <w:u w:val="none"/>
          <w14:textFill>
            <w14:solidFill>
              <w14:schemeClr w14:val="tx1"/>
            </w14:solidFill>
          </w14:textFill>
        </w:rPr>
        <w:t>附件</w:t>
      </w:r>
    </w:p>
    <w:p>
      <w:pPr>
        <w:spacing w:line="600" w:lineRule="auto"/>
        <w:jc w:val="center"/>
        <w:rPr>
          <w:rFonts w:hint="eastAsia" w:ascii="方正小标宋简体" w:hAnsi="方正小标宋简体" w:eastAsia="方正小标宋简体" w:cs="方正小标宋简体"/>
          <w:b w:val="0"/>
          <w:bCs w:val="0"/>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u w:val="none"/>
          <w:lang w:eastAsia="zh-CN"/>
          <w14:textFill>
            <w14:solidFill>
              <w14:schemeClr w14:val="tx1"/>
            </w14:solidFill>
          </w14:textFill>
        </w:rPr>
        <w:t>“港澳药械通”</w:t>
      </w:r>
      <w:r>
        <w:rPr>
          <w:rFonts w:hint="eastAsia" w:ascii="方正小标宋简体" w:hAnsi="方正小标宋简体" w:eastAsia="方正小标宋简体" w:cs="方正小标宋简体"/>
          <w:b w:val="0"/>
          <w:bCs w:val="0"/>
          <w:color w:val="000000" w:themeColor="text1"/>
          <w:sz w:val="44"/>
          <w:szCs w:val="44"/>
          <w:u w:val="none"/>
          <w14:textFill>
            <w14:solidFill>
              <w14:schemeClr w14:val="tx1"/>
            </w14:solidFill>
          </w14:textFill>
        </w:rPr>
        <w:t>医疗服务项目</w:t>
      </w:r>
      <w:r>
        <w:rPr>
          <w:rFonts w:hint="eastAsia" w:ascii="方正小标宋简体" w:hAnsi="方正小标宋简体" w:eastAsia="方正小标宋简体" w:cs="方正小标宋简体"/>
          <w:b w:val="0"/>
          <w:bCs w:val="0"/>
          <w:color w:val="000000" w:themeColor="text1"/>
          <w:sz w:val="44"/>
          <w:szCs w:val="44"/>
          <w:u w:val="none"/>
          <w:lang w:eastAsia="zh-CN"/>
          <w14:textFill>
            <w14:solidFill>
              <w14:schemeClr w14:val="tx1"/>
            </w14:solidFill>
          </w14:textFill>
        </w:rPr>
        <w:t>和价格</w:t>
      </w:r>
      <w:bookmarkStart w:id="0" w:name="_GoBack"/>
      <w:bookmarkEnd w:id="0"/>
      <w:r>
        <w:rPr>
          <w:rFonts w:hint="eastAsia" w:ascii="方正小标宋简体" w:hAnsi="方正小标宋简体" w:eastAsia="方正小标宋简体" w:cs="方正小标宋简体"/>
          <w:b w:val="0"/>
          <w:bCs w:val="0"/>
          <w:color w:val="000000" w:themeColor="text1"/>
          <w:sz w:val="44"/>
          <w:szCs w:val="44"/>
          <w:u w:val="none"/>
          <w:lang w:eastAsia="zh-CN"/>
          <w14:textFill>
            <w14:solidFill>
              <w14:schemeClr w14:val="tx1"/>
            </w14:solidFill>
          </w14:textFill>
        </w:rPr>
        <w:t>备案</w:t>
      </w:r>
      <w:r>
        <w:rPr>
          <w:rFonts w:hint="eastAsia" w:ascii="方正小标宋简体" w:hAnsi="方正小标宋简体" w:eastAsia="方正小标宋简体" w:cs="方正小标宋简体"/>
          <w:b w:val="0"/>
          <w:bCs w:val="0"/>
          <w:color w:val="000000" w:themeColor="text1"/>
          <w:sz w:val="44"/>
          <w:szCs w:val="44"/>
          <w:u w:val="none"/>
          <w14:textFill>
            <w14:solidFill>
              <w14:schemeClr w14:val="tx1"/>
            </w14:solidFill>
          </w14:textFill>
        </w:rPr>
        <w:t>表</w:t>
      </w:r>
    </w:p>
    <w:p>
      <w:pPr>
        <w:spacing w:line="600" w:lineRule="auto"/>
        <w:rPr>
          <w:rFonts w:hint="eastAsia" w:ascii="楷体" w:hAnsi="楷体" w:eastAsia="楷体" w:cs="楷体"/>
          <w:color w:val="000000" w:themeColor="text1"/>
          <w:sz w:val="24"/>
          <w:u w:val="none"/>
          <w:lang w:eastAsia="zh-CN"/>
          <w14:textFill>
            <w14:solidFill>
              <w14:schemeClr w14:val="tx1"/>
            </w14:solidFill>
          </w14:textFill>
        </w:rPr>
      </w:pPr>
      <w:r>
        <w:rPr>
          <w:rFonts w:hint="eastAsia" w:ascii="楷体" w:hAnsi="楷体" w:eastAsia="楷体" w:cs="楷体"/>
          <w:color w:val="000000" w:themeColor="text1"/>
          <w:sz w:val="24"/>
          <w:u w:val="none"/>
          <w:lang w:eastAsia="zh-CN"/>
          <w14:textFill>
            <w14:solidFill>
              <w14:schemeClr w14:val="tx1"/>
            </w14:solidFill>
          </w14:textFill>
        </w:rPr>
        <w:t>备案</w:t>
      </w:r>
      <w:r>
        <w:rPr>
          <w:rFonts w:ascii="楷体" w:hAnsi="楷体" w:eastAsia="楷体" w:cs="楷体"/>
          <w:color w:val="000000" w:themeColor="text1"/>
          <w:sz w:val="24"/>
          <w:u w:val="none"/>
          <w14:textFill>
            <w14:solidFill>
              <w14:schemeClr w14:val="tx1"/>
            </w14:solidFill>
          </w14:textFill>
        </w:rPr>
        <w:t>单位（医疗机构公章）：</w:t>
      </w:r>
      <w:r>
        <w:rPr>
          <w:rFonts w:eastAsia="Times New Roman"/>
          <w:color w:val="000000" w:themeColor="text1"/>
          <w:sz w:val="24"/>
          <w:u w:val="none"/>
          <w14:textFill>
            <w14:solidFill>
              <w14:schemeClr w14:val="tx1"/>
            </w14:solidFill>
          </w14:textFill>
        </w:rPr>
        <w:t xml:space="preserve">   </w:t>
      </w:r>
      <w:r>
        <w:rPr>
          <w:rFonts w:hint="eastAsia"/>
          <w:color w:val="000000" w:themeColor="text1"/>
          <w:sz w:val="24"/>
          <w:u w:val="none"/>
          <w14:textFill>
            <w14:solidFill>
              <w14:schemeClr w14:val="tx1"/>
            </w14:solidFill>
          </w14:textFill>
        </w:rPr>
        <w:t xml:space="preserve"> </w:t>
      </w:r>
      <w:r>
        <w:rPr>
          <w:rFonts w:hint="eastAsia" w:ascii="楷体" w:hAnsi="楷体" w:eastAsia="楷体" w:cs="楷体"/>
          <w:color w:val="000000" w:themeColor="text1"/>
          <w:sz w:val="24"/>
          <w:u w:val="none"/>
          <w:lang w:eastAsia="zh-CN"/>
          <w14:textFill>
            <w14:solidFill>
              <w14:schemeClr w14:val="tx1"/>
            </w14:solidFill>
          </w14:textFill>
        </w:rPr>
        <w:t>提交</w:t>
      </w:r>
      <w:r>
        <w:rPr>
          <w:rFonts w:ascii="楷体" w:hAnsi="楷体" w:eastAsia="楷体" w:cs="楷体"/>
          <w:color w:val="000000" w:themeColor="text1"/>
          <w:sz w:val="24"/>
          <w:u w:val="none"/>
          <w14:textFill>
            <w14:solidFill>
              <w14:schemeClr w14:val="tx1"/>
            </w14:solidFill>
          </w14:textFill>
        </w:rPr>
        <w:t>日期：</w:t>
      </w:r>
      <w:r>
        <w:rPr>
          <w:rFonts w:eastAsia="Times New Roman"/>
          <w:color w:val="000000" w:themeColor="text1"/>
          <w:sz w:val="24"/>
          <w:u w:val="none"/>
          <w14:textFill>
            <w14:solidFill>
              <w14:schemeClr w14:val="tx1"/>
            </w14:solidFill>
          </w14:textFill>
        </w:rPr>
        <w:t xml:space="preserve">     </w:t>
      </w:r>
      <w:r>
        <w:rPr>
          <w:rFonts w:ascii="楷体" w:hAnsi="楷体" w:eastAsia="楷体" w:cs="楷体"/>
          <w:color w:val="000000" w:themeColor="text1"/>
          <w:sz w:val="24"/>
          <w:u w:val="none"/>
          <w14:textFill>
            <w14:solidFill>
              <w14:schemeClr w14:val="tx1"/>
            </w14:solidFill>
          </w14:textFill>
        </w:rPr>
        <w:t xml:space="preserve"> </w:t>
      </w:r>
      <w:r>
        <w:rPr>
          <w:rFonts w:hint="eastAsia" w:ascii="楷体" w:hAnsi="楷体" w:eastAsia="楷体" w:cs="楷体"/>
          <w:color w:val="000000" w:themeColor="text1"/>
          <w:sz w:val="24"/>
          <w:u w:val="none"/>
          <w:lang w:eastAsia="zh-CN"/>
          <w14:textFill>
            <w14:solidFill>
              <w14:schemeClr w14:val="tx1"/>
            </w14:solidFill>
          </w14:textFill>
        </w:rPr>
        <w:t>联系人：</w:t>
      </w:r>
    </w:p>
    <w:tbl>
      <w:tblPr>
        <w:tblStyle w:val="5"/>
        <w:tblW w:w="8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5"/>
        <w:gridCol w:w="1791"/>
        <w:gridCol w:w="1457"/>
        <w:gridCol w:w="2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类   别</w:t>
            </w:r>
          </w:p>
        </w:tc>
        <w:tc>
          <w:tcPr>
            <w:tcW w:w="602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一、综合医疗服务类  □  二、医技诊疗类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三、临床诊疗类      □  四、中医及民族医诊疗类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602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2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项目名称</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both"/>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项目内涵</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both"/>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7" w:hRule="atLeast"/>
        </w:trPr>
        <w:tc>
          <w:tcPr>
            <w:tcW w:w="2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除外内容</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both"/>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医保医用耗材编码</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both"/>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4" w:hRule="atLeast"/>
        </w:trPr>
        <w:tc>
          <w:tcPr>
            <w:tcW w:w="2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计价单位</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项目价格</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both"/>
              <w:rPr>
                <w:rFonts w:hint="default" w:ascii="宋体" w:hAnsi="宋体" w:eastAsia="宋体" w:cs="宋体"/>
                <w:i w:val="0"/>
                <w:color w:val="000000" w:themeColor="text1"/>
                <w:sz w:val="24"/>
                <w:szCs w:val="24"/>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说  明</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distribute"/>
              <w:textAlignment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价格构成</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both"/>
              <w:rPr>
                <w:rFonts w:hint="eastAsia" w:ascii="宋体" w:hAnsi="宋体" w:eastAsia="宋体" w:cs="宋体"/>
                <w:i w:val="0"/>
                <w:color w:val="000000" w:themeColor="text1"/>
                <w:sz w:val="24"/>
                <w:szCs w:val="24"/>
                <w:u w:val="none"/>
                <w14:textFill>
                  <w14:solidFill>
                    <w14:schemeClr w14:val="tx1"/>
                  </w14:solidFill>
                </w14:textFill>
              </w:rPr>
            </w:pPr>
            <w:r>
              <w:rPr>
                <w:rFonts w:hint="default" w:ascii="Nimbus Roman" w:hAnsi="Nimbus Roman" w:eastAsia="仿宋_GB2312" w:cs="Nimbus Roman"/>
                <w:b w:val="0"/>
                <w:bCs w:val="0"/>
                <w:i w:val="0"/>
                <w:color w:val="000000" w:themeColor="text1"/>
                <w:kern w:val="0"/>
                <w:sz w:val="24"/>
                <w:szCs w:val="24"/>
                <w:u w:val="none"/>
                <w:lang w:val="en-US" w:eastAsia="zh-CN" w:bidi="ar"/>
                <w14:textFill>
                  <w14:solidFill>
                    <w14:schemeClr w14:val="tx1"/>
                  </w14:solidFill>
                </w14:textFill>
              </w:rPr>
              <w:t>（</w:t>
            </w:r>
            <w:r>
              <w:rPr>
                <w:rFonts w:hint="eastAsia" w:ascii="Nimbus Roman" w:hAnsi="Nimbus Roman" w:eastAsia="仿宋_GB2312" w:cs="Nimbus Roman"/>
                <w:b w:val="0"/>
                <w:bCs w:val="0"/>
                <w:i w:val="0"/>
                <w:color w:val="000000" w:themeColor="text1"/>
                <w:kern w:val="0"/>
                <w:sz w:val="24"/>
                <w:szCs w:val="24"/>
                <w:u w:val="none"/>
                <w:lang w:val="en-US" w:eastAsia="zh-CN" w:bidi="ar"/>
                <w14:textFill>
                  <w14:solidFill>
                    <w14:schemeClr w14:val="tx1"/>
                  </w14:solidFill>
                </w14:textFill>
              </w:rPr>
              <w:t>可另附：</w:t>
            </w:r>
            <w:r>
              <w:rPr>
                <w:rFonts w:hint="default" w:ascii="Nimbus Roman" w:hAnsi="Nimbus Roman" w:eastAsia="仿宋_GB2312" w:cs="Nimbus Roman"/>
                <w:b w:val="0"/>
                <w:bCs w:val="0"/>
                <w:i w:val="0"/>
                <w:color w:val="000000" w:themeColor="text1"/>
                <w:kern w:val="0"/>
                <w:sz w:val="24"/>
                <w:szCs w:val="24"/>
                <w:u w:val="none"/>
                <w:lang w:val="en-US" w:eastAsia="zh-CN" w:bidi="ar"/>
                <w14:textFill>
                  <w14:solidFill>
                    <w14:schemeClr w14:val="tx1"/>
                  </w14:solidFill>
                </w14:textFill>
              </w:rPr>
              <w:t>1.实行打包收费</w:t>
            </w:r>
            <w:r>
              <w:rPr>
                <w:rFonts w:hint="eastAsia" w:ascii="Nimbus Roman" w:hAnsi="Nimbus Roman" w:eastAsia="仿宋_GB2312" w:cs="Nimbus Roman"/>
                <w:b w:val="0"/>
                <w:bCs w:val="0"/>
                <w:i w:val="0"/>
                <w:color w:val="000000" w:themeColor="text1"/>
                <w:kern w:val="0"/>
                <w:sz w:val="24"/>
                <w:szCs w:val="24"/>
                <w:u w:val="none"/>
                <w:lang w:val="en-US" w:eastAsia="zh-CN" w:bidi="ar"/>
                <w14:textFill>
                  <w14:solidFill>
                    <w14:schemeClr w14:val="tx1"/>
                  </w14:solidFill>
                </w14:textFill>
              </w:rPr>
              <w:t>的</w:t>
            </w:r>
            <w:r>
              <w:rPr>
                <w:rFonts w:hint="default" w:ascii="Nimbus Roman" w:hAnsi="Nimbus Roman" w:eastAsia="仿宋_GB2312" w:cs="Nimbus Roman"/>
                <w:b w:val="0"/>
                <w:bCs w:val="0"/>
                <w:i w:val="0"/>
                <w:color w:val="000000" w:themeColor="text1"/>
                <w:kern w:val="0"/>
                <w:sz w:val="24"/>
                <w:szCs w:val="24"/>
                <w:u w:val="none"/>
                <w:lang w:val="en-US" w:eastAsia="zh-CN" w:bidi="ar"/>
                <w14:textFill>
                  <w14:solidFill>
                    <w14:schemeClr w14:val="tx1"/>
                  </w14:solidFill>
                </w14:textFill>
              </w:rPr>
              <w:t>提供服务价格和耗材价格；2.</w:t>
            </w:r>
            <w:r>
              <w:rPr>
                <w:rFonts w:hint="eastAsia" w:ascii="Nimbus Roman" w:hAnsi="Nimbus Roman" w:eastAsia="仿宋_GB2312" w:cs="Nimbus Roman"/>
                <w:b w:val="0"/>
                <w:bCs w:val="0"/>
                <w:i w:val="0"/>
                <w:color w:val="000000" w:themeColor="text1"/>
                <w:kern w:val="0"/>
                <w:sz w:val="24"/>
                <w:szCs w:val="24"/>
                <w:u w:val="none"/>
                <w:lang w:val="en-US" w:eastAsia="zh-CN" w:bidi="ar"/>
                <w14:textFill>
                  <w14:solidFill>
                    <w14:schemeClr w14:val="tx1"/>
                  </w14:solidFill>
                </w14:textFill>
              </w:rPr>
              <w:t>耗材除外收费的提供耗材价格</w:t>
            </w:r>
            <w:r>
              <w:rPr>
                <w:rFonts w:hint="default" w:ascii="Nimbus Roman" w:hAnsi="Nimbus Roman" w:eastAsia="仿宋_GB2312" w:cs="Nimbus Roman"/>
                <w:b w:val="0"/>
                <w:bCs w:val="0"/>
                <w:i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2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适用范围</w:t>
            </w:r>
          </w:p>
        </w:tc>
        <w:tc>
          <w:tcPr>
            <w:tcW w:w="6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（填写医疗服务价格项目适用的特定医疗目的）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1" w:hRule="atLeast"/>
        </w:trPr>
        <w:tc>
          <w:tcPr>
            <w:tcW w:w="2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工作原理</w:t>
            </w:r>
          </w:p>
        </w:tc>
        <w:tc>
          <w:tcPr>
            <w:tcW w:w="6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both"/>
              <w:rPr>
                <w:rFonts w:hint="eastAsia" w:ascii="宋体" w:hAnsi="宋体" w:eastAsia="宋体" w:cs="宋体"/>
                <w:i w:val="0"/>
                <w:color w:val="000000" w:themeColor="text1"/>
                <w:sz w:val="24"/>
                <w:szCs w:val="24"/>
                <w:u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jc w:val="both"/>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操作规范</w:t>
            </w:r>
          </w:p>
        </w:tc>
        <w:tc>
          <w:tcPr>
            <w:tcW w:w="6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both"/>
              <w:rPr>
                <w:rFonts w:hint="eastAsia" w:ascii="宋体" w:hAnsi="宋体" w:eastAsia="宋体" w:cs="宋体"/>
                <w:i w:val="0"/>
                <w:color w:val="000000" w:themeColor="text1"/>
                <w:sz w:val="24"/>
                <w:szCs w:val="24"/>
                <w:u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jc w:val="both"/>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18" w:hRule="atLeast"/>
        </w:trPr>
        <w:tc>
          <w:tcPr>
            <w:tcW w:w="2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质量标准</w:t>
            </w:r>
          </w:p>
        </w:tc>
        <w:tc>
          <w:tcPr>
            <w:tcW w:w="6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（涉及医疗器械名称以及产品标准编号）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境外</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同类医疗服务项目及参考价格</w:t>
            </w:r>
          </w:p>
        </w:tc>
        <w:tc>
          <w:tcPr>
            <w:tcW w:w="6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2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省卫生健康委</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批准指定医疗机构文件和文号</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发文日期</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省药监局同意进口医疗器械批件</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号</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批件</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有效期</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12" w:hRule="atLeast"/>
        </w:trPr>
        <w:tc>
          <w:tcPr>
            <w:tcW w:w="2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其他要说明</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的情况</w:t>
            </w:r>
          </w:p>
        </w:tc>
        <w:tc>
          <w:tcPr>
            <w:tcW w:w="6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（可另附，重点说明与同类现行医疗服务价格项目的差异性，对比分析两者间的经济性、先进性和必要性）</w:t>
            </w:r>
          </w:p>
        </w:tc>
      </w:tr>
    </w:tbl>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仿宋" w:hAnsi="仿宋" w:eastAsia="仿宋" w:cs="仿宋"/>
          <w:snapToGrid/>
          <w:color w:val="000000" w:themeColor="text1"/>
          <w:kern w:val="2"/>
          <w:sz w:val="32"/>
          <w:szCs w:val="32"/>
          <w:u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备注：产品标准、部门批件和有关说明等佐证材料可另附。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Nimbus Roman">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仿宋字体">
    <w:altName w:val="方正仿宋_GBK"/>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NTY3NzA5OTI1ODE2YTM1YWI1MDAxZGUxNTA0YWMifQ=="/>
  </w:docVars>
  <w:rsids>
    <w:rsidRoot w:val="00000000"/>
    <w:rsid w:val="01101675"/>
    <w:rsid w:val="020874E3"/>
    <w:rsid w:val="0305345B"/>
    <w:rsid w:val="03D369FC"/>
    <w:rsid w:val="05812B41"/>
    <w:rsid w:val="06BC4F18"/>
    <w:rsid w:val="10605551"/>
    <w:rsid w:val="11166DA0"/>
    <w:rsid w:val="16F60ABB"/>
    <w:rsid w:val="17D32391"/>
    <w:rsid w:val="18DF60A5"/>
    <w:rsid w:val="19D01D5A"/>
    <w:rsid w:val="1FBB3582"/>
    <w:rsid w:val="22172ED8"/>
    <w:rsid w:val="23BECA13"/>
    <w:rsid w:val="24365D51"/>
    <w:rsid w:val="2A864B66"/>
    <w:rsid w:val="2B710DDE"/>
    <w:rsid w:val="2F430CE4"/>
    <w:rsid w:val="32F94D40"/>
    <w:rsid w:val="344714D3"/>
    <w:rsid w:val="347D6A46"/>
    <w:rsid w:val="35382207"/>
    <w:rsid w:val="357808D2"/>
    <w:rsid w:val="35DE0030"/>
    <w:rsid w:val="36DE7CBF"/>
    <w:rsid w:val="375643AC"/>
    <w:rsid w:val="383CC043"/>
    <w:rsid w:val="3949339B"/>
    <w:rsid w:val="3BBD3BCC"/>
    <w:rsid w:val="3C754D0B"/>
    <w:rsid w:val="3EE871B2"/>
    <w:rsid w:val="3EF5C923"/>
    <w:rsid w:val="3FDE1232"/>
    <w:rsid w:val="3FDF7C84"/>
    <w:rsid w:val="3FFF2A26"/>
    <w:rsid w:val="40692574"/>
    <w:rsid w:val="457C4891"/>
    <w:rsid w:val="45FF6719"/>
    <w:rsid w:val="48396F18"/>
    <w:rsid w:val="4FF3A543"/>
    <w:rsid w:val="55A02DE8"/>
    <w:rsid w:val="57796E8D"/>
    <w:rsid w:val="58247055"/>
    <w:rsid w:val="595740EF"/>
    <w:rsid w:val="5A355549"/>
    <w:rsid w:val="5D7243BE"/>
    <w:rsid w:val="5DA96142"/>
    <w:rsid w:val="5F9C674F"/>
    <w:rsid w:val="603E4A2C"/>
    <w:rsid w:val="613A3445"/>
    <w:rsid w:val="624D2F67"/>
    <w:rsid w:val="647749B0"/>
    <w:rsid w:val="657FF20D"/>
    <w:rsid w:val="67377A5A"/>
    <w:rsid w:val="67FE5E1D"/>
    <w:rsid w:val="6C8F4955"/>
    <w:rsid w:val="6D325918"/>
    <w:rsid w:val="6DFD7802"/>
    <w:rsid w:val="6EF24542"/>
    <w:rsid w:val="6F0926A9"/>
    <w:rsid w:val="6F22379B"/>
    <w:rsid w:val="6FBE6ED2"/>
    <w:rsid w:val="6FDF8E82"/>
    <w:rsid w:val="6FE75C3E"/>
    <w:rsid w:val="6FEFC764"/>
    <w:rsid w:val="71016B75"/>
    <w:rsid w:val="71B42DA0"/>
    <w:rsid w:val="72A20E4A"/>
    <w:rsid w:val="72EFA2CC"/>
    <w:rsid w:val="735C724B"/>
    <w:rsid w:val="74457F99"/>
    <w:rsid w:val="756C1F82"/>
    <w:rsid w:val="76F6555C"/>
    <w:rsid w:val="770272D8"/>
    <w:rsid w:val="773B361B"/>
    <w:rsid w:val="78FFBCD6"/>
    <w:rsid w:val="7A170370"/>
    <w:rsid w:val="7BFF3A43"/>
    <w:rsid w:val="7C2FA8B2"/>
    <w:rsid w:val="7CBB1637"/>
    <w:rsid w:val="7D657644"/>
    <w:rsid w:val="7D7D13E5"/>
    <w:rsid w:val="7D956723"/>
    <w:rsid w:val="7DCF862D"/>
    <w:rsid w:val="7DE76D9D"/>
    <w:rsid w:val="7EBF0757"/>
    <w:rsid w:val="7EDD8A0A"/>
    <w:rsid w:val="7F7E9CD1"/>
    <w:rsid w:val="7F9CBA26"/>
    <w:rsid w:val="7FEC9C3F"/>
    <w:rsid w:val="B6D523B8"/>
    <w:rsid w:val="BBB77378"/>
    <w:rsid w:val="BDEAD074"/>
    <w:rsid w:val="BDFFEF30"/>
    <w:rsid w:val="BF938FEA"/>
    <w:rsid w:val="BFE112DD"/>
    <w:rsid w:val="BFF5B92F"/>
    <w:rsid w:val="CEDC8404"/>
    <w:rsid w:val="D7F15C03"/>
    <w:rsid w:val="DD745B9C"/>
    <w:rsid w:val="DF6FB257"/>
    <w:rsid w:val="DFD7C3FF"/>
    <w:rsid w:val="DFDF8B38"/>
    <w:rsid w:val="DFDFB985"/>
    <w:rsid w:val="DFFBDB8F"/>
    <w:rsid w:val="E67FF033"/>
    <w:rsid w:val="E7EE3E07"/>
    <w:rsid w:val="E9EF9E1D"/>
    <w:rsid w:val="EEBD3C50"/>
    <w:rsid w:val="EFEBF5D0"/>
    <w:rsid w:val="EFFF3056"/>
    <w:rsid w:val="F21C44FC"/>
    <w:rsid w:val="F3B563E5"/>
    <w:rsid w:val="F3DF5486"/>
    <w:rsid w:val="F5BED2AC"/>
    <w:rsid w:val="F76D9A00"/>
    <w:rsid w:val="F7959BD0"/>
    <w:rsid w:val="F7BBD6C2"/>
    <w:rsid w:val="FA5FBBD6"/>
    <w:rsid w:val="FADD0445"/>
    <w:rsid w:val="FAFFC5A6"/>
    <w:rsid w:val="FB4511FA"/>
    <w:rsid w:val="FB6FBE42"/>
    <w:rsid w:val="FB7DA8FD"/>
    <w:rsid w:val="FBDA3D7F"/>
    <w:rsid w:val="FBDE78E5"/>
    <w:rsid w:val="FBDFC4CF"/>
    <w:rsid w:val="FBF72433"/>
    <w:rsid w:val="FD7BB2FD"/>
    <w:rsid w:val="FDDA0D3D"/>
    <w:rsid w:val="FDF383C9"/>
    <w:rsid w:val="FDFDAF65"/>
    <w:rsid w:val="FE7D04DF"/>
    <w:rsid w:val="FEFF0127"/>
    <w:rsid w:val="FF3FA50A"/>
    <w:rsid w:val="FF53E658"/>
    <w:rsid w:val="FF6F53C4"/>
    <w:rsid w:val="FFB5D1DE"/>
    <w:rsid w:val="FFBB19C9"/>
    <w:rsid w:val="FFE85F6D"/>
    <w:rsid w:val="FFFF5C2F"/>
    <w:rsid w:val="FFFFA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 w:type="character" w:customStyle="1" w:styleId="10">
    <w:name w:val="current"/>
    <w:basedOn w:val="6"/>
    <w:qFormat/>
    <w:uiPriority w:val="0"/>
    <w:rPr>
      <w:color w:val="00C1DE"/>
    </w:rPr>
  </w:style>
  <w:style w:type="character" w:customStyle="1" w:styleId="11">
    <w:name w:val="current1"/>
    <w:basedOn w:val="6"/>
    <w:qFormat/>
    <w:uiPriority w:val="0"/>
    <w:rPr>
      <w:color w:val="00C1DE"/>
    </w:rPr>
  </w:style>
  <w:style w:type="character" w:customStyle="1" w:styleId="12">
    <w:name w:val="layui-laypage-curr"/>
    <w:basedOn w:val="6"/>
    <w:qFormat/>
    <w:uiPriority w:val="0"/>
  </w:style>
  <w:style w:type="character" w:customStyle="1" w:styleId="13">
    <w:name w:val="info-label"/>
    <w:basedOn w:val="6"/>
    <w:qFormat/>
    <w:uiPriority w:val="0"/>
    <w:rPr>
      <w:b/>
      <w:bCs/>
    </w:rPr>
  </w:style>
  <w:style w:type="character" w:customStyle="1" w:styleId="14">
    <w:name w:val="info-content"/>
    <w:basedOn w:val="6"/>
    <w:qFormat/>
    <w:uiPriority w:val="0"/>
    <w:rPr>
      <w:color w:val="808080"/>
    </w:rPr>
  </w:style>
  <w:style w:type="character" w:customStyle="1" w:styleId="15">
    <w:name w:val="font01"/>
    <w:basedOn w:val="6"/>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1813</Words>
  <Characters>1816</Characters>
  <Lines>0</Lines>
  <Paragraphs>0</Paragraphs>
  <TotalTime>4</TotalTime>
  <ScaleCrop>false</ScaleCrop>
  <LinksUpToDate>false</LinksUpToDate>
  <CharactersWithSpaces>1917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Dell</dc:creator>
  <cp:lastModifiedBy>贺冰洁</cp:lastModifiedBy>
  <cp:lastPrinted>2023-08-27T01:06:00Z</cp:lastPrinted>
  <dcterms:modified xsi:type="dcterms:W3CDTF">2023-10-10T15:54:11Z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6A3878B7AFD24F1FB4A08ACDBA01873C_13</vt:lpwstr>
  </property>
  <property fmtid="{D5CDD505-2E9C-101B-9397-08002B2CF9AE}" pid="4" name="ribbonExt">
    <vt:lpwstr>{"WPSExtOfficeTab":{"OnGetEnabled":false,"OnGetVisible":false}}</vt:lpwstr>
  </property>
  <property fmtid="{D5CDD505-2E9C-101B-9397-08002B2CF9AE}" pid="5" name="showFlag">
    <vt:bool>true</vt:bool>
  </property>
  <property fmtid="{D5CDD505-2E9C-101B-9397-08002B2CF9AE}" pid="6" name="userName">
    <vt:lpwstr>谭侃侃</vt:lpwstr>
  </property>
</Properties>
</file>