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4B66F"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FE18EF1">
      <w:pPr>
        <w:spacing w:beforeLines="0" w:afterLines="0" w:line="540" w:lineRule="exact"/>
        <w:rPr>
          <w:rFonts w:ascii="黑体" w:hAnsi="黑体" w:eastAsia="黑体" w:cs="黑体"/>
          <w:sz w:val="32"/>
          <w:szCs w:val="32"/>
        </w:rPr>
      </w:pPr>
    </w:p>
    <w:p w14:paraId="531571C7">
      <w:pPr>
        <w:spacing w:before="0" w:beforeLines="0" w:after="0" w:afterLines="0"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非处方药说明书范本</w:t>
      </w:r>
    </w:p>
    <w:p w14:paraId="0420971E">
      <w:pPr>
        <w:widowControl/>
        <w:spacing w:beforeLines="0" w:afterLines="0" w:line="540" w:lineRule="exact"/>
        <w:jc w:val="center"/>
        <w:rPr>
          <w:rFonts w:ascii="黑体" w:hAnsi="黑体" w:eastAsia="黑体" w:cs="宋体"/>
          <w:kern w:val="0"/>
          <w:sz w:val="32"/>
          <w:szCs w:val="18"/>
        </w:rPr>
      </w:pPr>
      <w:r>
        <w:rPr>
          <w:rFonts w:ascii="黑体" w:hAnsi="黑体" w:eastAsia="黑体" w:cs="宋体"/>
          <w:kern w:val="0"/>
          <w:sz w:val="32"/>
          <w:szCs w:val="18"/>
        </w:rPr>
        <w:t>盐酸氨溴索滴剂说明书</w:t>
      </w:r>
    </w:p>
    <w:p w14:paraId="7DA7BAD1">
      <w:pPr>
        <w:widowControl/>
        <w:spacing w:beforeLines="0" w:afterLines="0" w:line="540" w:lineRule="exact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1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18"/>
        </w:rPr>
        <w:t>请仔细阅读说明书并按说明使用或在药师指导下购买和使用</w:t>
      </w:r>
    </w:p>
    <w:p w14:paraId="5CCC5902">
      <w:pPr>
        <w:widowControl/>
        <w:spacing w:beforeLines="0" w:afterLines="0" w:line="540" w:lineRule="exact"/>
        <w:jc w:val="left"/>
        <w:rPr>
          <w:rFonts w:hint="default" w:ascii="Times New Roman" w:hAnsi="Times New Roman" w:eastAsia="仿宋_GB2312" w:cs="Times New Roman"/>
          <w:kern w:val="0"/>
          <w:sz w:val="28"/>
          <w:szCs w:val="18"/>
        </w:rPr>
      </w:pPr>
    </w:p>
    <w:p w14:paraId="49A00E74"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[药品名称]</w:t>
      </w:r>
    </w:p>
    <w:p w14:paraId="6DDBD78D"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通用名称：盐酸氨溴索滴剂</w:t>
      </w:r>
    </w:p>
    <w:p w14:paraId="28AB61B9"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商品名称：</w:t>
      </w:r>
    </w:p>
    <w:p w14:paraId="008B3A8A"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英文名称：</w:t>
      </w:r>
    </w:p>
    <w:p w14:paraId="53DA975E">
      <w:pPr>
        <w:widowControl/>
        <w:spacing w:line="540" w:lineRule="exact"/>
        <w:ind w:left="638" w:leftChars="304" w:firstLine="0" w:firstLineChars="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汉语拼音：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[成份]</w:t>
      </w:r>
    </w:p>
    <w:p w14:paraId="75145900">
      <w:pPr>
        <w:widowControl/>
        <w:spacing w:line="540" w:lineRule="exact"/>
        <w:ind w:left="638" w:leftChars="304" w:firstLine="0" w:firstLineChars="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[性状]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[作用类别] 本品为祛痰药类非处方药药品。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[适应症]适用于痰液黏稠而不易咳出者。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[规格] 1.5%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（g/ml）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[用法用量]</w:t>
      </w:r>
    </w:p>
    <w:p w14:paraId="39AAFBEE"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口服给药。</w:t>
      </w:r>
    </w:p>
    <w:p w14:paraId="238EB86E"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1～2岁儿童：每日2次，每次0.5毫升（每日15毫克盐酸氨溴索）。</w:t>
      </w:r>
    </w:p>
    <w:p w14:paraId="6E7EF24A"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2～5岁儿童：每日3次，每次0.5毫升（每日22.5毫克盐酸氨溴索）。</w:t>
      </w:r>
    </w:p>
    <w:p w14:paraId="631506FB"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6～12岁儿童：每日2～3次，每次1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毫升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（每日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45毫克盐酸氨溴索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）。</w:t>
      </w:r>
    </w:p>
    <w:p w14:paraId="0D21695E"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成人及12岁以上儿童：通常在治疗最初的2～3天，每日3次，每次2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毫升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（每日90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毫克盐酸氨溴索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）；然后减少为每日2次，每次2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毫升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（每日60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毫克盐酸氨溴索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）；也可以每日2次，每次4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毫升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（相当于每日120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毫克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盐酸氨溴索），以增加有效性。</w:t>
      </w:r>
    </w:p>
    <w:p w14:paraId="7252F40F">
      <w:pPr>
        <w:adjustRightInd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可用水、茶、果汁等稀释或不稀释，可以随餐或不随餐服用。</w:t>
      </w:r>
    </w:p>
    <w:p w14:paraId="1EAB98AD"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 xml:space="preserve"> [不良反应]</w:t>
      </w:r>
    </w:p>
    <w:p w14:paraId="655CAABE">
      <w:pPr>
        <w:adjustRightInd w:val="0"/>
        <w:snapToGrid w:val="0"/>
        <w:spacing w:line="540" w:lineRule="exact"/>
        <w:ind w:left="0" w:leftChars="0" w:firstLine="640" w:firstLineChars="200"/>
        <w:rPr>
          <w:rFonts w:hint="default" w:ascii="Times New Roman" w:hAnsi="Times New Roman" w:eastAsia="仿宋_GB2312" w:cs="Times New Roman"/>
          <w:iCs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sz w:val="32"/>
          <w:szCs w:val="32"/>
        </w:rPr>
        <w:t>根据不良反应的发生频率，进行了以下分类：</w:t>
      </w:r>
    </w:p>
    <w:tbl>
      <w:tblPr>
        <w:tblStyle w:val="2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 w14:paraId="0C68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F007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频率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FA85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定义</w:t>
            </w:r>
          </w:p>
        </w:tc>
      </w:tr>
      <w:tr w14:paraId="46B0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387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十分常见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9DB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≥1/10 </w:t>
            </w:r>
          </w:p>
        </w:tc>
      </w:tr>
      <w:tr w14:paraId="0785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CEF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常见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FE5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≥1/100至&lt;1/10</w:t>
            </w:r>
          </w:p>
        </w:tc>
      </w:tr>
      <w:tr w14:paraId="39C4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8297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偶见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9FF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≥1/1000至&lt;1/100</w:t>
            </w:r>
          </w:p>
        </w:tc>
      </w:tr>
      <w:tr w14:paraId="0A09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1214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罕见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DBB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≥1/10000至&lt;1/1000</w:t>
            </w:r>
          </w:p>
        </w:tc>
      </w:tr>
      <w:tr w14:paraId="47CE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9FA3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十分罕见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963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&lt;1/10000</w:t>
            </w:r>
          </w:p>
        </w:tc>
      </w:tr>
      <w:tr w14:paraId="70C1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F2E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未知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750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无法根据已有数据估算发生率</w:t>
            </w:r>
          </w:p>
        </w:tc>
      </w:tr>
    </w:tbl>
    <w:p w14:paraId="7FB822FF">
      <w:pPr>
        <w:adjustRightInd w:val="0"/>
        <w:snapToGrid w:val="0"/>
        <w:spacing w:line="540" w:lineRule="exact"/>
        <w:ind w:left="0" w:leftChars="0" w:firstLine="640" w:firstLineChars="200"/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</w:rPr>
        <w:t>1.免疫系统</w:t>
      </w:r>
    </w:p>
    <w:p w14:paraId="4DABF983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罕见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：超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敏反应</w:t>
      </w:r>
    </w:p>
    <w:p w14:paraId="438BC8B7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未知：速发严重过敏反应，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包括过敏性休克、血管神经性水肿和瘙痒</w:t>
      </w:r>
    </w:p>
    <w:p w14:paraId="31DB9A8A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</w:rPr>
        <w:t>2.皮肤及皮下组织</w:t>
      </w:r>
    </w:p>
    <w:p w14:paraId="7A951C2D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罕见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皮疹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荨麻疹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br w:type="textWrapping"/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未知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严重皮肤反应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包括多形性红斑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、史蒂文斯-约翰逊综合征、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中毒性表皮坏死松解症和急性泛发性发疹性脓疱病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）</w:t>
      </w:r>
    </w:p>
    <w:p w14:paraId="65A0A825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  <w:lang w:val="de-DE"/>
        </w:rPr>
        <w:t>3</w:t>
      </w:r>
      <w:r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</w:rPr>
        <w:t>.神经系统</w:t>
      </w:r>
    </w:p>
    <w:p w14:paraId="4A47F13F">
      <w:pPr>
        <w:shd w:val="clear" w:color="auto" w:fill="auto"/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常见：</w:t>
      </w:r>
      <w:bookmarkStart w:id="0" w:name="OLE_LINK3"/>
      <w:bookmarkStart w:id="1" w:name="OLE_LINK4"/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味觉</w:t>
      </w:r>
      <w:bookmarkEnd w:id="0"/>
      <w:bookmarkEnd w:id="1"/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障碍</w:t>
      </w:r>
    </w:p>
    <w:p w14:paraId="17FBCF2E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</w:rPr>
        <w:t>4.胃肠系统</w:t>
      </w:r>
    </w:p>
    <w:p w14:paraId="4017F7AF">
      <w:pPr>
        <w:shd w:val="clear" w:color="auto" w:fill="auto"/>
        <w:adjustRightInd w:val="0"/>
        <w:snapToGrid w:val="0"/>
        <w:spacing w:line="54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常见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恶心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，口腔感觉减退（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口舌麻木）</w:t>
      </w:r>
    </w:p>
    <w:p w14:paraId="6E8F57CE">
      <w:pPr>
        <w:adjustRightInd w:val="0"/>
        <w:snapToGrid w:val="0"/>
        <w:spacing w:line="54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偶见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呕吐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腹泻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消化不良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腹痛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口干</w:t>
      </w:r>
    </w:p>
    <w:p w14:paraId="580FF190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罕见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：</w:t>
      </w:r>
      <w:bookmarkStart w:id="2" w:name="OLE_LINK6"/>
      <w:bookmarkStart w:id="3" w:name="OLE_LINK5"/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咽干</w:t>
      </w:r>
    </w:p>
    <w:bookmarkEnd w:id="2"/>
    <w:bookmarkEnd w:id="3"/>
    <w:p w14:paraId="6F33C046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十分罕见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唾液增多</w:t>
      </w:r>
    </w:p>
    <w:p w14:paraId="6DEEE783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</w:rPr>
        <w:t>5.呼吸道、胸腔和纵隔</w:t>
      </w:r>
    </w:p>
    <w:p w14:paraId="0BB4710B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常见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：咽感觉减退（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喉咙麻木）</w:t>
      </w:r>
    </w:p>
    <w:p w14:paraId="0A72F30E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未知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呼吸困难</w:t>
      </w:r>
    </w:p>
    <w:p w14:paraId="2435FA12">
      <w:pPr>
        <w:adjustRightInd w:val="0"/>
        <w:snapToGrid w:val="0"/>
        <w:spacing w:line="5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  <w:lang w:val="de-DE"/>
        </w:rPr>
      </w:pPr>
      <w:r>
        <w:rPr>
          <w:rFonts w:hint="default" w:ascii="Times New Roman" w:hAnsi="Times New Roman" w:eastAsia="仿宋_GB2312" w:cs="Times New Roman"/>
          <w:iCs w:val="0"/>
          <w:snapToGrid w:val="0"/>
          <w:sz w:val="32"/>
          <w:szCs w:val="32"/>
        </w:rPr>
        <w:t>6.全身和给药部位</w:t>
      </w:r>
    </w:p>
    <w:p w14:paraId="63F449C0">
      <w:pPr>
        <w:adjustRightInd w:val="0"/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偶见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de-DE"/>
        </w:rPr>
        <w:t>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发热、黏膜反应</w:t>
      </w:r>
    </w:p>
    <w:p w14:paraId="19E4D220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[禁忌]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已知对盐酸氨溴索或本品其他成份过敏者禁用。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[注意事项]</w:t>
      </w:r>
    </w:p>
    <w:p w14:paraId="30A76AD5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1．不建议家长或监护人自行给1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</w:rPr>
        <w:t>～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2岁儿童使用本品，应在医师指导下使用。</w:t>
      </w:r>
    </w:p>
    <w:p w14:paraId="00BBDA6F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2．本品为一种黏液调节剂，仅对咯痰症状有一定作用，在使用时应注意咳嗽、咯痰的原因，如使用4</w:t>
      </w:r>
      <w:r>
        <w:rPr>
          <w:rFonts w:hint="default" w:ascii="Times New Roman" w:hAnsi="Times New Roman" w:eastAsia="仿宋_GB2312" w:cs="Times New Roman"/>
          <w:b/>
          <w:snapToGrid w:val="0"/>
          <w:sz w:val="32"/>
          <w:szCs w:val="32"/>
        </w:rPr>
        <w:t>～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5日后未见好转，应及时就医。</w:t>
      </w:r>
    </w:p>
    <w:p w14:paraId="5E016D4D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3．请按说明书用法用量给药，尤其注意儿童用药剂量。如服用过量或发生严重不良反应时应立即就医。</w:t>
      </w:r>
    </w:p>
    <w:p w14:paraId="7BA51516">
      <w:pPr>
        <w:widowControl/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4.已报道使用盐酸氨溴索口服制剂出现少数严重的皮肤损害病例，如史蒂文斯-约翰逊综合征（SJS）、中毒性表皮坏死松解症（TEN）和急性泛发性发疹性脓疱病（AGEP），与祛痰药（如盐酸氨溴索）用药时间相关。这些病例大多可由患者基础疾病的严重性和/或合并用药来予以解释。此外，在SJS或TEN的早期阶段，患者可能会首先出现非特异性流感样前驱症状，如发烧、身体疼痛、鼻炎、咳嗽和喉咙痛。这些非特异性流感样前驱症状会产生误导，开始可能会使用咳嗽和感冒药进行对症治疗。因此，如果出现新的皮肤或黏膜病变，应立即就医，并停用本品。</w:t>
      </w:r>
    </w:p>
    <w:p w14:paraId="3D9C2DB4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5.如果支气管舒张活动不畅且分泌物过多（例如在罕见的恶性纤毛综合症中），应当谨慎使用本品，因为本品可能会导致分泌物的分泌。</w:t>
      </w:r>
    </w:p>
    <w:p w14:paraId="7CA5A1B5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6．孕妇、哺乳期妇女慎用。</w:t>
      </w:r>
    </w:p>
    <w:p w14:paraId="06429E74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7．肝肾功能不全的患者，应在医师指导下使用。</w:t>
      </w:r>
    </w:p>
    <w:p w14:paraId="378E403A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8．对本品过敏者禁用，过敏体质者慎用。</w:t>
      </w:r>
    </w:p>
    <w:p w14:paraId="217E52B4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9．本品性状发生改变时禁止使用。</w:t>
      </w:r>
    </w:p>
    <w:p w14:paraId="233C279F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10．请将本品放在儿童不能接触的地方。</w:t>
      </w:r>
    </w:p>
    <w:p w14:paraId="70B018D0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11．儿童必须在成人监护下使用。</w:t>
      </w:r>
    </w:p>
    <w:p w14:paraId="13AC70FC">
      <w:pPr>
        <w:widowControl/>
        <w:spacing w:line="52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12．如正在使用其他药品，使用本品前请咨询医师或药师。</w:t>
      </w:r>
    </w:p>
    <w:p w14:paraId="53FD7350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[药物相互作用]</w:t>
      </w:r>
    </w:p>
    <w:p w14:paraId="76490D2B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1．应避免本品与中枢性镇咳药（如右美沙芬等）同时使用，以免稀化的痰液堵塞气道。</w:t>
      </w:r>
    </w:p>
    <w:p w14:paraId="782358C8"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2.本品与抗生素（阿莫西林、头孢呋辛、红霉素、</w:t>
      </w:r>
      <w:bookmarkStart w:id="4" w:name="OLE_LINK2"/>
      <w:bookmarkStart w:id="5" w:name="OLE_LINK1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多西环素</w:t>
      </w:r>
      <w:bookmarkEnd w:id="4"/>
      <w:bookmarkEnd w:id="5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）同时服用，可导致抗生素在肺组织浓度升高。本品与β２-受体激动剂、茶碱等扩张支气管药物有协同作用。如与其他药物同时使用可能发生药物相互作用，详情请咨询医师或药师。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[药理作用] 本品为黏液溶解剂，能增加呼吸道黏膜浆液腺的分泌，减少黏液腺分泌，从而降低痰液黏度，促进肺表面活性物质的分泌，增加支气管纤毛运动，使痰液易于咳出。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[贮藏]</w:t>
      </w:r>
    </w:p>
    <w:p w14:paraId="649A432B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[包装]</w:t>
      </w:r>
    </w:p>
    <w:p w14:paraId="2F3AB8ED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[有效期]</w:t>
      </w:r>
    </w:p>
    <w:p w14:paraId="4F1F43E4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[执行标准]</w:t>
      </w:r>
    </w:p>
    <w:p w14:paraId="112485F1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[批准文号]</w:t>
      </w:r>
    </w:p>
    <w:p w14:paraId="22107630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[说明书修订日期]</w:t>
      </w:r>
    </w:p>
    <w:p w14:paraId="467F18E3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[上市许可持有人]</w:t>
      </w:r>
    </w:p>
    <w:p w14:paraId="4A3787F4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名    称：</w:t>
      </w:r>
    </w:p>
    <w:p w14:paraId="5A40BD9B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注册地址：</w:t>
      </w:r>
    </w:p>
    <w:p w14:paraId="1E62E973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邮政编码：</w:t>
      </w:r>
    </w:p>
    <w:p w14:paraId="21A12424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电话号码：</w:t>
      </w:r>
    </w:p>
    <w:p w14:paraId="44772A51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传真号码：</w:t>
      </w:r>
    </w:p>
    <w:p w14:paraId="59394269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网    址：</w:t>
      </w:r>
    </w:p>
    <w:p w14:paraId="6A949429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[生产企业]</w:t>
      </w:r>
    </w:p>
    <w:p w14:paraId="5496B5F9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企业名称：</w:t>
      </w:r>
    </w:p>
    <w:p w14:paraId="2B7AA5B0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生产地址：</w:t>
      </w:r>
    </w:p>
    <w:p w14:paraId="17745055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邮政编码：</w:t>
      </w:r>
    </w:p>
    <w:p w14:paraId="51354474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电话号码：</w:t>
      </w:r>
    </w:p>
    <w:p w14:paraId="347B8BE4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传真号码：</w:t>
      </w:r>
    </w:p>
    <w:p w14:paraId="478B9A20"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网    址：</w:t>
      </w:r>
    </w:p>
    <w:p w14:paraId="145F0445">
      <w:pPr>
        <w:widowControl/>
        <w:spacing w:line="54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如有问题可与上市许可持有人联系</w:t>
      </w:r>
    </w:p>
    <w:p w14:paraId="2DB0EF2A">
      <w:pPr>
        <w:spacing w:line="360" w:lineRule="auto"/>
        <w:rPr>
          <w:rFonts w:eastAsia="仿宋_GB2312"/>
          <w:sz w:val="22"/>
          <w:szCs w:val="24"/>
        </w:rPr>
      </w:pPr>
      <w:r>
        <w:rPr>
          <w:rFonts w:hint="eastAsia"/>
          <w:sz w:val="22"/>
          <w:szCs w:val="24"/>
        </w:rPr>
        <w:t>（注：本说明书范本原则上不得删减，如原批准说明书的安全性内容较本范本内容更全面或更严格的，应保留原批准内容。）</w:t>
      </w:r>
    </w:p>
    <w:p w14:paraId="2F73FFF4">
      <w:pPr>
        <w:widowControl/>
        <w:spacing w:line="270" w:lineRule="atLeast"/>
        <w:jc w:val="left"/>
        <w:rPr>
          <w:rFonts w:hint="eastAsia"/>
          <w:b/>
        </w:rPr>
      </w:pPr>
    </w:p>
    <w:p w14:paraId="66815AAD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65B86"/>
    <w:rsid w:val="141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2025-07-25T07:15:00Z</dcterms:created>
  <dc:creator>新祺</dc:creator>
  <cp:lastModifiedBy>新祺</cp:lastModifiedBy>
  <dcterms:modified xsi:type="dcterms:W3CDTF">2025-07-25T07:15:31Z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5103C19F2A29465B94541715FD1D5465_11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