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7A26">
      <w:pPr>
        <w:spacing w:line="540" w:lineRule="exact"/>
        <w:rPr>
          <w:rFonts w:ascii="黑体" w:hAnsi="黑体" w:eastAsia="黑体" w:cs="Times New Roman"/>
          <w:sz w:val="32"/>
          <w:szCs w:val="32"/>
        </w:rPr>
      </w:pPr>
      <w:bookmarkStart w:id="0" w:name="_Hlk183961560"/>
      <w:r>
        <w:rPr>
          <w:rFonts w:hint="eastAsia" w:ascii="黑体" w:hAnsi="黑体" w:eastAsia="黑体" w:cs="Times New Roman"/>
          <w:sz w:val="32"/>
          <w:szCs w:val="32"/>
        </w:rPr>
        <w:t>附件</w:t>
      </w:r>
    </w:p>
    <w:p w14:paraId="6B1EDE9D">
      <w:pPr>
        <w:spacing w:before="312" w:beforeLines="100" w:after="312" w:afterLines="10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药品上市</w:t>
      </w:r>
      <w:r>
        <w:rPr>
          <w:rFonts w:hint="eastAsia" w:ascii="Times New Roman" w:hAnsi="Times New Roman" w:eastAsia="方正小标宋简体" w:cs="Times New Roman"/>
          <w:sz w:val="44"/>
          <w:szCs w:val="44"/>
        </w:rPr>
        <w:t>许可持有人</w:t>
      </w:r>
      <w:r>
        <w:rPr>
          <w:rFonts w:ascii="Times New Roman" w:hAnsi="Times New Roman" w:eastAsia="方正小标宋简体" w:cs="Times New Roman"/>
          <w:sz w:val="44"/>
          <w:szCs w:val="44"/>
        </w:rPr>
        <w:t>安全性风险沟通技术指导原则</w:t>
      </w:r>
      <w:bookmarkEnd w:id="0"/>
    </w:p>
    <w:p w14:paraId="28C5C265">
      <w:pPr>
        <w:autoSpaceDE w:val="0"/>
        <w:autoSpaceDN w:val="0"/>
        <w:adjustRightInd w:val="0"/>
        <w:spacing w:line="540" w:lineRule="exact"/>
        <w:ind w:firstLine="640" w:firstLineChars="200"/>
        <w:rPr>
          <w:rFonts w:ascii="仿宋" w:hAnsi="仿宋" w:eastAsia="仿宋" w:cs="Times New Roman"/>
          <w:sz w:val="32"/>
          <w:szCs w:val="32"/>
        </w:rPr>
      </w:pPr>
      <w:bookmarkStart w:id="1" w:name="_Hlk183961320"/>
      <w:r>
        <w:rPr>
          <w:rFonts w:ascii="仿宋" w:hAnsi="仿宋" w:eastAsia="仿宋" w:cs="Times New Roman"/>
          <w:sz w:val="32"/>
          <w:szCs w:val="32"/>
        </w:rPr>
        <w:t>为指导药品上市许可持有人（以下简称“持有人”）开展药品上市后</w:t>
      </w:r>
      <w:r>
        <w:rPr>
          <w:rFonts w:hint="eastAsia" w:ascii="仿宋" w:hAnsi="仿宋" w:eastAsia="仿宋" w:cs="Times New Roman"/>
          <w:sz w:val="32"/>
          <w:szCs w:val="32"/>
        </w:rPr>
        <w:t>安全性风险沟通</w:t>
      </w:r>
      <w:r>
        <w:rPr>
          <w:rFonts w:ascii="仿宋" w:hAnsi="仿宋" w:eastAsia="仿宋" w:cs="Times New Roman"/>
          <w:sz w:val="32"/>
          <w:szCs w:val="32"/>
        </w:rPr>
        <w:t>，制定本指导原则。</w:t>
      </w:r>
    </w:p>
    <w:p w14:paraId="7E365B3B">
      <w:pPr>
        <w:autoSpaceDE w:val="0"/>
        <w:autoSpaceDN w:val="0"/>
        <w:adjustRightInd w:val="0"/>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本指导原则中“</w:t>
      </w:r>
      <w:r>
        <w:rPr>
          <w:rFonts w:ascii="仿宋" w:hAnsi="仿宋" w:eastAsia="仿宋" w:cs="Times New Roman"/>
          <w:sz w:val="32"/>
          <w:szCs w:val="32"/>
        </w:rPr>
        <w:t>风险沟通</w:t>
      </w:r>
      <w:r>
        <w:rPr>
          <w:rFonts w:hint="eastAsia" w:ascii="仿宋" w:hAnsi="仿宋" w:eastAsia="仿宋" w:cs="Times New Roman"/>
          <w:sz w:val="32"/>
          <w:szCs w:val="32"/>
        </w:rPr>
        <w:t>”是</w:t>
      </w:r>
      <w:r>
        <w:rPr>
          <w:rFonts w:ascii="仿宋" w:hAnsi="仿宋" w:eastAsia="仿宋" w:cs="Times New Roman"/>
          <w:sz w:val="32"/>
          <w:szCs w:val="32"/>
        </w:rPr>
        <w:t>《药物警戒质量管理规范》</w:t>
      </w:r>
      <w:r>
        <w:rPr>
          <w:rFonts w:hint="eastAsia" w:ascii="仿宋" w:hAnsi="仿宋" w:eastAsia="仿宋" w:cs="Times New Roman"/>
          <w:sz w:val="32"/>
          <w:szCs w:val="32"/>
        </w:rPr>
        <w:t>中规定的</w:t>
      </w:r>
      <w:r>
        <w:rPr>
          <w:rFonts w:ascii="仿宋" w:hAnsi="仿宋" w:eastAsia="仿宋" w:cs="Times New Roman"/>
          <w:sz w:val="32"/>
          <w:szCs w:val="32"/>
        </w:rPr>
        <w:t>特殊风险控制措施之一，</w:t>
      </w:r>
      <w:bookmarkEnd w:id="1"/>
      <w:r>
        <w:rPr>
          <w:rFonts w:ascii="仿宋" w:hAnsi="仿宋" w:eastAsia="仿宋" w:cs="Times New Roman"/>
          <w:sz w:val="32"/>
          <w:szCs w:val="32"/>
        </w:rPr>
        <w:t>指持有人向受众（医务人员、患者、公众）直接或间接传递药品安全性信息的特殊风险控制措施，不涉及持有人与监管机构间的沟通。本指导原则中“风险”指药品上市后在临床应用过程中因药品不良反应或用药错误、药物滥用、药物过量等原因确定或可能会给患者带来的风险。</w:t>
      </w:r>
    </w:p>
    <w:p w14:paraId="2F073C99">
      <w:pPr>
        <w:spacing w:line="540" w:lineRule="exact"/>
        <w:ind w:firstLine="646" w:firstLineChars="202"/>
        <w:rPr>
          <w:rFonts w:ascii="仿宋" w:hAnsi="仿宋" w:eastAsia="仿宋" w:cs="Times New Roman"/>
          <w:sz w:val="32"/>
          <w:szCs w:val="32"/>
        </w:rPr>
      </w:pPr>
      <w:r>
        <w:rPr>
          <w:rFonts w:ascii="仿宋" w:hAnsi="仿宋" w:eastAsia="仿宋" w:cs="Times New Roman"/>
          <w:sz w:val="32"/>
          <w:szCs w:val="32"/>
        </w:rPr>
        <w:t>本指导原则仅代表当前的观点和认知，随着药物警戒科学的发展，本指导原则中的观点和要求将不断完善。</w:t>
      </w:r>
    </w:p>
    <w:p w14:paraId="3678868D">
      <w:pPr>
        <w:spacing w:line="54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沟通目标</w:t>
      </w:r>
      <w:bookmarkStart w:id="32" w:name="_GoBack"/>
      <w:bookmarkEnd w:id="32"/>
    </w:p>
    <w:p w14:paraId="50D776B1">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风险沟通是针对重要风险的一种特殊风险控制措施，开展风险沟通的目的是通过传播药品安全知识，使目标受众及时了解药品获益-风险信息，合理使用药品，降低药品安全性风险，保护公众健康。主要目标包括及时传递药品基于证据的新安全性信息、支持其他风险控制措施、改变对药品安全性的固有错误认知、纠正不合理的处方和用药行为、促进合理用药的知情决策等。</w:t>
      </w:r>
    </w:p>
    <w:p w14:paraId="55F4BA5E">
      <w:pPr>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二、一般原则</w:t>
      </w:r>
    </w:p>
    <w:p w14:paraId="4FCF13B6">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持有人应制定本企业启动风险沟通、制定风险沟通方案、实施风险沟通的相关程序。开展风险沟通应符合我国相关法律法规要求，风险沟通遵循及时性、科学性、准确性、有效性的一般原则。</w:t>
      </w:r>
    </w:p>
    <w:p w14:paraId="5C0BC623">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应结合风险的具体情况，及时开展风险沟通，对于以下情况，应紧急开展风险沟通：①药品存在需要紧急告知医务人员和患者的安全风险，但正在流通的产品不能及时更新说明书的；②存在无法通过修订说明书纠正的不合理用药行为，且可能导致严重后果的；③其他可能对患者或公众健康造成重大影响的情况。</w:t>
      </w:r>
    </w:p>
    <w:p w14:paraId="239D09B6">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一般情况下，风险沟通的内容应当基于当前获批的信息，不得包含任何广告或产品推广性质的内容，也不得包含与其他产品比较的内容。在需要紧急沟通但不能立即获得变更批准的情况下，沟通内容也必须基于科学证据。风险沟通的内容应考虑目标受众的理解能力，准确描述相关风险及应对措施。</w:t>
      </w:r>
    </w:p>
    <w:p w14:paraId="2643B843">
      <w:pPr>
        <w:autoSpaceDE w:val="0"/>
        <w:autoSpaceDN w:val="0"/>
        <w:adjustRightInd w:val="0"/>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风险沟通可作为常规风险控制措施（如修改包装、标签、说明书内容，改变药品管理状态等）的补充；也可与其他特殊风险控制措施（如医务人员和患者教育、药品使用环节的限制等）结合，以达到更好的效果。风险沟通应当避免对正常临床诊疗造成过度负担。持有人在启动风险沟通前应充分考虑风险沟通的必要性和可行性，在风险沟通实施过程的不同时间节点开展效果评价，根据效果评价的结果不断调整风险沟通行动和内容，最终达到风险沟通的预期效果。</w:t>
      </w:r>
    </w:p>
    <w:p w14:paraId="3303DA02">
      <w:pPr>
        <w:spacing w:line="540" w:lineRule="exact"/>
        <w:ind w:firstLine="640" w:firstLineChars="200"/>
        <w:jc w:val="left"/>
        <w:rPr>
          <w:rFonts w:ascii="Times New Roman" w:hAnsi="Times New Roman" w:eastAsia="黑体" w:cs="Times New Roman"/>
          <w:sz w:val="32"/>
          <w:szCs w:val="32"/>
        </w:rPr>
      </w:pPr>
      <w:bookmarkStart w:id="2" w:name="_Toc170896874"/>
      <w:bookmarkStart w:id="3" w:name="_Toc169254795"/>
      <w:r>
        <w:rPr>
          <w:rFonts w:ascii="Times New Roman" w:hAnsi="Times New Roman" w:eastAsia="黑体" w:cs="Times New Roman"/>
          <w:sz w:val="32"/>
          <w:szCs w:val="32"/>
        </w:rPr>
        <w:t>三、风险沟通的启动</w:t>
      </w:r>
      <w:bookmarkEnd w:id="2"/>
      <w:bookmarkEnd w:id="3"/>
    </w:p>
    <w:p w14:paraId="4636637E">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应结合药品的实际销售使用情况、受众对风险的认知以及实际处方或用药行为等，考虑是否有必要启动风险沟通；同时应考虑风险的性质、风险沟通的目的、与其他风险控制措施的预期效果比较等，评估开展风险沟通的可行性。</w:t>
      </w:r>
    </w:p>
    <w:p w14:paraId="6E173174">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应按照法律法规要求开展药物警戒工作，持续关注药品监管部门公布的药品安全信息和其他持有人相关产品（如含有相同成分可能存在相同风险）的风险沟通情况，通过药品安全委员会开展重大风险研判，做出风险控制决策，决定是否启动风险沟通。</w:t>
      </w:r>
    </w:p>
    <w:p w14:paraId="4CF91EDC">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在各级监管部门要求针对本持有人产品开展风险沟通时，持有人应立即按要求启动风险沟通。</w:t>
      </w:r>
    </w:p>
    <w:p w14:paraId="7304E796">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若药品当时未在市场上销售或使用，可暂不开展风险沟通；在重启生产销售时，建议评估此时受众对该风险和应对措施的认识，决定是否有必要开展风险沟通。</w:t>
      </w:r>
    </w:p>
    <w:p w14:paraId="408B44A3">
      <w:pPr>
        <w:spacing w:line="540" w:lineRule="exact"/>
        <w:ind w:firstLine="640" w:firstLineChars="200"/>
        <w:jc w:val="left"/>
        <w:rPr>
          <w:rFonts w:ascii="Times New Roman" w:hAnsi="Times New Roman" w:eastAsia="黑体" w:cs="Times New Roman"/>
          <w:sz w:val="32"/>
          <w:szCs w:val="32"/>
        </w:rPr>
      </w:pPr>
      <w:bookmarkStart w:id="4" w:name="_Toc170896872"/>
      <w:bookmarkStart w:id="5" w:name="_Toc169254793"/>
      <w:r>
        <w:rPr>
          <w:rFonts w:ascii="Times New Roman" w:hAnsi="Times New Roman" w:eastAsia="黑体" w:cs="Times New Roman"/>
          <w:sz w:val="32"/>
          <w:szCs w:val="32"/>
        </w:rPr>
        <w:t>四、风险沟通考虑</w:t>
      </w:r>
      <w:bookmarkEnd w:id="4"/>
      <w:bookmarkEnd w:id="5"/>
      <w:r>
        <w:rPr>
          <w:rFonts w:hint="eastAsia" w:ascii="Times New Roman" w:hAnsi="Times New Roman" w:eastAsia="黑体" w:cs="Times New Roman"/>
          <w:sz w:val="32"/>
          <w:szCs w:val="32"/>
        </w:rPr>
        <w:t>要素</w:t>
      </w:r>
    </w:p>
    <w:p w14:paraId="69095AAE">
      <w:pPr>
        <w:autoSpaceDE w:val="0"/>
        <w:autoSpaceDN w:val="0"/>
        <w:adjustRightInd w:val="0"/>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建议持有人在实施风险沟通行动前制定风险沟通方案。开展风险沟通的考虑要点包括风险沟通的受众、风险沟通方式和传播渠道、风险沟通的内容。</w:t>
      </w:r>
    </w:p>
    <w:p w14:paraId="551FAC8B">
      <w:pPr>
        <w:spacing w:line="540" w:lineRule="exact"/>
        <w:ind w:firstLine="640" w:firstLineChars="200"/>
        <w:rPr>
          <w:rFonts w:ascii="楷体" w:hAnsi="楷体" w:eastAsia="楷体" w:cs="楷体"/>
          <w:sz w:val="32"/>
          <w:szCs w:val="32"/>
        </w:rPr>
      </w:pPr>
      <w:bookmarkStart w:id="6" w:name="_Toc169254794"/>
      <w:bookmarkStart w:id="7" w:name="_Toc170896873"/>
      <w:r>
        <w:rPr>
          <w:rFonts w:hint="eastAsia" w:ascii="楷体" w:hAnsi="楷体" w:eastAsia="楷体" w:cs="楷体"/>
          <w:sz w:val="32"/>
          <w:szCs w:val="32"/>
        </w:rPr>
        <w:t>（一）风险沟通的受众</w:t>
      </w:r>
      <w:bookmarkEnd w:id="6"/>
      <w:bookmarkEnd w:id="7"/>
    </w:p>
    <w:p w14:paraId="7F516841">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应考虑风险沟通的目的以及上市后药品临床应用过程中产生风险的环节和涉及人员，确定风险沟通的受众，主要涉及：药品临床使用的医务人员，实际用药患者/消费者/看护人，公众（即潜在用药患者/消费者/看护人等）。</w:t>
      </w:r>
    </w:p>
    <w:p w14:paraId="372B2138">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针对某一具体风险的沟通受众可能涉及上述一类或多类受众，例如，输液的配制、使用过程中可能出现的风险，受众可能仅为医务人员；通过医师处方由患者在家中使用的药品产生的药品不良反应风险，受众可能包括医务人员和实际用药患者/消费者/看护人；当沟通目的为需要广泛地改变对某种常用药品安全性的固有认知、纠正不合理处方和用药行为时，可能涉及上文所述的全部受众。</w:t>
      </w:r>
    </w:p>
    <w:p w14:paraId="35DE3BE5">
      <w:pPr>
        <w:spacing w:line="540" w:lineRule="exact"/>
        <w:ind w:firstLine="640" w:firstLineChars="200"/>
        <w:rPr>
          <w:rFonts w:ascii="楷体" w:hAnsi="楷体" w:eastAsia="楷体" w:cs="楷体"/>
          <w:sz w:val="32"/>
          <w:szCs w:val="32"/>
        </w:rPr>
      </w:pPr>
      <w:bookmarkStart w:id="8" w:name="_Toc170896879"/>
      <w:bookmarkStart w:id="9" w:name="_Toc169254800"/>
      <w:r>
        <w:rPr>
          <w:rFonts w:hint="eastAsia" w:ascii="楷体" w:hAnsi="楷体" w:eastAsia="楷体" w:cs="楷体"/>
          <w:sz w:val="32"/>
          <w:szCs w:val="32"/>
        </w:rPr>
        <w:t>（二）风险沟通方式和传播渠道</w:t>
      </w:r>
      <w:bookmarkEnd w:id="8"/>
      <w:bookmarkEnd w:id="9"/>
    </w:p>
    <w:p w14:paraId="1165540A">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持有人在确定受众后，选择适合的沟通方式及相应传播渠道，本指导原则涉及的风险沟通方式主要包含以下两种。</w:t>
      </w:r>
    </w:p>
    <w:p w14:paraId="3FBFF991">
      <w:pPr>
        <w:spacing w:line="540" w:lineRule="exact"/>
        <w:ind w:firstLine="640" w:firstLineChars="200"/>
        <w:jc w:val="left"/>
        <w:rPr>
          <w:rFonts w:ascii="仿宋" w:hAnsi="仿宋" w:eastAsia="仿宋" w:cs="Times New Roman"/>
          <w:sz w:val="32"/>
          <w:szCs w:val="32"/>
        </w:rPr>
      </w:pPr>
      <w:r>
        <w:rPr>
          <w:rFonts w:ascii="Times New Roman" w:hAnsi="Times New Roman" w:eastAsia="仿宋" w:cs="Times New Roman"/>
          <w:sz w:val="32"/>
          <w:szCs w:val="32"/>
        </w:rPr>
        <w:t>1.《</w:t>
      </w:r>
      <w:r>
        <w:rPr>
          <w:rFonts w:ascii="仿宋" w:hAnsi="仿宋" w:eastAsia="仿宋" w:cs="Times New Roman"/>
          <w:sz w:val="32"/>
          <w:szCs w:val="32"/>
        </w:rPr>
        <w:t>致医务人员的函》</w:t>
      </w:r>
    </w:p>
    <w:p w14:paraId="68288932">
      <w:pPr>
        <w:spacing w:line="540" w:lineRule="exact"/>
        <w:ind w:firstLine="640" w:firstLineChars="200"/>
        <w:rPr>
          <w:rFonts w:ascii="仿宋" w:hAnsi="仿宋" w:eastAsia="仿宋" w:cs="Times New Roman"/>
          <w:sz w:val="32"/>
          <w:szCs w:val="32"/>
        </w:rPr>
      </w:pPr>
      <w:bookmarkStart w:id="10" w:name="_Hlk169004155"/>
      <w:r>
        <w:rPr>
          <w:rFonts w:ascii="仿宋" w:hAnsi="仿宋" w:eastAsia="仿宋" w:cs="Times New Roman"/>
          <w:sz w:val="32"/>
          <w:szCs w:val="32"/>
        </w:rPr>
        <w:t>《致医务人员的函》</w:t>
      </w:r>
      <w:bookmarkEnd w:id="10"/>
      <w:r>
        <w:rPr>
          <w:rFonts w:ascii="仿宋" w:hAnsi="仿宋" w:eastAsia="仿宋" w:cs="Times New Roman"/>
          <w:sz w:val="32"/>
          <w:szCs w:val="32"/>
        </w:rPr>
        <w:t>针对的主要受众为医务人员，包括涉及该药品临床使用的医师、药师和护士。《致医务人员的函》应当至少通过销售渠道分发纸质文档或者电子邮件等传播至各零售终端的医务人员，如医疗机构的医师、药师、护士或零售药店的药师等。若销售渠道难以覆盖所有零售终端时，可进一步通过医药学专业期刊或报纸、具有互联网医药服务资质的网站发布。</w:t>
      </w:r>
    </w:p>
    <w:p w14:paraId="54F93CBC">
      <w:pPr>
        <w:spacing w:line="540" w:lineRule="exact"/>
        <w:ind w:firstLine="640" w:firstLineChars="200"/>
        <w:jc w:val="left"/>
        <w:rPr>
          <w:rFonts w:ascii="仿宋" w:hAnsi="仿宋" w:eastAsia="仿宋" w:cs="Times New Roman"/>
          <w:sz w:val="32"/>
          <w:szCs w:val="32"/>
        </w:rPr>
      </w:pPr>
      <w:r>
        <w:rPr>
          <w:rFonts w:ascii="Times New Roman" w:hAnsi="Times New Roman" w:eastAsia="仿宋" w:cs="Times New Roman"/>
          <w:sz w:val="32"/>
          <w:szCs w:val="32"/>
        </w:rPr>
        <w:t>2.</w:t>
      </w:r>
      <w:r>
        <w:rPr>
          <w:rFonts w:ascii="仿宋" w:hAnsi="仿宋" w:eastAsia="仿宋" w:cs="Times New Roman"/>
          <w:sz w:val="32"/>
          <w:szCs w:val="32"/>
        </w:rPr>
        <w:t>《患者安全用药提示》</w:t>
      </w:r>
    </w:p>
    <w:p w14:paraId="09FD180F">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患者安全用药提示》主要针对的受众为实际用药患者/消费者/看护人。《患者安全用药提示》应当至少通过销售渠道分发纸质文档至各零售终端的医务人员，通过医务人员发放给用药患者/消费者/看护人。若销售渠道难以覆盖所有零售终端或当受众涉及公众（潜在用药患者/消费者/看护人等）时，可能需要采用《患者安全用药提示》结合其他沟通方式，如新闻发布等。必要时，持有人应利用其发起或管理的平面媒体、数字媒体、社交媒体/平台，例如微信公众账号、微博、论坛等扩大风险沟通内容的宣传。</w:t>
      </w:r>
    </w:p>
    <w:p w14:paraId="7AA5C875">
      <w:pPr>
        <w:spacing w:line="540" w:lineRule="exact"/>
        <w:ind w:firstLine="640" w:firstLineChars="200"/>
        <w:rPr>
          <w:rFonts w:ascii="楷体" w:hAnsi="楷体" w:eastAsia="楷体" w:cs="楷体"/>
          <w:sz w:val="32"/>
          <w:szCs w:val="32"/>
        </w:rPr>
      </w:pPr>
      <w:bookmarkStart w:id="11" w:name="_Toc169254801"/>
      <w:bookmarkStart w:id="12" w:name="_Toc170896880"/>
      <w:r>
        <w:rPr>
          <w:rFonts w:hint="eastAsia" w:ascii="楷体" w:hAnsi="楷体" w:eastAsia="楷体" w:cs="楷体"/>
          <w:sz w:val="32"/>
          <w:szCs w:val="32"/>
        </w:rPr>
        <w:t>（三）风险沟通的内容</w:t>
      </w:r>
      <w:bookmarkEnd w:id="11"/>
      <w:bookmarkEnd w:id="12"/>
    </w:p>
    <w:p w14:paraId="5C5D9308">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风险沟通的内容应当科学、</w:t>
      </w:r>
      <w:r>
        <w:rPr>
          <w:rFonts w:ascii="仿宋" w:hAnsi="仿宋" w:eastAsia="仿宋" w:cs="Times New Roman"/>
          <w:sz w:val="32"/>
          <w:szCs w:val="32"/>
          <w:shd w:val="clear" w:color="auto" w:fill="FFFFFF"/>
        </w:rPr>
        <w:t>全面、准确、适当、简洁、有效，应重点突出</w:t>
      </w:r>
      <w:r>
        <w:rPr>
          <w:rFonts w:ascii="仿宋" w:hAnsi="仿宋" w:eastAsia="仿宋" w:cs="Times New Roman"/>
          <w:spacing w:val="-6"/>
          <w:sz w:val="32"/>
          <w:szCs w:val="32"/>
        </w:rPr>
        <w:t>。</w:t>
      </w:r>
      <w:r>
        <w:rPr>
          <w:rFonts w:ascii="仿宋" w:hAnsi="仿宋" w:eastAsia="仿宋" w:cs="Times New Roman"/>
          <w:sz w:val="32"/>
          <w:szCs w:val="32"/>
        </w:rPr>
        <w:t>针对多个国家/地区上市的药品开展的全球化风险沟通行动，其在我国境内风险沟通的内容应使用中文并结合相关法规要求和国情做到本地化。风险沟通内容应根据不同受众知识水平、信息需求和理解能力差异，在确保信息准确和一致的前提下进行调整。持有人撰写沟通内容时，可以小范围征求相关人员的意见，如医药学专家、非医/药/护专业人员等，确保受众易于理解和执行沟通内容。</w:t>
      </w:r>
    </w:p>
    <w:p w14:paraId="10BC5321">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若监管部门公布了相关信息和要求，各持有人应统一参照监管机构公布信息制定风险沟通内容；若监管部门尚未公布相关信息，建议各持有人尽量获取原研/参比制剂持有人和/或首家开展风险沟通持有人的风险沟通内容，评估其对本持有人的适用性，制定本持有人的风险沟通内容时应尽量与之保持一致。</w:t>
      </w:r>
    </w:p>
    <w:p w14:paraId="5A2208F4">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风险沟通的内容应根据相关法律法规注意隐私保护，避免泄露患者、医务人员的隐私信息。</w:t>
      </w:r>
    </w:p>
    <w:p w14:paraId="43C07436">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《致医务人员的函》主要内容包括针对的药品和风险、针对医务人员的关键信息、医务人员对患者的建议、背景信息、药品不良反应报告渠道和联系方式等。</w:t>
      </w:r>
    </w:p>
    <w:p w14:paraId="6F32CFF8">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患者安全用药提示》主要内容包括针对的药品和风险、重要安全性信息和建议、重要提示等。其内容应当简洁、清晰、通俗易懂，例如，对于相对专业的诊断术语，应提示非专业人员可理解和判断的症状、体征等描述，需要时可考虑加入示意图。</w:t>
      </w:r>
    </w:p>
    <w:p w14:paraId="6130A22A">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具体撰写要求见附件。</w:t>
      </w:r>
    </w:p>
    <w:p w14:paraId="3993B6ED">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持有人应在其官方网站上公开风险沟通的内容。</w:t>
      </w:r>
    </w:p>
    <w:p w14:paraId="3AC1A883">
      <w:pPr>
        <w:spacing w:line="540" w:lineRule="exact"/>
        <w:ind w:firstLine="640" w:firstLineChars="200"/>
        <w:jc w:val="left"/>
        <w:rPr>
          <w:rFonts w:ascii="Times New Roman" w:hAnsi="Times New Roman" w:eastAsia="黑体" w:cs="Times New Roman"/>
          <w:sz w:val="32"/>
          <w:szCs w:val="32"/>
        </w:rPr>
      </w:pPr>
      <w:bookmarkStart w:id="13" w:name="_Toc169254799"/>
      <w:bookmarkStart w:id="14" w:name="_Toc170896878"/>
      <w:r>
        <w:rPr>
          <w:rFonts w:ascii="Times New Roman" w:hAnsi="Times New Roman" w:eastAsia="黑体" w:cs="Times New Roman"/>
          <w:sz w:val="32"/>
          <w:szCs w:val="32"/>
        </w:rPr>
        <w:t>五、风险沟通的实施</w:t>
      </w:r>
      <w:bookmarkEnd w:id="13"/>
      <w:bookmarkEnd w:id="14"/>
    </w:p>
    <w:p w14:paraId="57FF0C95">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在确定风险沟通的受众、风险沟通方式和传播渠道后，持有人应提供保障风险沟通实施所需的资源，在实施过程中关注受众的咨询和来信来函，对大众媒体进行监测，在关键时间节点对风险沟通的效果开展评价。</w:t>
      </w:r>
    </w:p>
    <w:p w14:paraId="347BA209">
      <w:pPr>
        <w:spacing w:line="540" w:lineRule="exact"/>
        <w:ind w:firstLine="640" w:firstLineChars="200"/>
        <w:rPr>
          <w:rFonts w:ascii="楷体" w:hAnsi="楷体" w:eastAsia="楷体" w:cs="楷体"/>
          <w:sz w:val="32"/>
          <w:szCs w:val="32"/>
        </w:rPr>
      </w:pPr>
      <w:bookmarkStart w:id="15" w:name="_Toc169254796"/>
      <w:bookmarkStart w:id="16" w:name="_Toc170896875"/>
      <w:r>
        <w:rPr>
          <w:rFonts w:hint="eastAsia" w:ascii="楷体" w:hAnsi="楷体" w:eastAsia="楷体" w:cs="楷体"/>
          <w:sz w:val="32"/>
          <w:szCs w:val="32"/>
        </w:rPr>
        <w:t>（一）资源支持</w:t>
      </w:r>
      <w:bookmarkEnd w:id="15"/>
      <w:bookmarkEnd w:id="16"/>
    </w:p>
    <w:p w14:paraId="25365B71">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建议由持有人的药品安全委员会统筹企业内部各部门间协作，为开展风险沟通提供必要的资金、人员、软硬件设施等，保障风险沟通行动顺利开展。</w:t>
      </w:r>
    </w:p>
    <w:p w14:paraId="4BF2515D">
      <w:pPr>
        <w:spacing w:line="540" w:lineRule="exact"/>
        <w:ind w:firstLine="640" w:firstLineChars="200"/>
        <w:rPr>
          <w:rFonts w:ascii="楷体" w:hAnsi="楷体" w:eastAsia="楷体" w:cs="楷体"/>
          <w:sz w:val="32"/>
          <w:szCs w:val="32"/>
        </w:rPr>
      </w:pPr>
      <w:bookmarkStart w:id="17" w:name="_Toc170896876"/>
      <w:bookmarkStart w:id="18" w:name="_Toc169254797"/>
      <w:r>
        <w:rPr>
          <w:rFonts w:hint="eastAsia" w:ascii="楷体" w:hAnsi="楷体" w:eastAsia="楷体" w:cs="楷体"/>
          <w:sz w:val="32"/>
          <w:szCs w:val="32"/>
        </w:rPr>
        <w:t>（二）咨询和来信来函应对</w:t>
      </w:r>
      <w:bookmarkEnd w:id="17"/>
      <w:bookmarkEnd w:id="18"/>
    </w:p>
    <w:p w14:paraId="04CC088C">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建议持有人根据需要专门针对沟通内容制定咨询和来信来函应对预案，预先准备“问与答”文档，指定相关部门和人员通过电话、传真、网站等接收回复咨询和来信来函。</w:t>
      </w:r>
    </w:p>
    <w:p w14:paraId="6134D49E">
      <w:pPr>
        <w:spacing w:line="540" w:lineRule="exact"/>
        <w:ind w:firstLine="640" w:firstLineChars="200"/>
        <w:rPr>
          <w:rFonts w:ascii="楷体" w:hAnsi="楷体" w:eastAsia="楷体" w:cs="楷体"/>
          <w:sz w:val="32"/>
          <w:szCs w:val="32"/>
        </w:rPr>
      </w:pPr>
      <w:bookmarkStart w:id="19" w:name="_Toc170896877"/>
      <w:bookmarkStart w:id="20" w:name="_Toc169254798"/>
      <w:r>
        <w:rPr>
          <w:rFonts w:hint="eastAsia" w:ascii="楷体" w:hAnsi="楷体" w:eastAsia="楷体" w:cs="楷体"/>
          <w:sz w:val="32"/>
          <w:szCs w:val="32"/>
        </w:rPr>
        <w:t>（三）舆情监测</w:t>
      </w:r>
      <w:bookmarkEnd w:id="19"/>
      <w:bookmarkEnd w:id="20"/>
    </w:p>
    <w:p w14:paraId="64A771CF">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建议持有人制定舆情监测预案，指定相关部门和人员开展舆情监测，发现负面信息时及时与媒体联系，消除负面影响。持有人不得以消除负面影响为理由阻止正常信息的传播。</w:t>
      </w:r>
    </w:p>
    <w:p w14:paraId="68D6ED70">
      <w:pPr>
        <w:spacing w:line="540" w:lineRule="exact"/>
        <w:ind w:firstLine="640" w:firstLineChars="200"/>
        <w:rPr>
          <w:rFonts w:ascii="楷体" w:hAnsi="楷体" w:eastAsia="楷体" w:cs="楷体"/>
          <w:sz w:val="32"/>
          <w:szCs w:val="32"/>
        </w:rPr>
      </w:pPr>
      <w:bookmarkStart w:id="21" w:name="_Toc170896881"/>
      <w:bookmarkStart w:id="22" w:name="_Toc169254803"/>
      <w:r>
        <w:rPr>
          <w:rFonts w:hint="eastAsia" w:ascii="楷体" w:hAnsi="楷体" w:eastAsia="楷体" w:cs="楷体"/>
          <w:sz w:val="32"/>
          <w:szCs w:val="32"/>
        </w:rPr>
        <w:t>（四）风险沟通效果评价</w:t>
      </w:r>
      <w:bookmarkEnd w:id="21"/>
      <w:bookmarkEnd w:id="22"/>
    </w:p>
    <w:p w14:paraId="725BC966">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建议持有人设定效果评价的时间节点，到达时间节点时开展风险效果评价，并根据评估结果不断改进风险沟通行动和内容或考虑终止风险沟通。</w:t>
      </w:r>
    </w:p>
    <w:p w14:paraId="2E305815">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效果评价的方式包括持有人内部或销售渠道的执行情况调查、目标受众接收和理解情况的问卷调查、目标受众执行情况问卷调查等；还可通过药品上市后安全性研究、实施前后不良反应报告情况等方法评价风险沟通的效果。建议持有人至少应开展内部人员或销售渠道执行情况调查以及目标受众接收情况调查，评价风险沟通的效果。</w:t>
      </w:r>
    </w:p>
    <w:p w14:paraId="06B98AF6">
      <w:pPr>
        <w:spacing w:line="540" w:lineRule="exact"/>
        <w:ind w:firstLine="640" w:firstLineChars="200"/>
        <w:rPr>
          <w:rFonts w:ascii="楷体" w:hAnsi="楷体" w:eastAsia="楷体" w:cs="楷体"/>
          <w:sz w:val="32"/>
          <w:szCs w:val="32"/>
        </w:rPr>
      </w:pPr>
      <w:bookmarkStart w:id="23" w:name="_Toc169254804"/>
      <w:bookmarkStart w:id="24" w:name="_Toc170896882"/>
      <w:r>
        <w:rPr>
          <w:rFonts w:hint="eastAsia" w:ascii="楷体" w:hAnsi="楷体" w:eastAsia="楷体" w:cs="楷体"/>
          <w:sz w:val="32"/>
          <w:szCs w:val="32"/>
        </w:rPr>
        <w:t>（五）风险沟通文件和记录管理</w:t>
      </w:r>
      <w:bookmarkEnd w:id="23"/>
      <w:bookmarkEnd w:id="24"/>
    </w:p>
    <w:p w14:paraId="290B1FC6">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持有人应当建立风险沟通文件和记录，在相关操作规程和管理制度中规定记载人员、记载时间、记载内容，以及确认与复核方法的要求。文件和记录的管理参考《药物警戒质量管理规范》中的相关要求。</w:t>
      </w:r>
    </w:p>
    <w:p w14:paraId="2004C9CB">
      <w:pPr>
        <w:spacing w:line="540" w:lineRule="exact"/>
        <w:ind w:firstLine="640" w:firstLineChars="200"/>
        <w:rPr>
          <w:rFonts w:ascii="仿宋" w:hAnsi="仿宋" w:eastAsia="仿宋" w:cs="Times New Roman"/>
          <w:sz w:val="32"/>
          <w:szCs w:val="32"/>
        </w:rPr>
      </w:pPr>
    </w:p>
    <w:p w14:paraId="055359AC">
      <w:pPr>
        <w:spacing w:line="540" w:lineRule="exact"/>
        <w:ind w:firstLine="640" w:firstLineChars="200"/>
        <w:jc w:val="left"/>
        <w:rPr>
          <w:rFonts w:ascii="Times New Roman" w:hAnsi="Times New Roman" w:eastAsia="仿宋" w:cs="Times New Roman"/>
          <w:sz w:val="32"/>
          <w:szCs w:val="32"/>
        </w:rPr>
      </w:pPr>
      <w:bookmarkStart w:id="25" w:name="_Toc169254806"/>
      <w:bookmarkStart w:id="26" w:name="_Toc170896883"/>
      <w:r>
        <w:rPr>
          <w:rFonts w:ascii="仿宋" w:hAnsi="仿宋" w:eastAsia="仿宋" w:cs="Times New Roman"/>
          <w:sz w:val="32"/>
          <w:szCs w:val="32"/>
        </w:rPr>
        <w:t>附</w:t>
      </w:r>
      <w:bookmarkEnd w:id="25"/>
      <w:bookmarkEnd w:id="26"/>
      <w:r>
        <w:rPr>
          <w:rFonts w:hint="eastAsia" w:ascii="Times New Roman" w:hAnsi="Times New Roman" w:eastAsia="仿宋" w:cs="Times New Roman"/>
          <w:sz w:val="32"/>
          <w:szCs w:val="32"/>
        </w:rPr>
        <w:t>：</w:t>
      </w:r>
      <w:r>
        <w:rPr>
          <w:rFonts w:ascii="Times New Roman" w:hAnsi="Times New Roman" w:eastAsia="仿宋" w:cs="Times New Roman"/>
          <w:sz w:val="32"/>
          <w:szCs w:val="32"/>
        </w:rPr>
        <w:t>1．《致医务人员的函》撰写要求</w:t>
      </w:r>
    </w:p>
    <w:p w14:paraId="2291B4C5">
      <w:pPr>
        <w:widowControl/>
        <w:spacing w:line="540" w:lineRule="exact"/>
        <w:jc w:val="left"/>
        <w:rPr>
          <w:rFonts w:ascii="仿宋" w:hAnsi="仿宋" w:eastAsia="仿宋" w:cs="Times New Roman"/>
          <w:sz w:val="32"/>
          <w:szCs w:val="32"/>
        </w:rPr>
      </w:pPr>
      <w:r>
        <w:rPr>
          <w:rFonts w:ascii="Times New Roman" w:hAnsi="Times New Roman" w:eastAsia="仿宋" w:cs="Times New Roman"/>
          <w:sz w:val="32"/>
          <w:szCs w:val="32"/>
        </w:rPr>
        <w:t xml:space="preserve">        2．</w:t>
      </w:r>
      <w:bookmarkStart w:id="27" w:name="_Hlk169004385"/>
      <w:r>
        <w:rPr>
          <w:rFonts w:ascii="仿宋" w:hAnsi="仿宋" w:eastAsia="仿宋" w:cs="Times New Roman"/>
          <w:sz w:val="32"/>
          <w:szCs w:val="32"/>
        </w:rPr>
        <w:t>《患者安全用药提示》撰写要求</w:t>
      </w:r>
      <w:bookmarkEnd w:id="27"/>
      <w:r>
        <w:rPr>
          <w:rFonts w:ascii="仿宋" w:hAnsi="仿宋" w:eastAsia="仿宋" w:cs="Times New Roman"/>
          <w:sz w:val="32"/>
          <w:szCs w:val="32"/>
        </w:rPr>
        <w:br w:type="page"/>
      </w:r>
    </w:p>
    <w:p w14:paraId="6065DA01">
      <w:pPr>
        <w:spacing w:line="540" w:lineRule="exact"/>
        <w:rPr>
          <w:rFonts w:ascii="Times New Roman" w:hAnsi="Times New Roman" w:eastAsia="黑体" w:cs="Times New Roman"/>
          <w:bCs/>
          <w:sz w:val="32"/>
          <w:szCs w:val="32"/>
        </w:rPr>
      </w:pPr>
      <w:bookmarkStart w:id="28" w:name="_Toc170896885"/>
      <w:bookmarkStart w:id="29" w:name="_Toc169254808"/>
      <w:r>
        <w:rPr>
          <w:rFonts w:ascii="Times New Roman" w:hAnsi="Times New Roman" w:eastAsia="黑体" w:cs="Times New Roman"/>
          <w:bCs/>
          <w:sz w:val="32"/>
          <w:szCs w:val="32"/>
        </w:rPr>
        <w:t xml:space="preserve">附1 </w:t>
      </w:r>
    </w:p>
    <w:p w14:paraId="06ADCFC3">
      <w:pPr>
        <w:spacing w:before="312" w:beforeLines="100" w:after="312" w:afterLines="100"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《致医务人员的函》撰写要求</w:t>
      </w:r>
      <w:bookmarkEnd w:id="28"/>
      <w:bookmarkEnd w:id="29"/>
    </w:p>
    <w:p w14:paraId="12B6335B">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一、总体要求</w:t>
      </w:r>
    </w:p>
    <w:p w14:paraId="12897EC8">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1.措辞应当准确、简洁。实质内容一般不超过2页A4纸，有足够的间距和行距，基于所使用的媒体类型，采用较为醒目的字体（如黑体或宋体）；</w:t>
      </w:r>
    </w:p>
    <w:p w14:paraId="7C30710D">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2.重点内容加粗，或使用斜体进行突出显示；</w:t>
      </w:r>
    </w:p>
    <w:p w14:paraId="20207DC9">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3.每页的下方均应包含持有人名称及联系方式等；</w:t>
      </w:r>
    </w:p>
    <w:p w14:paraId="2748A52A">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4.页眉处居中标注</w:t>
      </w:r>
      <w:r>
        <w:rPr>
          <w:rFonts w:ascii="仿宋" w:hAnsi="仿宋" w:eastAsia="仿宋" w:cs="仿宋"/>
          <w:sz w:val="32"/>
          <w:szCs w:val="32"/>
        </w:rPr>
        <w:t>出“致医务人员的函”</w:t>
      </w:r>
      <w:r>
        <w:rPr>
          <w:rFonts w:ascii="Times New Roman" w:hAnsi="Times New Roman" w:eastAsia="仿宋" w:cs="Times New Roman"/>
          <w:sz w:val="32"/>
          <w:szCs w:val="32"/>
        </w:rPr>
        <w:t>字样。</w:t>
      </w:r>
    </w:p>
    <w:p w14:paraId="02B09182">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二、具体内容要求</w:t>
      </w:r>
    </w:p>
    <w:p w14:paraId="4767840F">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（一）标题</w:t>
      </w:r>
    </w:p>
    <w:p w14:paraId="6211A7A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 w:cs="Times New Roman"/>
          <w:sz w:val="32"/>
          <w:szCs w:val="32"/>
        </w:rPr>
        <w:t>标题包含药品名称和关注的风险，</w:t>
      </w:r>
      <w:r>
        <w:rPr>
          <w:rFonts w:hint="eastAsia" w:ascii="仿宋" w:hAnsi="仿宋" w:eastAsia="仿宋" w:cs="仿宋"/>
          <w:sz w:val="32"/>
          <w:szCs w:val="32"/>
        </w:rPr>
        <w:t>如“关</w:t>
      </w:r>
      <w:r>
        <w:rPr>
          <w:rFonts w:hint="eastAsia" w:ascii="Times New Roman" w:hAnsi="Times New Roman" w:eastAsia="仿宋" w:cs="Times New Roman"/>
          <w:sz w:val="32"/>
          <w:szCs w:val="32"/>
        </w:rPr>
        <w:t>注XXXXX（药品）的XXXXX（风险）</w:t>
      </w:r>
      <w:r>
        <w:rPr>
          <w:rFonts w:ascii="仿宋" w:hAnsi="仿宋" w:eastAsia="仿宋" w:cs="仿宋"/>
          <w:sz w:val="32"/>
          <w:szCs w:val="32"/>
        </w:rPr>
        <w:t>”</w:t>
      </w:r>
      <w:r>
        <w:rPr>
          <w:rFonts w:hint="eastAsia" w:ascii="仿宋" w:hAnsi="仿宋" w:eastAsia="仿宋" w:cs="仿宋"/>
          <w:sz w:val="32"/>
          <w:szCs w:val="32"/>
        </w:rPr>
        <w:t>。</w:t>
      </w:r>
    </w:p>
    <w:p w14:paraId="282DA9BC">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（二）摘要</w:t>
      </w:r>
    </w:p>
    <w:p w14:paraId="4DB04559">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逐条简述需要告知医务人员的关键性信息，包括安全性问题、风险控制建议（例如，禁忌、警告、使用注意事项或替代治疗）；必要时应包含医务人员需告知患者的信息和建议。</w:t>
      </w:r>
    </w:p>
    <w:p w14:paraId="03168277">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（三）背景</w:t>
      </w:r>
    </w:p>
    <w:p w14:paraId="63BEBFBD">
      <w:pPr>
        <w:spacing w:line="540" w:lineRule="exact"/>
        <w:ind w:firstLine="640" w:firstLineChars="200"/>
        <w:rPr>
          <w:rFonts w:ascii="Times New Roman" w:hAnsi="Times New Roman" w:eastAsia="仿宋" w:cs="Times New Roman"/>
          <w:sz w:val="32"/>
          <w:szCs w:val="32"/>
        </w:rPr>
      </w:pPr>
      <w:r>
        <w:rPr>
          <w:rFonts w:ascii="仿宋" w:hAnsi="仿宋" w:eastAsia="仿宋" w:cs="Times New Roman"/>
          <w:sz w:val="32"/>
          <w:szCs w:val="32"/>
        </w:rPr>
        <w:t>简述药品、风险、风险控制措施等相关背景信息，可包</w:t>
      </w:r>
      <w:r>
        <w:rPr>
          <w:rFonts w:ascii="Times New Roman" w:hAnsi="Times New Roman" w:eastAsia="仿宋" w:cs="Times New Roman"/>
          <w:sz w:val="32"/>
          <w:szCs w:val="32"/>
        </w:rPr>
        <w:t>含以下一项或多项内容：</w:t>
      </w:r>
    </w:p>
    <w:p w14:paraId="104D5580">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1.药品的适应证；</w:t>
      </w:r>
    </w:p>
    <w:p w14:paraId="695812E3">
      <w:pPr>
        <w:spacing w:line="54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2.安全性问题的重要信息（可能包括：不良反应、严重</w:t>
      </w:r>
      <w:r>
        <w:rPr>
          <w:rFonts w:ascii="仿宋" w:hAnsi="仿宋" w:eastAsia="仿宋" w:cs="Times New Roman"/>
          <w:sz w:val="32"/>
          <w:szCs w:val="32"/>
        </w:rPr>
        <w:t>程度、疑似因果关系的陈述和已知的药效学机制、时间关系、再激发或去激发阳性、风险因素）；</w:t>
      </w:r>
    </w:p>
    <w:p w14:paraId="1F7AEDC2">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3.估计不良反应发生率或估计患者暴露量下的报告率；</w:t>
      </w:r>
    </w:p>
    <w:p w14:paraId="098CB4A8">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4.不良反应与超说明书使用之间的联系情况；</w:t>
      </w:r>
    </w:p>
    <w:p w14:paraId="268F5629">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5.采取的风险控制措施。若说明书即将或已经修订，应作相应描述，包括落实或拟定的变更描述，但无须附加尚未备案的药品说明书的精确文本；</w:t>
      </w:r>
    </w:p>
    <w:p w14:paraId="75857497">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6.获益风险情况；</w:t>
      </w:r>
    </w:p>
    <w:p w14:paraId="3678264F">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7.分发该《致医务人员的函》的原因。</w:t>
      </w:r>
    </w:p>
    <w:p w14:paraId="5CC75D8B">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（四）报告不良反应提示</w:t>
      </w:r>
    </w:p>
    <w:p w14:paraId="335525E1">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提示医务人员按相关法律法规向国家药品不良反应监测系统和/或持有人报告药品不良反应。</w:t>
      </w:r>
    </w:p>
    <w:p w14:paraId="5D747B91">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（五）持有人联系方式</w:t>
      </w:r>
    </w:p>
    <w:p w14:paraId="7061CB2F">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包括持有人名称、电话、邮箱地址及相关网址。境外生产的药品应提供境内履行持有人义务的企业信息，而非境外持有人信息。</w:t>
      </w:r>
    </w:p>
    <w:p w14:paraId="752BC13A">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（六）参考资料</w:t>
      </w:r>
    </w:p>
    <w:p w14:paraId="60FD622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相关信息的链接/引用（如监管机构网站）和参考文献。</w:t>
      </w:r>
    </w:p>
    <w:p w14:paraId="69C9BCDF">
      <w:pPr>
        <w:widowControl/>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4C4839B">
      <w:pPr>
        <w:spacing w:line="540" w:lineRule="exact"/>
        <w:rPr>
          <w:rFonts w:ascii="Times New Roman" w:hAnsi="Times New Roman" w:eastAsia="黑体" w:cs="Times New Roman"/>
          <w:bCs/>
          <w:sz w:val="32"/>
          <w:szCs w:val="32"/>
        </w:rPr>
      </w:pPr>
      <w:bookmarkStart w:id="30" w:name="_Toc169254809"/>
      <w:bookmarkStart w:id="31" w:name="_Toc170896886"/>
      <w:r>
        <w:rPr>
          <w:rFonts w:ascii="Times New Roman" w:hAnsi="Times New Roman" w:eastAsia="黑体" w:cs="Times New Roman"/>
          <w:bCs/>
          <w:sz w:val="32"/>
          <w:szCs w:val="32"/>
        </w:rPr>
        <w:t>附2</w:t>
      </w:r>
    </w:p>
    <w:p w14:paraId="0B2C225B">
      <w:pPr>
        <w:spacing w:before="312" w:beforeLines="100" w:after="312" w:afterLines="100" w:line="64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《患者安全用药提示》撰写要求</w:t>
      </w:r>
      <w:bookmarkEnd w:id="30"/>
      <w:bookmarkEnd w:id="31"/>
    </w:p>
    <w:p w14:paraId="06B295BB">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一、总体要求</w:t>
      </w:r>
    </w:p>
    <w:p w14:paraId="0B38D8F9">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1.措辞应当通俗易懂，尽量采用不超出非医/药/护专业人员认知范围的词语进行描述，如一些疾病术语可辅以相关症状等表述；</w:t>
      </w:r>
    </w:p>
    <w:p w14:paraId="6B1848E9">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2.实质内容一般不超过1页A4纸，且易于携带、便于保存；</w:t>
      </w:r>
    </w:p>
    <w:p w14:paraId="4F563D60">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3.基于所使用的媒体类型，采用较为醒目的字体（如黑体或宋体）且不小于中文三号，有足够的间距和行距；</w:t>
      </w:r>
    </w:p>
    <w:p w14:paraId="7C000385">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4.重点内容加粗，或使用斜体进行突出显示；</w:t>
      </w:r>
    </w:p>
    <w:p w14:paraId="5A07C83B">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6.页面下方应包含持有人名称及联系方式（电话）等；</w:t>
      </w:r>
    </w:p>
    <w:p w14:paraId="4251E835">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7.页眉处居中标注</w:t>
      </w:r>
      <w:r>
        <w:rPr>
          <w:rFonts w:ascii="仿宋" w:hAnsi="仿宋" w:eastAsia="仿宋" w:cs="仿宋"/>
          <w:sz w:val="32"/>
          <w:szCs w:val="32"/>
        </w:rPr>
        <w:t>出“患者安全用药提示”字样</w:t>
      </w:r>
      <w:r>
        <w:rPr>
          <w:rFonts w:ascii="Times New Roman" w:hAnsi="Times New Roman" w:eastAsia="仿宋" w:cs="Times New Roman"/>
          <w:sz w:val="32"/>
          <w:szCs w:val="32"/>
        </w:rPr>
        <w:t>。</w:t>
      </w:r>
    </w:p>
    <w:p w14:paraId="383791F9">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二、具体内容要求</w:t>
      </w:r>
    </w:p>
    <w:p w14:paraId="2B46AF03">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（一）标题</w:t>
      </w:r>
    </w:p>
    <w:p w14:paraId="38B210C1">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标题包含药品名称和关注的风险，</w:t>
      </w:r>
      <w:r>
        <w:rPr>
          <w:rFonts w:ascii="仿宋" w:hAnsi="仿宋" w:eastAsia="仿宋" w:cs="仿宋"/>
          <w:sz w:val="32"/>
          <w:szCs w:val="32"/>
        </w:rPr>
        <w:t>如“关</w:t>
      </w:r>
      <w:r>
        <w:rPr>
          <w:rFonts w:ascii="Times New Roman" w:hAnsi="Times New Roman" w:eastAsia="仿宋" w:cs="Times New Roman"/>
          <w:sz w:val="32"/>
          <w:szCs w:val="32"/>
        </w:rPr>
        <w:t>注XXXXX（药品）的XXXXX（风</w:t>
      </w:r>
      <w:r>
        <w:rPr>
          <w:rFonts w:ascii="仿宋" w:hAnsi="仿宋" w:eastAsia="仿宋" w:cs="仿宋"/>
          <w:sz w:val="32"/>
          <w:szCs w:val="32"/>
        </w:rPr>
        <w:t>险）”</w:t>
      </w:r>
      <w:r>
        <w:rPr>
          <w:rFonts w:ascii="Times New Roman" w:hAnsi="Times New Roman" w:eastAsia="仿宋" w:cs="Times New Roman"/>
          <w:sz w:val="32"/>
          <w:szCs w:val="32"/>
        </w:rPr>
        <w:t>。</w:t>
      </w:r>
    </w:p>
    <w:p w14:paraId="55AD32AD">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（二）药品信息</w:t>
      </w:r>
    </w:p>
    <w:p w14:paraId="3D447E64">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简述药品商品名、通用名、规格、适应症等。</w:t>
      </w:r>
    </w:p>
    <w:p w14:paraId="5FD44025">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（三）重要安全性信息和建议</w:t>
      </w:r>
    </w:p>
    <w:p w14:paraId="1E0E9A50">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列举患者应当重点关注的药品风险信息，以及具体的症状体征、注意事项、处置建议等。</w:t>
      </w:r>
    </w:p>
    <w:p w14:paraId="15052A07">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（四）重要提示</w:t>
      </w:r>
    </w:p>
    <w:p w14:paraId="400A0548">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包括切勿擅自停药、减量或更换药品，请咨询医师或药师是否需要调整用药，其他安全性信息请参考药品说明书等。</w:t>
      </w:r>
    </w:p>
    <w:p w14:paraId="1D0B5CAE">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（五）鼓励上报安全性信息</w:t>
      </w:r>
    </w:p>
    <w:p w14:paraId="64050CDA">
      <w:pPr>
        <w:spacing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告知患者向医师或持有人上报不良反应的方式及必要性。</w:t>
      </w:r>
    </w:p>
    <w:p w14:paraId="73CDC022">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（六）持有人联系方式</w:t>
      </w:r>
    </w:p>
    <w:p w14:paraId="7BB1E624">
      <w:pPr>
        <w:pStyle w:val="14"/>
        <w:spacing w:line="540" w:lineRule="exact"/>
      </w:pPr>
      <w:r>
        <w:rPr>
          <w:rFonts w:ascii="仿宋" w:hAnsi="仿宋" w:cs="Times New Roman"/>
          <w:sz w:val="32"/>
          <w:szCs w:val="32"/>
        </w:rPr>
        <w:t>包括持有人名称、联系人电话、邮箱地址及相关网址。境外生产的药品应提供境内履行持有人义务的企业信息，而非境外持有人信息。</w:t>
      </w:r>
    </w:p>
    <w:sectPr>
      <w:footerReference r:id="rId3" w:type="default"/>
      <w:pgSz w:w="11906" w:h="16838"/>
      <w:pgMar w:top="1440" w:right="1797" w:bottom="1440" w:left="1797"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44E8">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D4F251B">
                              <w:pPr>
                                <w:pStyle w:val="8"/>
                                <w:jc w:val="cente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ascii="宋体" w:hAnsi="宋体" w:eastAsia="宋体" w:cs="宋体"/>
                                  <w:sz w:val="28"/>
                                  <w:szCs w:val="28"/>
                                </w:rPr>
                                <w:fldChar w:fldCharType="end"/>
                              </w:r>
                            </w:p>
                          </w:sdtContent>
                        </w:sdt>
                        <w:p w14:paraId="44D7B2C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
                    </w:sdtPr>
                    <w:sdtContent>
                      <w:p w14:paraId="5D4F251B">
                        <w:pPr>
                          <w:pStyle w:val="8"/>
                          <w:jc w:val="cente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ascii="宋体" w:hAnsi="宋体" w:eastAsia="宋体" w:cs="宋体"/>
                            <w:sz w:val="28"/>
                            <w:szCs w:val="28"/>
                          </w:rPr>
                          <w:fldChar w:fldCharType="end"/>
                        </w:r>
                      </w:p>
                    </w:sdtContent>
                  </w:sdt>
                  <w:p w14:paraId="44D7B2C7"/>
                </w:txbxContent>
              </v:textbox>
            </v:shape>
          </w:pict>
        </mc:Fallback>
      </mc:AlternateContent>
    </w:r>
  </w:p>
  <w:p w14:paraId="7FE669DF">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ZWU2Zjc3N2UyYWE3M2M5Mzg1MjU4MWQwYzdiZmUifQ=="/>
  </w:docVars>
  <w:rsids>
    <w:rsidRoot w:val="000F7D91"/>
    <w:rsid w:val="00005BE2"/>
    <w:rsid w:val="00017CBB"/>
    <w:rsid w:val="00021EB4"/>
    <w:rsid w:val="000235D5"/>
    <w:rsid w:val="00030AC3"/>
    <w:rsid w:val="00034082"/>
    <w:rsid w:val="000435F7"/>
    <w:rsid w:val="00044841"/>
    <w:rsid w:val="00051C68"/>
    <w:rsid w:val="00054E65"/>
    <w:rsid w:val="00061DC0"/>
    <w:rsid w:val="00062AD2"/>
    <w:rsid w:val="00065759"/>
    <w:rsid w:val="000670CF"/>
    <w:rsid w:val="00076AE6"/>
    <w:rsid w:val="00077B48"/>
    <w:rsid w:val="00081955"/>
    <w:rsid w:val="00087244"/>
    <w:rsid w:val="000873F5"/>
    <w:rsid w:val="00095278"/>
    <w:rsid w:val="00095569"/>
    <w:rsid w:val="000B2217"/>
    <w:rsid w:val="000B583D"/>
    <w:rsid w:val="000B61E9"/>
    <w:rsid w:val="000C0740"/>
    <w:rsid w:val="000C1784"/>
    <w:rsid w:val="000C6099"/>
    <w:rsid w:val="000D277F"/>
    <w:rsid w:val="000D3DBF"/>
    <w:rsid w:val="000D5BB4"/>
    <w:rsid w:val="000D695C"/>
    <w:rsid w:val="000E54F4"/>
    <w:rsid w:val="000F42DD"/>
    <w:rsid w:val="000F7440"/>
    <w:rsid w:val="000F7D91"/>
    <w:rsid w:val="00107D61"/>
    <w:rsid w:val="001104CF"/>
    <w:rsid w:val="00110533"/>
    <w:rsid w:val="00112679"/>
    <w:rsid w:val="001141E7"/>
    <w:rsid w:val="00124B18"/>
    <w:rsid w:val="00124EB4"/>
    <w:rsid w:val="0012785E"/>
    <w:rsid w:val="001301F9"/>
    <w:rsid w:val="00131D42"/>
    <w:rsid w:val="00140FB6"/>
    <w:rsid w:val="00143E01"/>
    <w:rsid w:val="001467C3"/>
    <w:rsid w:val="00153D2E"/>
    <w:rsid w:val="001549E9"/>
    <w:rsid w:val="001557F5"/>
    <w:rsid w:val="00165CA6"/>
    <w:rsid w:val="0017014E"/>
    <w:rsid w:val="00176F30"/>
    <w:rsid w:val="00180D45"/>
    <w:rsid w:val="00180E3B"/>
    <w:rsid w:val="00181C8A"/>
    <w:rsid w:val="001919C4"/>
    <w:rsid w:val="00194019"/>
    <w:rsid w:val="001A28AF"/>
    <w:rsid w:val="001A4115"/>
    <w:rsid w:val="001A6918"/>
    <w:rsid w:val="001A7F8A"/>
    <w:rsid w:val="001B39C3"/>
    <w:rsid w:val="001B4FDB"/>
    <w:rsid w:val="001B7901"/>
    <w:rsid w:val="001C05A7"/>
    <w:rsid w:val="001C29AF"/>
    <w:rsid w:val="001C2C6F"/>
    <w:rsid w:val="001C7540"/>
    <w:rsid w:val="001C7BDF"/>
    <w:rsid w:val="001E17E2"/>
    <w:rsid w:val="001E68A4"/>
    <w:rsid w:val="001E6FC4"/>
    <w:rsid w:val="001E7523"/>
    <w:rsid w:val="001E7793"/>
    <w:rsid w:val="001E77F5"/>
    <w:rsid w:val="001F3423"/>
    <w:rsid w:val="00200E7D"/>
    <w:rsid w:val="00207996"/>
    <w:rsid w:val="00213E65"/>
    <w:rsid w:val="002208D9"/>
    <w:rsid w:val="00224FF1"/>
    <w:rsid w:val="0023036E"/>
    <w:rsid w:val="00245865"/>
    <w:rsid w:val="002566F4"/>
    <w:rsid w:val="00260C4C"/>
    <w:rsid w:val="002621E0"/>
    <w:rsid w:val="0027077C"/>
    <w:rsid w:val="002815C1"/>
    <w:rsid w:val="00281CFC"/>
    <w:rsid w:val="00282CBC"/>
    <w:rsid w:val="0029363F"/>
    <w:rsid w:val="002949B1"/>
    <w:rsid w:val="002A03CE"/>
    <w:rsid w:val="002A0623"/>
    <w:rsid w:val="002B1612"/>
    <w:rsid w:val="002B565D"/>
    <w:rsid w:val="002B78F9"/>
    <w:rsid w:val="002C5B09"/>
    <w:rsid w:val="002C63D8"/>
    <w:rsid w:val="002E4A5D"/>
    <w:rsid w:val="00310840"/>
    <w:rsid w:val="00311877"/>
    <w:rsid w:val="003137D1"/>
    <w:rsid w:val="00313AC6"/>
    <w:rsid w:val="003260BD"/>
    <w:rsid w:val="003270BE"/>
    <w:rsid w:val="0033550C"/>
    <w:rsid w:val="003372E5"/>
    <w:rsid w:val="00343C78"/>
    <w:rsid w:val="00343EE2"/>
    <w:rsid w:val="003553E0"/>
    <w:rsid w:val="00360635"/>
    <w:rsid w:val="00360FB5"/>
    <w:rsid w:val="003629BE"/>
    <w:rsid w:val="003646D1"/>
    <w:rsid w:val="00372304"/>
    <w:rsid w:val="00375C2C"/>
    <w:rsid w:val="00376ED6"/>
    <w:rsid w:val="00377C15"/>
    <w:rsid w:val="00380D12"/>
    <w:rsid w:val="00390558"/>
    <w:rsid w:val="003A0826"/>
    <w:rsid w:val="003C0AD5"/>
    <w:rsid w:val="003C0E7E"/>
    <w:rsid w:val="003C13A5"/>
    <w:rsid w:val="003C2057"/>
    <w:rsid w:val="003C3451"/>
    <w:rsid w:val="003C444C"/>
    <w:rsid w:val="003C6A58"/>
    <w:rsid w:val="003C6DE7"/>
    <w:rsid w:val="003D6B52"/>
    <w:rsid w:val="003E305A"/>
    <w:rsid w:val="003E7009"/>
    <w:rsid w:val="003F0D76"/>
    <w:rsid w:val="003F6CE6"/>
    <w:rsid w:val="003F6E08"/>
    <w:rsid w:val="00411058"/>
    <w:rsid w:val="00411941"/>
    <w:rsid w:val="00412015"/>
    <w:rsid w:val="00412165"/>
    <w:rsid w:val="0041771A"/>
    <w:rsid w:val="00417AC2"/>
    <w:rsid w:val="00421266"/>
    <w:rsid w:val="004252C0"/>
    <w:rsid w:val="00425A82"/>
    <w:rsid w:val="00426DED"/>
    <w:rsid w:val="00426F07"/>
    <w:rsid w:val="0042798E"/>
    <w:rsid w:val="00427E14"/>
    <w:rsid w:val="00430D14"/>
    <w:rsid w:val="00430EE8"/>
    <w:rsid w:val="00431048"/>
    <w:rsid w:val="00433784"/>
    <w:rsid w:val="00437566"/>
    <w:rsid w:val="00443F49"/>
    <w:rsid w:val="004452DE"/>
    <w:rsid w:val="00446E0D"/>
    <w:rsid w:val="00447BC1"/>
    <w:rsid w:val="00453016"/>
    <w:rsid w:val="00453BB3"/>
    <w:rsid w:val="0046374D"/>
    <w:rsid w:val="004741BA"/>
    <w:rsid w:val="00480E47"/>
    <w:rsid w:val="004812D4"/>
    <w:rsid w:val="00495C99"/>
    <w:rsid w:val="004B13C6"/>
    <w:rsid w:val="004B1481"/>
    <w:rsid w:val="004B497C"/>
    <w:rsid w:val="004C118C"/>
    <w:rsid w:val="004C2033"/>
    <w:rsid w:val="004D53A3"/>
    <w:rsid w:val="004E2D37"/>
    <w:rsid w:val="004E732C"/>
    <w:rsid w:val="004F206A"/>
    <w:rsid w:val="00500A3A"/>
    <w:rsid w:val="005071E5"/>
    <w:rsid w:val="00511186"/>
    <w:rsid w:val="0051127C"/>
    <w:rsid w:val="00525E76"/>
    <w:rsid w:val="005312BF"/>
    <w:rsid w:val="0053374D"/>
    <w:rsid w:val="005451F7"/>
    <w:rsid w:val="00551C77"/>
    <w:rsid w:val="00562487"/>
    <w:rsid w:val="005664AC"/>
    <w:rsid w:val="0057493E"/>
    <w:rsid w:val="00574FBE"/>
    <w:rsid w:val="00575E8D"/>
    <w:rsid w:val="00580D14"/>
    <w:rsid w:val="0058295A"/>
    <w:rsid w:val="00587629"/>
    <w:rsid w:val="005929B0"/>
    <w:rsid w:val="005A2DC4"/>
    <w:rsid w:val="005A5826"/>
    <w:rsid w:val="005B06A8"/>
    <w:rsid w:val="005B548C"/>
    <w:rsid w:val="005B6FD9"/>
    <w:rsid w:val="005D26CA"/>
    <w:rsid w:val="005D3F68"/>
    <w:rsid w:val="005D471E"/>
    <w:rsid w:val="005F23D9"/>
    <w:rsid w:val="005F3800"/>
    <w:rsid w:val="005F6185"/>
    <w:rsid w:val="006035E6"/>
    <w:rsid w:val="00613943"/>
    <w:rsid w:val="00615FA7"/>
    <w:rsid w:val="00621ABC"/>
    <w:rsid w:val="00627CB1"/>
    <w:rsid w:val="006300EC"/>
    <w:rsid w:val="00633892"/>
    <w:rsid w:val="00637894"/>
    <w:rsid w:val="00644EDB"/>
    <w:rsid w:val="00650738"/>
    <w:rsid w:val="00650F9D"/>
    <w:rsid w:val="00651AB4"/>
    <w:rsid w:val="0065408C"/>
    <w:rsid w:val="00673A0B"/>
    <w:rsid w:val="00674084"/>
    <w:rsid w:val="00675CAC"/>
    <w:rsid w:val="006777D5"/>
    <w:rsid w:val="00677F96"/>
    <w:rsid w:val="00684490"/>
    <w:rsid w:val="00684519"/>
    <w:rsid w:val="006A2C47"/>
    <w:rsid w:val="006A3BFF"/>
    <w:rsid w:val="006A4D16"/>
    <w:rsid w:val="006A567E"/>
    <w:rsid w:val="006A5E8C"/>
    <w:rsid w:val="006B54DE"/>
    <w:rsid w:val="006C1833"/>
    <w:rsid w:val="006D0568"/>
    <w:rsid w:val="006D4AA8"/>
    <w:rsid w:val="006D502C"/>
    <w:rsid w:val="006E4A43"/>
    <w:rsid w:val="006E7C4B"/>
    <w:rsid w:val="006F3FB9"/>
    <w:rsid w:val="006F7BB8"/>
    <w:rsid w:val="00701390"/>
    <w:rsid w:val="00703A5D"/>
    <w:rsid w:val="00711769"/>
    <w:rsid w:val="007161EF"/>
    <w:rsid w:val="00717F78"/>
    <w:rsid w:val="00721BD0"/>
    <w:rsid w:val="00731C8A"/>
    <w:rsid w:val="0073440A"/>
    <w:rsid w:val="0073539E"/>
    <w:rsid w:val="007417A1"/>
    <w:rsid w:val="00751451"/>
    <w:rsid w:val="0075241A"/>
    <w:rsid w:val="00756A95"/>
    <w:rsid w:val="00760A47"/>
    <w:rsid w:val="007705AA"/>
    <w:rsid w:val="00772991"/>
    <w:rsid w:val="007741C7"/>
    <w:rsid w:val="007928CA"/>
    <w:rsid w:val="007933D4"/>
    <w:rsid w:val="00796BAC"/>
    <w:rsid w:val="007977F5"/>
    <w:rsid w:val="007A03BA"/>
    <w:rsid w:val="007A15B5"/>
    <w:rsid w:val="007B33D4"/>
    <w:rsid w:val="007B4453"/>
    <w:rsid w:val="007B793D"/>
    <w:rsid w:val="007C28CF"/>
    <w:rsid w:val="007C49FA"/>
    <w:rsid w:val="007C716A"/>
    <w:rsid w:val="007D086F"/>
    <w:rsid w:val="007D3B26"/>
    <w:rsid w:val="007E1F1E"/>
    <w:rsid w:val="007E20AE"/>
    <w:rsid w:val="007E222B"/>
    <w:rsid w:val="007E2F34"/>
    <w:rsid w:val="007E5E38"/>
    <w:rsid w:val="007F6373"/>
    <w:rsid w:val="007F7699"/>
    <w:rsid w:val="0080500D"/>
    <w:rsid w:val="00813674"/>
    <w:rsid w:val="00816BE5"/>
    <w:rsid w:val="0082259D"/>
    <w:rsid w:val="00837E89"/>
    <w:rsid w:val="00846062"/>
    <w:rsid w:val="00850234"/>
    <w:rsid w:val="00852467"/>
    <w:rsid w:val="008527FA"/>
    <w:rsid w:val="00854CEF"/>
    <w:rsid w:val="00855EF2"/>
    <w:rsid w:val="0087599C"/>
    <w:rsid w:val="00887D87"/>
    <w:rsid w:val="0089135F"/>
    <w:rsid w:val="008929C3"/>
    <w:rsid w:val="008A64D2"/>
    <w:rsid w:val="008A7A8D"/>
    <w:rsid w:val="008B04D1"/>
    <w:rsid w:val="008B7C2F"/>
    <w:rsid w:val="008C0341"/>
    <w:rsid w:val="008C7477"/>
    <w:rsid w:val="008D417D"/>
    <w:rsid w:val="008E52BD"/>
    <w:rsid w:val="008E703A"/>
    <w:rsid w:val="008F22C7"/>
    <w:rsid w:val="008F239B"/>
    <w:rsid w:val="008F2DBA"/>
    <w:rsid w:val="008F5268"/>
    <w:rsid w:val="008F7952"/>
    <w:rsid w:val="0090150E"/>
    <w:rsid w:val="0090341F"/>
    <w:rsid w:val="009106B5"/>
    <w:rsid w:val="00911B6B"/>
    <w:rsid w:val="00916C8A"/>
    <w:rsid w:val="0092654F"/>
    <w:rsid w:val="00927BB4"/>
    <w:rsid w:val="00941BF5"/>
    <w:rsid w:val="0094295C"/>
    <w:rsid w:val="00961034"/>
    <w:rsid w:val="0096450C"/>
    <w:rsid w:val="00981228"/>
    <w:rsid w:val="009813CA"/>
    <w:rsid w:val="0098246E"/>
    <w:rsid w:val="00985EB3"/>
    <w:rsid w:val="009957CB"/>
    <w:rsid w:val="009962AC"/>
    <w:rsid w:val="009A1979"/>
    <w:rsid w:val="009A2557"/>
    <w:rsid w:val="009A7DE8"/>
    <w:rsid w:val="009B0384"/>
    <w:rsid w:val="009B6968"/>
    <w:rsid w:val="009C4537"/>
    <w:rsid w:val="009C67AD"/>
    <w:rsid w:val="009E3055"/>
    <w:rsid w:val="009E30F6"/>
    <w:rsid w:val="009E37FA"/>
    <w:rsid w:val="009E45A5"/>
    <w:rsid w:val="009E6346"/>
    <w:rsid w:val="00A00281"/>
    <w:rsid w:val="00A13B12"/>
    <w:rsid w:val="00A13BE0"/>
    <w:rsid w:val="00A14AD1"/>
    <w:rsid w:val="00A16910"/>
    <w:rsid w:val="00A30034"/>
    <w:rsid w:val="00A35A6C"/>
    <w:rsid w:val="00A47C36"/>
    <w:rsid w:val="00A50B64"/>
    <w:rsid w:val="00A513A0"/>
    <w:rsid w:val="00A52DC5"/>
    <w:rsid w:val="00A54515"/>
    <w:rsid w:val="00A57441"/>
    <w:rsid w:val="00A64F2B"/>
    <w:rsid w:val="00A6793B"/>
    <w:rsid w:val="00A85AF3"/>
    <w:rsid w:val="00A924FC"/>
    <w:rsid w:val="00A96CF7"/>
    <w:rsid w:val="00AA4291"/>
    <w:rsid w:val="00AA76D0"/>
    <w:rsid w:val="00AB54D3"/>
    <w:rsid w:val="00AB7CD1"/>
    <w:rsid w:val="00AC01D1"/>
    <w:rsid w:val="00AD0746"/>
    <w:rsid w:val="00AD13A3"/>
    <w:rsid w:val="00AD63D2"/>
    <w:rsid w:val="00AD63E2"/>
    <w:rsid w:val="00AE05ED"/>
    <w:rsid w:val="00AE0F8D"/>
    <w:rsid w:val="00AE6001"/>
    <w:rsid w:val="00AF24C7"/>
    <w:rsid w:val="00B06448"/>
    <w:rsid w:val="00B10801"/>
    <w:rsid w:val="00B13398"/>
    <w:rsid w:val="00B15674"/>
    <w:rsid w:val="00B20BCE"/>
    <w:rsid w:val="00B4450D"/>
    <w:rsid w:val="00B51841"/>
    <w:rsid w:val="00B5263E"/>
    <w:rsid w:val="00B52884"/>
    <w:rsid w:val="00B614A0"/>
    <w:rsid w:val="00B6235C"/>
    <w:rsid w:val="00B62B51"/>
    <w:rsid w:val="00B7416F"/>
    <w:rsid w:val="00B74405"/>
    <w:rsid w:val="00B80F21"/>
    <w:rsid w:val="00B90402"/>
    <w:rsid w:val="00B91123"/>
    <w:rsid w:val="00BA732E"/>
    <w:rsid w:val="00BA7364"/>
    <w:rsid w:val="00BB34BF"/>
    <w:rsid w:val="00BD5135"/>
    <w:rsid w:val="00BE0F96"/>
    <w:rsid w:val="00BE1ACD"/>
    <w:rsid w:val="00BE3E88"/>
    <w:rsid w:val="00BF5940"/>
    <w:rsid w:val="00C302BA"/>
    <w:rsid w:val="00C320C2"/>
    <w:rsid w:val="00C32234"/>
    <w:rsid w:val="00C36230"/>
    <w:rsid w:val="00C40A0F"/>
    <w:rsid w:val="00C41FFF"/>
    <w:rsid w:val="00C54033"/>
    <w:rsid w:val="00C64B4A"/>
    <w:rsid w:val="00C663DB"/>
    <w:rsid w:val="00C72595"/>
    <w:rsid w:val="00C745EE"/>
    <w:rsid w:val="00C84EC7"/>
    <w:rsid w:val="00C90044"/>
    <w:rsid w:val="00C90676"/>
    <w:rsid w:val="00C96621"/>
    <w:rsid w:val="00CA6029"/>
    <w:rsid w:val="00CB1F03"/>
    <w:rsid w:val="00CB419D"/>
    <w:rsid w:val="00CB4B10"/>
    <w:rsid w:val="00CD054F"/>
    <w:rsid w:val="00CE3860"/>
    <w:rsid w:val="00CE3E4C"/>
    <w:rsid w:val="00CF5AE2"/>
    <w:rsid w:val="00CF7A05"/>
    <w:rsid w:val="00D14614"/>
    <w:rsid w:val="00D14CAF"/>
    <w:rsid w:val="00D23A52"/>
    <w:rsid w:val="00D24489"/>
    <w:rsid w:val="00D26B61"/>
    <w:rsid w:val="00D31989"/>
    <w:rsid w:val="00D32C40"/>
    <w:rsid w:val="00D35169"/>
    <w:rsid w:val="00D41200"/>
    <w:rsid w:val="00D44F6C"/>
    <w:rsid w:val="00D51E2F"/>
    <w:rsid w:val="00D63433"/>
    <w:rsid w:val="00D63A60"/>
    <w:rsid w:val="00D8552F"/>
    <w:rsid w:val="00D863C4"/>
    <w:rsid w:val="00D86853"/>
    <w:rsid w:val="00D86ED4"/>
    <w:rsid w:val="00D873D2"/>
    <w:rsid w:val="00DA013C"/>
    <w:rsid w:val="00DA0CB9"/>
    <w:rsid w:val="00DA109F"/>
    <w:rsid w:val="00DA2209"/>
    <w:rsid w:val="00DB3FA8"/>
    <w:rsid w:val="00DD7E7D"/>
    <w:rsid w:val="00DE6E7B"/>
    <w:rsid w:val="00DF5E16"/>
    <w:rsid w:val="00DF6CD1"/>
    <w:rsid w:val="00DF7AA0"/>
    <w:rsid w:val="00E0034C"/>
    <w:rsid w:val="00E0524D"/>
    <w:rsid w:val="00E10155"/>
    <w:rsid w:val="00E111F9"/>
    <w:rsid w:val="00E17D38"/>
    <w:rsid w:val="00E35180"/>
    <w:rsid w:val="00E404B6"/>
    <w:rsid w:val="00E43A00"/>
    <w:rsid w:val="00E4669E"/>
    <w:rsid w:val="00E54D2E"/>
    <w:rsid w:val="00E60F6E"/>
    <w:rsid w:val="00E83416"/>
    <w:rsid w:val="00E838A1"/>
    <w:rsid w:val="00E84520"/>
    <w:rsid w:val="00E91A74"/>
    <w:rsid w:val="00E95A94"/>
    <w:rsid w:val="00E9603C"/>
    <w:rsid w:val="00E967FE"/>
    <w:rsid w:val="00EA076C"/>
    <w:rsid w:val="00EA7F73"/>
    <w:rsid w:val="00EB08A2"/>
    <w:rsid w:val="00EB3610"/>
    <w:rsid w:val="00EB4CEC"/>
    <w:rsid w:val="00EC4D0B"/>
    <w:rsid w:val="00EC7DC5"/>
    <w:rsid w:val="00ED15A9"/>
    <w:rsid w:val="00ED6F27"/>
    <w:rsid w:val="00EE18B9"/>
    <w:rsid w:val="00F00912"/>
    <w:rsid w:val="00F01247"/>
    <w:rsid w:val="00F03D3C"/>
    <w:rsid w:val="00F05003"/>
    <w:rsid w:val="00F05A86"/>
    <w:rsid w:val="00F11FF9"/>
    <w:rsid w:val="00F16B5E"/>
    <w:rsid w:val="00F17FBF"/>
    <w:rsid w:val="00F30271"/>
    <w:rsid w:val="00F36E5C"/>
    <w:rsid w:val="00F401D1"/>
    <w:rsid w:val="00F43945"/>
    <w:rsid w:val="00F54C53"/>
    <w:rsid w:val="00F55873"/>
    <w:rsid w:val="00F559A4"/>
    <w:rsid w:val="00F55CE2"/>
    <w:rsid w:val="00F57B42"/>
    <w:rsid w:val="00F64726"/>
    <w:rsid w:val="00F664AE"/>
    <w:rsid w:val="00F752D2"/>
    <w:rsid w:val="00F77CEB"/>
    <w:rsid w:val="00F86210"/>
    <w:rsid w:val="00F87A2C"/>
    <w:rsid w:val="00FA0014"/>
    <w:rsid w:val="00FB25A0"/>
    <w:rsid w:val="00FB3486"/>
    <w:rsid w:val="00FB35A7"/>
    <w:rsid w:val="00FB5079"/>
    <w:rsid w:val="00FC0961"/>
    <w:rsid w:val="00FC17B2"/>
    <w:rsid w:val="00FC2EB8"/>
    <w:rsid w:val="00FD093C"/>
    <w:rsid w:val="00FD6AD1"/>
    <w:rsid w:val="00FE3A7D"/>
    <w:rsid w:val="00FE57E5"/>
    <w:rsid w:val="00FE5D54"/>
    <w:rsid w:val="00FE7D49"/>
    <w:rsid w:val="00FF0005"/>
    <w:rsid w:val="0E3C5D15"/>
    <w:rsid w:val="12BB0749"/>
    <w:rsid w:val="29815194"/>
    <w:rsid w:val="2F2875F6"/>
    <w:rsid w:val="3382111E"/>
    <w:rsid w:val="379F7E5F"/>
    <w:rsid w:val="3E7B1339"/>
    <w:rsid w:val="3EEF0E4C"/>
    <w:rsid w:val="481D6A60"/>
    <w:rsid w:val="4C6D20F4"/>
    <w:rsid w:val="57B81F80"/>
    <w:rsid w:val="57FD5B34"/>
    <w:rsid w:val="5D0613DA"/>
    <w:rsid w:val="63B66C3A"/>
    <w:rsid w:val="64B777A6"/>
    <w:rsid w:val="6D05AB3F"/>
    <w:rsid w:val="71EB7DC7"/>
    <w:rsid w:val="73D7B874"/>
    <w:rsid w:val="76EC4824"/>
    <w:rsid w:val="771B0596"/>
    <w:rsid w:val="77EF3701"/>
    <w:rsid w:val="78FDB7E1"/>
    <w:rsid w:val="7A5345AE"/>
    <w:rsid w:val="7AFF2BE8"/>
    <w:rsid w:val="7BA7C37A"/>
    <w:rsid w:val="7EFE5A5F"/>
    <w:rsid w:val="7FBBF42C"/>
    <w:rsid w:val="7FF7DFDF"/>
    <w:rsid w:val="ABBD69D6"/>
    <w:rsid w:val="B7B5078C"/>
    <w:rsid w:val="EEFFA88D"/>
    <w:rsid w:val="EF5F99E8"/>
    <w:rsid w:val="EF7E981B"/>
    <w:rsid w:val="F5774FA9"/>
    <w:rsid w:val="FBFF8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jc w:val="left"/>
    </w:pPr>
  </w:style>
  <w:style w:type="paragraph" w:styleId="5">
    <w:name w:val="Body Text"/>
    <w:basedOn w:val="1"/>
    <w:next w:val="1"/>
    <w:unhideWhenUsed/>
    <w:qFormat/>
    <w:uiPriority w:val="99"/>
    <w:pPr>
      <w:jc w:val="center"/>
    </w:pPr>
    <w:rPr>
      <w:szCs w:val="20"/>
    </w:rPr>
  </w:style>
  <w:style w:type="paragraph" w:styleId="6">
    <w:name w:val="Body Text Indent"/>
    <w:basedOn w:val="1"/>
    <w:qFormat/>
    <w:uiPriority w:val="0"/>
    <w:pPr>
      <w:spacing w:after="120"/>
      <w:ind w:left="420" w:leftChars="200"/>
    </w:pPr>
    <w:rPr>
      <w:rFonts w:eastAsia="仿宋"/>
      <w:szCs w:val="32"/>
    </w:rPr>
  </w:style>
  <w:style w:type="paragraph" w:styleId="7">
    <w:name w:val="Balloon Text"/>
    <w:basedOn w:val="1"/>
    <w:link w:val="26"/>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footnote text"/>
    <w:basedOn w:val="1"/>
    <w:link w:val="31"/>
    <w:unhideWhenUsed/>
    <w:qFormat/>
    <w:uiPriority w:val="99"/>
    <w:pPr>
      <w:snapToGrid w:val="0"/>
      <w:jc w:val="left"/>
    </w:pPr>
    <w:rPr>
      <w:sz w:val="18"/>
      <w:szCs w:val="18"/>
    </w:rPr>
  </w:style>
  <w:style w:type="paragraph" w:styleId="12">
    <w:name w:val="toc 2"/>
    <w:basedOn w:val="1"/>
    <w:next w:val="1"/>
    <w:unhideWhenUsed/>
    <w:qFormat/>
    <w:uiPriority w:val="39"/>
    <w:pPr>
      <w:ind w:left="420" w:leftChars="200"/>
    </w:pPr>
  </w:style>
  <w:style w:type="paragraph" w:styleId="13">
    <w:name w:val="annotation subject"/>
    <w:basedOn w:val="4"/>
    <w:next w:val="4"/>
    <w:link w:val="25"/>
    <w:unhideWhenUsed/>
    <w:qFormat/>
    <w:uiPriority w:val="99"/>
    <w:rPr>
      <w:b/>
      <w:bCs/>
    </w:rPr>
  </w:style>
  <w:style w:type="paragraph" w:styleId="14">
    <w:name w:val="Body Text First Indent 2"/>
    <w:basedOn w:val="6"/>
    <w:next w:val="1"/>
    <w:unhideWhenUsed/>
    <w:qFormat/>
    <w:uiPriority w:val="99"/>
    <w:pPr>
      <w:ind w:firstLine="420"/>
    </w:pPr>
    <w:rPr>
      <w:szCs w:val="24"/>
    </w:rPr>
  </w:style>
  <w:style w:type="character" w:styleId="17">
    <w:name w:val="line number"/>
    <w:basedOn w:val="16"/>
    <w:unhideWhenUsed/>
    <w:qFormat/>
    <w:uiPriority w:val="99"/>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unhideWhenUsed/>
    <w:qFormat/>
    <w:uiPriority w:val="99"/>
    <w:rPr>
      <w:sz w:val="21"/>
      <w:szCs w:val="21"/>
    </w:rPr>
  </w:style>
  <w:style w:type="character" w:styleId="20">
    <w:name w:val="footnote reference"/>
    <w:basedOn w:val="16"/>
    <w:unhideWhenUsed/>
    <w:qFormat/>
    <w:uiPriority w:val="99"/>
    <w:rPr>
      <w:vertAlign w:val="superscript"/>
    </w:rPr>
  </w:style>
  <w:style w:type="character" w:customStyle="1" w:styleId="21">
    <w:name w:val="页眉 字符"/>
    <w:basedOn w:val="16"/>
    <w:link w:val="9"/>
    <w:qFormat/>
    <w:uiPriority w:val="99"/>
    <w:rPr>
      <w:sz w:val="18"/>
      <w:szCs w:val="18"/>
    </w:rPr>
  </w:style>
  <w:style w:type="character" w:customStyle="1" w:styleId="22">
    <w:name w:val="页脚 字符"/>
    <w:basedOn w:val="16"/>
    <w:link w:val="8"/>
    <w:qFormat/>
    <w:uiPriority w:val="99"/>
    <w:rPr>
      <w:sz w:val="18"/>
      <w:szCs w:val="18"/>
    </w:rPr>
  </w:style>
  <w:style w:type="paragraph" w:customStyle="1" w:styleId="23">
    <w:name w:val="列表段落1"/>
    <w:basedOn w:val="1"/>
    <w:qFormat/>
    <w:uiPriority w:val="34"/>
    <w:pPr>
      <w:ind w:firstLine="420" w:firstLineChars="200"/>
    </w:pPr>
  </w:style>
  <w:style w:type="character" w:customStyle="1" w:styleId="24">
    <w:name w:val="批注文字 字符"/>
    <w:basedOn w:val="16"/>
    <w:link w:val="4"/>
    <w:qFormat/>
    <w:uiPriority w:val="99"/>
  </w:style>
  <w:style w:type="character" w:customStyle="1" w:styleId="25">
    <w:name w:val="批注主题 字符"/>
    <w:basedOn w:val="24"/>
    <w:link w:val="13"/>
    <w:semiHidden/>
    <w:qFormat/>
    <w:uiPriority w:val="99"/>
    <w:rPr>
      <w:b/>
      <w:bCs/>
    </w:rPr>
  </w:style>
  <w:style w:type="character" w:customStyle="1" w:styleId="26">
    <w:name w:val="批注框文本 字符"/>
    <w:basedOn w:val="16"/>
    <w:link w:val="7"/>
    <w:semiHidden/>
    <w:qFormat/>
    <w:uiPriority w:val="99"/>
    <w:rPr>
      <w:sz w:val="18"/>
      <w:szCs w:val="18"/>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8">
    <w:name w:val="标题 1 字符"/>
    <w:basedOn w:val="16"/>
    <w:link w:val="2"/>
    <w:qFormat/>
    <w:uiPriority w:val="9"/>
    <w:rPr>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sz w:val="32"/>
      <w:szCs w:val="32"/>
    </w:rPr>
  </w:style>
  <w:style w:type="paragraph" w:customStyle="1" w:styleId="3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14:ligatures w14:val="none"/>
    </w:rPr>
  </w:style>
  <w:style w:type="character" w:customStyle="1" w:styleId="31">
    <w:name w:val="脚注文本 字符"/>
    <w:basedOn w:val="16"/>
    <w:link w:val="11"/>
    <w:semiHidden/>
    <w:qFormat/>
    <w:uiPriority w:val="99"/>
    <w:rPr>
      <w:sz w:val="18"/>
      <w:szCs w:val="18"/>
    </w:rPr>
  </w:style>
  <w:style w:type="character" w:customStyle="1" w:styleId="32">
    <w:name w:val="fontstyle01"/>
    <w:basedOn w:val="16"/>
    <w:qFormat/>
    <w:uiPriority w:val="0"/>
    <w:rPr>
      <w:rFonts w:hint="eastAsia" w:ascii="仿宋_GB2312" w:eastAsia="仿宋_GB2312"/>
      <w:color w:val="000000"/>
      <w:sz w:val="32"/>
      <w:szCs w:val="32"/>
    </w:rPr>
  </w:style>
  <w:style w:type="paragraph" w:customStyle="1" w:styleId="33">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4672</Words>
  <Characters>4709</Characters>
  <Lines>34</Lines>
  <Paragraphs>9</Paragraphs>
  <TotalTime>16</TotalTime>
  <ScaleCrop>false</ScaleCrop>
  <LinksUpToDate>false</LinksUpToDate>
  <CharactersWithSpaces>4718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2025-07-04T08:38:00Z</dcterms:created>
  <dc:creator>1 tang</dc:creator>
  <cp:lastModifiedBy>喵小喵</cp:lastModifiedBy>
  <cp:lastPrinted>2025-05-25T02:03:00Z</cp:lastPrinted>
  <dcterms:modified xsi:type="dcterms:W3CDTF">2025-08-15T08:12:13Z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D39294F16AC94F069929584976D87220</vt:lpwstr>
  </property>
</Properties>
</file>