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beforeAutospacing="0" w:line="3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beforeAutospacing="0"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年营业收入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亿元以上工业企业</w:t>
      </w:r>
    </w:p>
    <w:tbl>
      <w:tblPr>
        <w:tblStyle w:val="5"/>
        <w:tblpPr w:leftFromText="180" w:rightFromText="180" w:vertAnchor="text" w:horzAnchor="page" w:tblpX="1487" w:tblpY="866"/>
        <w:tblOverlap w:val="never"/>
        <w:tblW w:w="97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00"/>
        <w:gridCol w:w="1076"/>
        <w:gridCol w:w="1054"/>
        <w:gridCol w:w="1077"/>
        <w:gridCol w:w="788"/>
        <w:gridCol w:w="1065"/>
        <w:gridCol w:w="1077"/>
        <w:gridCol w:w="962"/>
        <w:gridCol w:w="1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tblHeader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</w:rPr>
              <w:t>区域</w:t>
            </w: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1亿元以上企业（含）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5亿元以上企业（含）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spacing w:val="-11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 w:val="20"/>
                <w:szCs w:val="22"/>
                <w:lang w:val="en-US" w:eastAsia="zh-CN"/>
              </w:rPr>
              <w:t>10亿元以上企业（含）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tblHeader/>
        </w:trPr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数量（个）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2023年“四化”改造预期覆盖率（%）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2024年“四化”改造预期覆盖率（%）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年“四化”改造预期覆盖率（%）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数量（个）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2023年“四化”改造预期覆盖率（%）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2024年“四化”改造预期覆盖率（%）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（个）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en-US" w:eastAsia="zh-CN"/>
              </w:rPr>
              <w:t>2023年“四化”改造预期覆盖率（%）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合 肥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淮 北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亳 州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宿 州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蚌 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阜 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淮 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滁 州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六 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11"/>
                <w:kern w:val="0"/>
                <w:sz w:val="21"/>
                <w:szCs w:val="21"/>
              </w:rPr>
              <w:t>马鞍山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芜 湖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宣 城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铜 陵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池 州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安 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黄 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beforeAutospacing="0"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实施“四化”改造计划</w:t>
      </w:r>
    </w:p>
    <w:p>
      <w:r>
        <w:rPr>
          <w:rFonts w:hint="default" w:ascii="Times New Roman" w:hAnsi="Times New Roman" w:eastAsia="黑体" w:cs="Times New Roman"/>
          <w:kern w:val="0"/>
          <w:sz w:val="20"/>
          <w:szCs w:val="22"/>
          <w:lang w:val="en-US" w:eastAsia="zh-CN"/>
        </w:rPr>
        <w:t>注</w:t>
      </w:r>
      <w:r>
        <w:rPr>
          <w:rFonts w:hint="eastAsia" w:ascii="Times New Roman" w:hAnsi="Times New Roman" w:eastAsia="黑体" w:cs="Times New Roman"/>
          <w:kern w:val="0"/>
          <w:sz w:val="20"/>
          <w:szCs w:val="22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i w:val="0"/>
          <w:iCs w:val="0"/>
          <w:kern w:val="0"/>
          <w:sz w:val="20"/>
          <w:szCs w:val="22"/>
          <w:lang w:val="en-US" w:eastAsia="zh-CN" w:bidi="ar"/>
        </w:rPr>
        <w:t>“四化”改造标准：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20"/>
          <w:szCs w:val="22"/>
          <w:lang w:val="en-US" w:eastAsia="zh-CN" w:bidi="ar"/>
        </w:rPr>
        <w:t>1.企业实施生产线“四化”改造1条（含）以上；</w:t>
      </w:r>
      <w:r>
        <w:rPr>
          <w:rFonts w:hint="default" w:ascii="Times New Roman" w:hAnsi="Times New Roman" w:eastAsia="黑体" w:cs="Times New Roman"/>
          <w:kern w:val="0"/>
          <w:sz w:val="20"/>
          <w:szCs w:val="22"/>
          <w:lang w:val="en-US" w:eastAsia="zh-CN"/>
        </w:rPr>
        <w:t>2.打通生产线数据链，实现设备间数据交互与协同生产，形成全过程数字化管控</w:t>
      </w:r>
      <w:r>
        <w:rPr>
          <w:rFonts w:hint="default" w:ascii="Times New Roman" w:hAnsi="Times New Roman" w:eastAsia="黑体" w:cs="Times New Roman"/>
          <w:i w:val="0"/>
          <w:iCs w:val="0"/>
          <w:kern w:val="0"/>
          <w:sz w:val="20"/>
          <w:szCs w:val="22"/>
          <w:lang w:val="en-US" w:eastAsia="zh-CN" w:bidi="ar"/>
        </w:rPr>
        <w:t>；</w:t>
      </w:r>
      <w:r>
        <w:rPr>
          <w:rFonts w:hint="default" w:ascii="Times New Roman" w:hAnsi="Times New Roman" w:eastAsia="黑体" w:cs="Times New Roman"/>
          <w:kern w:val="0"/>
          <w:sz w:val="20"/>
          <w:szCs w:val="22"/>
          <w:lang w:val="en-US" w:eastAsia="zh-CN"/>
        </w:rPr>
        <w:t>3.企业节能降碳减排或综合利用水平明显提升。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DhkMjlkMDI1OWYxNTMxZWEwNmZiNzRlZDk0ZTYifQ=="/>
  </w:docVars>
  <w:rsids>
    <w:rsidRoot w:val="190D4F7C"/>
    <w:rsid w:val="190D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4">
    <w:name w:val="Body Text Indent"/>
    <w:basedOn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2022-08-10T10:49:00Z</dcterms:created>
  <dc:creator>文武</dc:creator>
  <cp:lastModifiedBy>文武</cp:lastModifiedBy>
  <dcterms:modified xsi:type="dcterms:W3CDTF">2022-08-10T10:50:07Z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EB1218423AED4259A41DE433D9443362</vt:lpwstr>
  </property>
</Properties>
</file>