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32"/>
          <w:szCs w:val="32"/>
        </w:rPr>
      </w:pPr>
      <w:bookmarkStart w:id="0" w:name="_GoBack"/>
      <w:bookmarkEnd w:id="0"/>
      <w:r>
        <w:rPr>
          <w:rFonts w:hint="eastAsia" w:ascii="宋体" w:hAnsi="宋体" w:eastAsia="宋体" w:cs="宋体"/>
          <w:sz w:val="32"/>
          <w:szCs w:val="32"/>
        </w:rPr>
        <w:t>附表3</w:t>
      </w:r>
    </w:p>
    <w:p>
      <w:pPr>
        <w:jc w:val="center"/>
        <w:rPr>
          <w:rFonts w:ascii="宋体" w:hAnsi="宋体" w:eastAsia="宋体" w:cs="宋体"/>
          <w:sz w:val="32"/>
          <w:szCs w:val="32"/>
        </w:rPr>
      </w:pPr>
      <w:r>
        <w:rPr>
          <w:rFonts w:ascii="宋体" w:hAnsi="宋体" w:eastAsia="宋体" w:cs="宋体"/>
          <w:sz w:val="32"/>
          <w:szCs w:val="32"/>
        </w:rPr>
        <w:t>血吸虫病消除标准要求及工作指标释义</w:t>
      </w:r>
    </w:p>
    <w:tbl>
      <w:tblPr>
        <w:tblStyle w:val="10"/>
        <w:tblW w:w="14567" w:type="dxa"/>
        <w:tblInd w:w="26" w:type="dxa"/>
        <w:tblLayout w:type="fixed"/>
        <w:tblCellMar>
          <w:top w:w="0" w:type="dxa"/>
          <w:left w:w="108" w:type="dxa"/>
          <w:bottom w:w="0" w:type="dxa"/>
          <w:right w:w="108" w:type="dxa"/>
        </w:tblCellMar>
      </w:tblPr>
      <w:tblGrid>
        <w:gridCol w:w="584"/>
        <w:gridCol w:w="1650"/>
        <w:gridCol w:w="1912"/>
        <w:gridCol w:w="1338"/>
        <w:gridCol w:w="9083"/>
      </w:tblGrid>
      <w:tr>
        <w:tblPrEx>
          <w:tblCellMar>
            <w:top w:w="0" w:type="dxa"/>
            <w:left w:w="108" w:type="dxa"/>
            <w:bottom w:w="0" w:type="dxa"/>
            <w:right w:w="108" w:type="dxa"/>
          </w:tblCellMar>
        </w:tblPrEx>
        <w:trPr>
          <w:trHeight w:val="148"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编号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工作指标及相关标准</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8"/>
                <w:szCs w:val="28"/>
              </w:rPr>
            </w:pPr>
            <w:r>
              <w:rPr>
                <w:rFonts w:hint="eastAsia" w:ascii="宋体" w:hAnsi="宋体" w:eastAsia="宋体" w:cs="宋体"/>
                <w:kern w:val="0"/>
                <w:sz w:val="28"/>
                <w:szCs w:val="28"/>
              </w:rPr>
              <w:t>分子</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8"/>
                <w:szCs w:val="28"/>
              </w:rPr>
            </w:pPr>
            <w:r>
              <w:rPr>
                <w:rFonts w:hint="eastAsia" w:ascii="宋体" w:hAnsi="宋体" w:eastAsia="宋体" w:cs="宋体"/>
                <w:kern w:val="0"/>
                <w:sz w:val="28"/>
                <w:szCs w:val="28"/>
              </w:rPr>
              <w:t>分母</w:t>
            </w:r>
          </w:p>
        </w:tc>
        <w:tc>
          <w:tcPr>
            <w:tcW w:w="9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8"/>
                <w:szCs w:val="28"/>
              </w:rPr>
            </w:pPr>
            <w:r>
              <w:rPr>
                <w:rFonts w:hint="eastAsia" w:ascii="宋体" w:hAnsi="宋体" w:eastAsia="宋体" w:cs="宋体"/>
                <w:kern w:val="0"/>
                <w:sz w:val="28"/>
                <w:szCs w:val="28"/>
              </w:rPr>
              <w:t>备注</w:t>
            </w:r>
          </w:p>
        </w:tc>
      </w:tr>
      <w:tr>
        <w:tblPrEx>
          <w:tblCellMar>
            <w:top w:w="0" w:type="dxa"/>
            <w:left w:w="108" w:type="dxa"/>
            <w:bottom w:w="0" w:type="dxa"/>
            <w:right w:w="108" w:type="dxa"/>
          </w:tblCellMar>
        </w:tblPrEx>
        <w:trPr>
          <w:trHeight w:val="96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8"/>
                <w:szCs w:val="28"/>
              </w:rPr>
            </w:pPr>
            <w:r>
              <w:rPr>
                <w:rFonts w:hint="eastAsia" w:ascii="宋体" w:hAnsi="宋体" w:eastAsia="宋体" w:cs="宋体"/>
                <w:kern w:val="0"/>
                <w:sz w:val="28"/>
                <w:szCs w:val="28"/>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传播阻断标准</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w:t>
            </w:r>
          </w:p>
        </w:tc>
        <w:tc>
          <w:tcPr>
            <w:tcW w:w="9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应同时符合下列各项：连续5年未发现当地感染的血吸虫病病人；连续5年未发现当地感染的血吸虫病病畜；连续5年以上查不到感染性钉螺；以县为单位，建立和健全敏感有效的血吸虫病监测体系。</w:t>
            </w:r>
          </w:p>
        </w:tc>
      </w:tr>
      <w:tr>
        <w:tblPrEx>
          <w:tblCellMar>
            <w:top w:w="0" w:type="dxa"/>
            <w:left w:w="108" w:type="dxa"/>
            <w:bottom w:w="0" w:type="dxa"/>
            <w:right w:w="108" w:type="dxa"/>
          </w:tblCellMar>
        </w:tblPrEx>
        <w:trPr>
          <w:trHeight w:val="9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8"/>
                <w:szCs w:val="28"/>
              </w:rPr>
            </w:pPr>
            <w:r>
              <w:rPr>
                <w:rFonts w:hint="eastAsia" w:ascii="宋体" w:hAnsi="宋体" w:eastAsia="宋体" w:cs="宋体"/>
                <w:kern w:val="0"/>
                <w:sz w:val="28"/>
                <w:szCs w:val="28"/>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消除标准</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w:t>
            </w:r>
          </w:p>
        </w:tc>
        <w:tc>
          <w:tcPr>
            <w:tcW w:w="9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达到传播阻断要求后，连续5年未发现当地感染的血吸虫病病人、病畜和感染性钉螺。</w:t>
            </w:r>
          </w:p>
        </w:tc>
      </w:tr>
      <w:tr>
        <w:tblPrEx>
          <w:tblCellMar>
            <w:top w:w="0" w:type="dxa"/>
            <w:left w:w="108" w:type="dxa"/>
            <w:bottom w:w="0" w:type="dxa"/>
            <w:right w:w="108" w:type="dxa"/>
          </w:tblCellMar>
        </w:tblPrEx>
        <w:trPr>
          <w:trHeight w:val="9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8"/>
                <w:szCs w:val="28"/>
              </w:rPr>
            </w:pPr>
            <w:r>
              <w:rPr>
                <w:rFonts w:hint="eastAsia" w:ascii="宋体" w:hAnsi="宋体" w:eastAsia="宋体" w:cs="宋体"/>
                <w:kern w:val="0"/>
                <w:sz w:val="28"/>
                <w:szCs w:val="28"/>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人群血检阳性者粪检受检率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血检阳性者粪检人数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血检阳性人数</w:t>
            </w:r>
          </w:p>
        </w:tc>
        <w:tc>
          <w:tcPr>
            <w:tcW w:w="9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b/>
                <w:bCs/>
                <w:kern w:val="0"/>
                <w:sz w:val="28"/>
                <w:szCs w:val="28"/>
              </w:rPr>
              <w:t>血检阳性人数</w:t>
            </w:r>
            <w:r>
              <w:rPr>
                <w:rFonts w:hint="eastAsia" w:ascii="宋体" w:hAnsi="宋体" w:eastAsia="宋体" w:cs="宋体"/>
                <w:kern w:val="0"/>
                <w:sz w:val="28"/>
                <w:szCs w:val="28"/>
              </w:rPr>
              <w:t>：血吸虫病流行区开展血吸虫病血清学检查且结果为阳性的人数。</w:t>
            </w:r>
            <w:r>
              <w:rPr>
                <w:rFonts w:hint="eastAsia" w:ascii="宋体" w:hAnsi="宋体" w:eastAsia="宋体" w:cs="宋体"/>
                <w:kern w:val="0"/>
                <w:sz w:val="28"/>
                <w:szCs w:val="28"/>
              </w:rPr>
              <w:br w:type="textWrapping"/>
            </w:r>
            <w:r>
              <w:rPr>
                <w:rFonts w:hint="eastAsia" w:ascii="宋体" w:hAnsi="宋体" w:eastAsia="宋体" w:cs="宋体"/>
                <w:b/>
                <w:bCs/>
                <w:kern w:val="0"/>
                <w:sz w:val="28"/>
                <w:szCs w:val="28"/>
              </w:rPr>
              <w:t>血检阳性者粪检人数</w:t>
            </w:r>
            <w:r>
              <w:rPr>
                <w:rFonts w:hint="eastAsia" w:ascii="宋体" w:hAnsi="宋体" w:eastAsia="宋体" w:cs="宋体"/>
                <w:kern w:val="0"/>
                <w:sz w:val="28"/>
                <w:szCs w:val="28"/>
              </w:rPr>
              <w:t>：血清学检查阳性的人群中进行血吸虫病粪便检查的人数。</w:t>
            </w:r>
          </w:p>
        </w:tc>
      </w:tr>
      <w:tr>
        <w:tblPrEx>
          <w:tblCellMar>
            <w:top w:w="0" w:type="dxa"/>
            <w:left w:w="108" w:type="dxa"/>
            <w:bottom w:w="0" w:type="dxa"/>
            <w:right w:w="108" w:type="dxa"/>
          </w:tblCellMar>
        </w:tblPrEx>
        <w:trPr>
          <w:trHeight w:val="81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8"/>
                <w:szCs w:val="28"/>
              </w:rPr>
            </w:pPr>
            <w:r>
              <w:rPr>
                <w:rFonts w:hint="eastAsia" w:ascii="宋体" w:hAnsi="宋体" w:eastAsia="宋体" w:cs="宋体"/>
                <w:kern w:val="0"/>
                <w:sz w:val="28"/>
                <w:szCs w:val="28"/>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家畜血吸虫病筛查率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实际筛查家畜数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应筛查家畜数</w:t>
            </w:r>
          </w:p>
        </w:tc>
        <w:tc>
          <w:tcPr>
            <w:tcW w:w="9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b/>
                <w:bCs/>
                <w:kern w:val="0"/>
                <w:sz w:val="28"/>
                <w:szCs w:val="28"/>
              </w:rPr>
              <w:t>应筛查家畜数</w:t>
            </w:r>
            <w:r>
              <w:rPr>
                <w:rFonts w:hint="eastAsia" w:ascii="宋体" w:hAnsi="宋体" w:eastAsia="宋体" w:cs="宋体"/>
                <w:kern w:val="0"/>
                <w:sz w:val="28"/>
                <w:szCs w:val="28"/>
              </w:rPr>
              <w:t>：血吸虫病流行区有螺环境放牧的牛、羊头(只)数。</w:t>
            </w:r>
            <w:r>
              <w:rPr>
                <w:rFonts w:hint="eastAsia" w:ascii="宋体" w:hAnsi="宋体" w:eastAsia="宋体" w:cs="宋体"/>
                <w:kern w:val="0"/>
                <w:sz w:val="28"/>
                <w:szCs w:val="28"/>
              </w:rPr>
              <w:br w:type="textWrapping"/>
            </w:r>
            <w:r>
              <w:rPr>
                <w:rFonts w:hint="eastAsia" w:ascii="宋体" w:hAnsi="宋体" w:eastAsia="宋体" w:cs="宋体"/>
                <w:b/>
                <w:bCs/>
                <w:kern w:val="0"/>
                <w:sz w:val="28"/>
                <w:szCs w:val="28"/>
              </w:rPr>
              <w:t>实际筛查家畜数</w:t>
            </w:r>
            <w:r>
              <w:rPr>
                <w:rFonts w:hint="eastAsia" w:ascii="宋体" w:hAnsi="宋体" w:eastAsia="宋体" w:cs="宋体"/>
                <w:kern w:val="0"/>
                <w:sz w:val="28"/>
                <w:szCs w:val="28"/>
              </w:rPr>
              <w:t>：应筛查牛、羊头(只)数中实际开展血吸虫病检测的牛、羊头(只)数。</w:t>
            </w:r>
          </w:p>
        </w:tc>
      </w:tr>
      <w:tr>
        <w:tblPrEx>
          <w:tblCellMar>
            <w:top w:w="0" w:type="dxa"/>
            <w:left w:w="108" w:type="dxa"/>
            <w:bottom w:w="0" w:type="dxa"/>
            <w:right w:w="108" w:type="dxa"/>
          </w:tblCellMar>
        </w:tblPrEx>
        <w:trPr>
          <w:trHeight w:val="9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8"/>
                <w:szCs w:val="28"/>
              </w:rPr>
            </w:pPr>
            <w:r>
              <w:rPr>
                <w:rFonts w:hint="eastAsia" w:ascii="宋体" w:hAnsi="宋体" w:eastAsia="宋体" w:cs="宋体"/>
                <w:kern w:val="0"/>
                <w:sz w:val="28"/>
                <w:szCs w:val="28"/>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重点有螺环境禁牧率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禁牧的重点有螺环境处数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重点有螺环境处数</w:t>
            </w:r>
          </w:p>
        </w:tc>
        <w:tc>
          <w:tcPr>
            <w:tcW w:w="9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b/>
                <w:bCs/>
                <w:kern w:val="0"/>
                <w:sz w:val="28"/>
                <w:szCs w:val="28"/>
              </w:rPr>
              <w:t>重点有螺环境处数</w:t>
            </w:r>
            <w:r>
              <w:rPr>
                <w:rFonts w:hint="eastAsia" w:ascii="宋体" w:hAnsi="宋体" w:eastAsia="宋体" w:cs="宋体"/>
                <w:kern w:val="0"/>
                <w:sz w:val="28"/>
                <w:szCs w:val="28"/>
              </w:rPr>
              <w:t>：人畜可及且有钉螺孳生的环境数。</w:t>
            </w:r>
            <w:r>
              <w:rPr>
                <w:rFonts w:hint="eastAsia" w:ascii="宋体" w:hAnsi="宋体" w:eastAsia="宋体" w:cs="宋体"/>
                <w:kern w:val="0"/>
                <w:sz w:val="28"/>
                <w:szCs w:val="28"/>
              </w:rPr>
              <w:br w:type="textWrapping"/>
            </w:r>
            <w:r>
              <w:rPr>
                <w:rFonts w:hint="eastAsia" w:ascii="宋体" w:hAnsi="宋体" w:eastAsia="宋体" w:cs="宋体"/>
                <w:b/>
                <w:bCs/>
                <w:kern w:val="0"/>
                <w:sz w:val="28"/>
                <w:szCs w:val="28"/>
              </w:rPr>
              <w:t>禁牧的重点有螺环境处数</w:t>
            </w:r>
            <w:r>
              <w:rPr>
                <w:rFonts w:hint="eastAsia" w:ascii="宋体" w:hAnsi="宋体" w:eastAsia="宋体" w:cs="宋体"/>
                <w:kern w:val="0"/>
                <w:sz w:val="28"/>
                <w:szCs w:val="28"/>
              </w:rPr>
              <w:t>：落实禁牧措施的重点有螺环境数。</w:t>
            </w:r>
          </w:p>
        </w:tc>
      </w:tr>
      <w:tr>
        <w:tblPrEx>
          <w:tblCellMar>
            <w:top w:w="0" w:type="dxa"/>
            <w:left w:w="108" w:type="dxa"/>
            <w:bottom w:w="0" w:type="dxa"/>
            <w:right w:w="108" w:type="dxa"/>
          </w:tblCellMar>
        </w:tblPrEx>
        <w:trPr>
          <w:trHeight w:val="9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8"/>
                <w:szCs w:val="28"/>
              </w:rPr>
            </w:pPr>
            <w:r>
              <w:rPr>
                <w:rFonts w:hint="eastAsia" w:ascii="宋体" w:hAnsi="宋体" w:eastAsia="宋体" w:cs="宋体"/>
                <w:kern w:val="0"/>
                <w:sz w:val="28"/>
                <w:szCs w:val="28"/>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重点有螺环境灭螺覆盖率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重点有螺环境实际灭螺面积</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应灭螺的重点有螺环境钉螺面积</w:t>
            </w:r>
          </w:p>
        </w:tc>
        <w:tc>
          <w:tcPr>
            <w:tcW w:w="9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b/>
                <w:bCs/>
                <w:kern w:val="0"/>
                <w:sz w:val="28"/>
                <w:szCs w:val="28"/>
              </w:rPr>
              <w:t>应灭螺的重点有螺环境钉螺面积</w:t>
            </w:r>
            <w:r>
              <w:rPr>
                <w:rFonts w:hint="eastAsia" w:ascii="宋体" w:hAnsi="宋体" w:eastAsia="宋体" w:cs="宋体"/>
                <w:kern w:val="0"/>
                <w:sz w:val="28"/>
                <w:szCs w:val="28"/>
              </w:rPr>
              <w:t>：人畜可及且适于灭螺的有螺环境的钉螺实有面积。</w:t>
            </w:r>
            <w:r>
              <w:rPr>
                <w:rFonts w:hint="eastAsia" w:ascii="宋体" w:hAnsi="宋体" w:eastAsia="宋体" w:cs="宋体"/>
                <w:kern w:val="0"/>
                <w:sz w:val="28"/>
                <w:szCs w:val="28"/>
              </w:rPr>
              <w:br w:type="textWrapping"/>
            </w:r>
            <w:r>
              <w:rPr>
                <w:rFonts w:hint="eastAsia" w:ascii="宋体" w:hAnsi="宋体" w:eastAsia="宋体" w:cs="宋体"/>
                <w:b/>
                <w:bCs/>
                <w:kern w:val="0"/>
                <w:sz w:val="28"/>
                <w:szCs w:val="28"/>
              </w:rPr>
              <w:t>重点有螺环境实际灭螺面积</w:t>
            </w:r>
            <w:r>
              <w:rPr>
                <w:rFonts w:hint="eastAsia" w:ascii="宋体" w:hAnsi="宋体" w:eastAsia="宋体" w:cs="宋体"/>
                <w:kern w:val="0"/>
                <w:sz w:val="28"/>
                <w:szCs w:val="28"/>
              </w:rPr>
              <w:t>：应灭螺的重点有螺环境实有钉螺面积中实际开展灭螺的面积。</w:t>
            </w:r>
          </w:p>
        </w:tc>
      </w:tr>
      <w:tr>
        <w:tblPrEx>
          <w:tblCellMar>
            <w:top w:w="0" w:type="dxa"/>
            <w:left w:w="108" w:type="dxa"/>
            <w:bottom w:w="0" w:type="dxa"/>
            <w:right w:w="108" w:type="dxa"/>
          </w:tblCellMar>
        </w:tblPrEx>
        <w:trPr>
          <w:trHeight w:val="80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有螺通江河道治理覆盖率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重点有螺通江河道治理的条数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重点有螺通江河道的条数</w:t>
            </w:r>
          </w:p>
        </w:tc>
        <w:tc>
          <w:tcPr>
            <w:tcW w:w="9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b/>
                <w:bCs/>
                <w:kern w:val="0"/>
                <w:sz w:val="28"/>
                <w:szCs w:val="28"/>
              </w:rPr>
              <w:t>重点有螺通江河道的条数</w:t>
            </w:r>
            <w:r>
              <w:rPr>
                <w:rFonts w:hint="eastAsia" w:ascii="宋体" w:hAnsi="宋体" w:eastAsia="宋体" w:cs="宋体"/>
                <w:kern w:val="0"/>
                <w:sz w:val="28"/>
                <w:szCs w:val="28"/>
              </w:rPr>
              <w:t>：螺情严重、影响范围大且对血吸虫病流行有较大影响的通江河道条数。</w:t>
            </w:r>
            <w:r>
              <w:rPr>
                <w:rFonts w:hint="eastAsia" w:ascii="宋体" w:hAnsi="宋体" w:eastAsia="宋体" w:cs="宋体"/>
                <w:kern w:val="0"/>
                <w:sz w:val="28"/>
                <w:szCs w:val="28"/>
              </w:rPr>
              <w:br w:type="textWrapping"/>
            </w:r>
            <w:r>
              <w:rPr>
                <w:rFonts w:hint="eastAsia" w:ascii="宋体" w:hAnsi="宋体" w:eastAsia="宋体" w:cs="宋体"/>
                <w:b/>
                <w:bCs/>
                <w:kern w:val="0"/>
                <w:sz w:val="28"/>
                <w:szCs w:val="28"/>
              </w:rPr>
              <w:t>重点有螺通江河道治理的条数</w:t>
            </w:r>
            <w:r>
              <w:rPr>
                <w:rFonts w:hint="eastAsia" w:ascii="宋体" w:hAnsi="宋体" w:eastAsia="宋体" w:cs="宋体"/>
                <w:kern w:val="0"/>
                <w:sz w:val="28"/>
                <w:szCs w:val="28"/>
              </w:rPr>
              <w:t>：因地制宜采取护坡、吹填、涵闸改造、抬洲降滩等血吸虫病防治措施所治理的重点有螺通江河道条数。</w:t>
            </w:r>
          </w:p>
        </w:tc>
      </w:tr>
      <w:tr>
        <w:tblPrEx>
          <w:tblCellMar>
            <w:top w:w="0" w:type="dxa"/>
            <w:left w:w="108" w:type="dxa"/>
            <w:bottom w:w="0" w:type="dxa"/>
            <w:right w:w="108" w:type="dxa"/>
          </w:tblCellMar>
        </w:tblPrEx>
        <w:trPr>
          <w:trHeight w:val="10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抑螺防病林草覆盖率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抑螺防病林草面积</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适宜造林植草区域的钉螺面积</w:t>
            </w:r>
          </w:p>
        </w:tc>
        <w:tc>
          <w:tcPr>
            <w:tcW w:w="9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b/>
                <w:bCs/>
                <w:kern w:val="0"/>
                <w:sz w:val="28"/>
                <w:szCs w:val="28"/>
              </w:rPr>
              <w:t>适宜造林植草区域钉螺面积</w:t>
            </w:r>
            <w:r>
              <w:rPr>
                <w:rFonts w:hint="eastAsia" w:ascii="宋体" w:hAnsi="宋体" w:eastAsia="宋体" w:cs="宋体"/>
                <w:kern w:val="0"/>
                <w:sz w:val="28"/>
                <w:szCs w:val="28"/>
              </w:rPr>
              <w:t>：在血吸虫病流行区适宜造林（水淹期小于60天）植草的区域的实有钉螺面积。</w:t>
            </w:r>
            <w:r>
              <w:rPr>
                <w:rFonts w:hint="eastAsia" w:ascii="宋体" w:hAnsi="宋体" w:eastAsia="宋体" w:cs="宋体"/>
                <w:kern w:val="0"/>
                <w:sz w:val="28"/>
                <w:szCs w:val="28"/>
              </w:rPr>
              <w:br w:type="textWrapping"/>
            </w:r>
            <w:r>
              <w:rPr>
                <w:rFonts w:hint="eastAsia" w:ascii="宋体" w:hAnsi="宋体" w:eastAsia="宋体" w:cs="宋体"/>
                <w:b/>
                <w:bCs/>
                <w:kern w:val="0"/>
                <w:sz w:val="28"/>
                <w:szCs w:val="28"/>
              </w:rPr>
              <w:t>抑螺防病林面积</w:t>
            </w:r>
            <w:r>
              <w:rPr>
                <w:rFonts w:hint="eastAsia" w:ascii="宋体" w:hAnsi="宋体" w:eastAsia="宋体" w:cs="宋体"/>
                <w:kern w:val="0"/>
                <w:sz w:val="28"/>
                <w:szCs w:val="28"/>
              </w:rPr>
              <w:t>：在适宜造林植草区域的实有钉螺面积内为抑螺成效提升改造形成的以抑螺防病为主的林草面积。</w:t>
            </w:r>
          </w:p>
        </w:tc>
      </w:tr>
      <w:tr>
        <w:tblPrEx>
          <w:tblCellMar>
            <w:top w:w="0" w:type="dxa"/>
            <w:left w:w="108" w:type="dxa"/>
            <w:bottom w:w="0" w:type="dxa"/>
            <w:right w:w="108" w:type="dxa"/>
          </w:tblCellMar>
        </w:tblPrEx>
        <w:trPr>
          <w:trHeight w:val="538"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血吸虫病病人随访率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随访血吸虫病病人数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在册血吸虫病病人数</w:t>
            </w:r>
          </w:p>
        </w:tc>
        <w:tc>
          <w:tcPr>
            <w:tcW w:w="9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b/>
                <w:bCs/>
                <w:kern w:val="0"/>
                <w:sz w:val="28"/>
                <w:szCs w:val="28"/>
              </w:rPr>
              <w:t>在册血吸虫病病人数：</w:t>
            </w:r>
            <w:r>
              <w:rPr>
                <w:rFonts w:hint="eastAsia" w:ascii="宋体" w:hAnsi="宋体" w:eastAsia="宋体" w:cs="宋体"/>
                <w:kern w:val="0"/>
                <w:sz w:val="28"/>
                <w:szCs w:val="28"/>
              </w:rPr>
              <w:t>登记在册的血吸虫病病人数，包括急性、慢性及晚期病人数。</w:t>
            </w:r>
            <w:r>
              <w:rPr>
                <w:rFonts w:hint="eastAsia" w:ascii="宋体" w:hAnsi="宋体" w:eastAsia="宋体" w:cs="宋体"/>
                <w:kern w:val="0"/>
                <w:sz w:val="28"/>
                <w:szCs w:val="28"/>
              </w:rPr>
              <w:br w:type="textWrapping"/>
            </w:r>
            <w:r>
              <w:rPr>
                <w:rFonts w:hint="eastAsia" w:ascii="宋体" w:hAnsi="宋体" w:eastAsia="宋体" w:cs="宋体"/>
                <w:b/>
                <w:bCs/>
                <w:kern w:val="0"/>
                <w:sz w:val="28"/>
                <w:szCs w:val="28"/>
              </w:rPr>
              <w:t>随访血吸虫病病人数</w:t>
            </w:r>
            <w:r>
              <w:rPr>
                <w:rFonts w:hint="eastAsia" w:ascii="宋体" w:hAnsi="宋体" w:eastAsia="宋体" w:cs="宋体"/>
                <w:kern w:val="0"/>
                <w:sz w:val="28"/>
                <w:szCs w:val="28"/>
              </w:rPr>
              <w:t>：通过电话、短信、登门、检查等方式开展随访的血吸虫病病人数。</w:t>
            </w:r>
          </w:p>
        </w:tc>
      </w:tr>
      <w:tr>
        <w:tblPrEx>
          <w:tblCellMar>
            <w:top w:w="0" w:type="dxa"/>
            <w:left w:w="108" w:type="dxa"/>
            <w:bottom w:w="0" w:type="dxa"/>
            <w:right w:w="108" w:type="dxa"/>
          </w:tblCellMar>
        </w:tblPrEx>
        <w:trPr>
          <w:trHeight w:val="80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晚期血吸虫病病人救治率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晚期血吸虫病病人救治人数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晚期血吸虫病病人数</w:t>
            </w:r>
          </w:p>
        </w:tc>
        <w:tc>
          <w:tcPr>
            <w:tcW w:w="9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b/>
                <w:bCs/>
                <w:kern w:val="0"/>
                <w:sz w:val="28"/>
                <w:szCs w:val="28"/>
              </w:rPr>
              <w:t>晚期血吸虫病病人数</w:t>
            </w:r>
            <w:r>
              <w:rPr>
                <w:rFonts w:hint="eastAsia" w:ascii="宋体" w:hAnsi="宋体" w:eastAsia="宋体" w:cs="宋体"/>
                <w:kern w:val="0"/>
                <w:sz w:val="28"/>
                <w:szCs w:val="28"/>
              </w:rPr>
              <w:t>：符合晚期血吸虫病救治条件的在册晚期血吸虫病病人数。</w:t>
            </w:r>
            <w:r>
              <w:rPr>
                <w:rFonts w:hint="eastAsia" w:ascii="宋体" w:hAnsi="宋体" w:eastAsia="宋体" w:cs="宋体"/>
                <w:kern w:val="0"/>
                <w:sz w:val="28"/>
                <w:szCs w:val="28"/>
              </w:rPr>
              <w:br w:type="textWrapping"/>
            </w:r>
            <w:r>
              <w:rPr>
                <w:rFonts w:hint="eastAsia" w:ascii="宋体" w:hAnsi="宋体" w:eastAsia="宋体" w:cs="宋体"/>
                <w:b/>
                <w:bCs/>
                <w:kern w:val="0"/>
                <w:sz w:val="28"/>
                <w:szCs w:val="28"/>
              </w:rPr>
              <w:t>晚期血吸虫病病人救治人数</w:t>
            </w:r>
            <w:r>
              <w:rPr>
                <w:rFonts w:hint="eastAsia" w:ascii="宋体" w:hAnsi="宋体" w:eastAsia="宋体" w:cs="宋体"/>
                <w:kern w:val="0"/>
                <w:sz w:val="28"/>
                <w:szCs w:val="28"/>
              </w:rPr>
              <w:t>：实施救治的晚期血吸虫病病人数。</w:t>
            </w:r>
          </w:p>
        </w:tc>
      </w:tr>
      <w:tr>
        <w:tblPrEx>
          <w:tblCellMar>
            <w:top w:w="0" w:type="dxa"/>
            <w:left w:w="108" w:type="dxa"/>
            <w:bottom w:w="0" w:type="dxa"/>
            <w:right w:w="108" w:type="dxa"/>
          </w:tblCellMar>
        </w:tblPrEx>
        <w:trPr>
          <w:trHeight w:val="538"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监测任务完成率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监测任务完成数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监测任务数</w:t>
            </w:r>
          </w:p>
        </w:tc>
        <w:tc>
          <w:tcPr>
            <w:tcW w:w="9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b/>
                <w:bCs/>
                <w:kern w:val="0"/>
                <w:sz w:val="28"/>
                <w:szCs w:val="28"/>
              </w:rPr>
              <w:t>监测任务点数</w:t>
            </w:r>
            <w:r>
              <w:rPr>
                <w:rFonts w:hint="eastAsia" w:ascii="宋体" w:hAnsi="宋体" w:eastAsia="宋体" w:cs="宋体"/>
                <w:kern w:val="0"/>
                <w:sz w:val="28"/>
                <w:szCs w:val="28"/>
              </w:rPr>
              <w:t>：根据国家监测工作方案，应开展监测的监测点数。</w:t>
            </w:r>
            <w:r>
              <w:rPr>
                <w:rFonts w:hint="eastAsia" w:ascii="宋体" w:hAnsi="宋体" w:eastAsia="宋体" w:cs="宋体"/>
                <w:kern w:val="0"/>
                <w:sz w:val="28"/>
                <w:szCs w:val="28"/>
              </w:rPr>
              <w:br w:type="textWrapping"/>
            </w:r>
            <w:r>
              <w:rPr>
                <w:rFonts w:hint="eastAsia" w:ascii="宋体" w:hAnsi="宋体" w:eastAsia="宋体" w:cs="宋体"/>
                <w:b/>
                <w:bCs/>
                <w:kern w:val="0"/>
                <w:sz w:val="28"/>
                <w:szCs w:val="28"/>
              </w:rPr>
              <w:t>监测任务完成点数</w:t>
            </w:r>
            <w:r>
              <w:rPr>
                <w:rFonts w:hint="eastAsia" w:ascii="宋体" w:hAnsi="宋体" w:eastAsia="宋体" w:cs="宋体"/>
                <w:kern w:val="0"/>
                <w:sz w:val="28"/>
                <w:szCs w:val="28"/>
              </w:rPr>
              <w:t>：按要求完成监测任务的点数。</w:t>
            </w:r>
          </w:p>
        </w:tc>
      </w:tr>
      <w:tr>
        <w:tblPrEx>
          <w:tblCellMar>
            <w:top w:w="0" w:type="dxa"/>
            <w:left w:w="108" w:type="dxa"/>
            <w:bottom w:w="0" w:type="dxa"/>
            <w:right w:w="108" w:type="dxa"/>
          </w:tblCellMar>
        </w:tblPrEx>
        <w:trPr>
          <w:trHeight w:val="1332"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风险处置率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处置风险环境数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风险环境数</w:t>
            </w:r>
          </w:p>
        </w:tc>
        <w:tc>
          <w:tcPr>
            <w:tcW w:w="9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b/>
                <w:bCs/>
                <w:kern w:val="0"/>
                <w:sz w:val="28"/>
                <w:szCs w:val="28"/>
              </w:rPr>
              <w:t>风险环境数</w:t>
            </w:r>
            <w:r>
              <w:rPr>
                <w:rFonts w:hint="eastAsia" w:ascii="宋体" w:hAnsi="宋体" w:eastAsia="宋体" w:cs="宋体"/>
                <w:kern w:val="0"/>
                <w:sz w:val="28"/>
                <w:szCs w:val="28"/>
              </w:rPr>
              <w:t>：血吸虫病流行或消除地区，出现下列情况之一视为风险环境:①发现血吸虫病确诊病例；②发现血吸虫粪检阳性病畜；③发现感染性钉螺；④水体中监测到血吸虫尾蚴；⑤发现含有血吸虫虫卵或者毛蚴的野粪；⑧其他经专家会商、Delphi评估等认为存在造成血吸虫病疫情反数弹或回升风险的情况。</w:t>
            </w:r>
            <w:r>
              <w:rPr>
                <w:rFonts w:hint="eastAsia" w:ascii="宋体" w:hAnsi="宋体" w:eastAsia="宋体" w:cs="宋体"/>
                <w:kern w:val="0"/>
                <w:sz w:val="28"/>
                <w:szCs w:val="28"/>
              </w:rPr>
              <w:br w:type="textWrapping"/>
            </w:r>
            <w:r>
              <w:rPr>
                <w:rFonts w:hint="eastAsia" w:ascii="宋体" w:hAnsi="宋体" w:eastAsia="宋体" w:cs="宋体"/>
                <w:b/>
                <w:bCs/>
                <w:kern w:val="0"/>
                <w:sz w:val="28"/>
                <w:szCs w:val="28"/>
              </w:rPr>
              <w:t>处置风险环境数</w:t>
            </w:r>
            <w:r>
              <w:rPr>
                <w:rFonts w:hint="eastAsia" w:ascii="宋体" w:hAnsi="宋体" w:eastAsia="宋体" w:cs="宋体"/>
                <w:kern w:val="0"/>
                <w:sz w:val="28"/>
                <w:szCs w:val="28"/>
              </w:rPr>
              <w:t>：及时开展流调并规范、有效处置风险因素的风险环境数。</w:t>
            </w:r>
          </w:p>
        </w:tc>
      </w:tr>
      <w:tr>
        <w:tblPrEx>
          <w:tblCellMar>
            <w:top w:w="0" w:type="dxa"/>
            <w:left w:w="108" w:type="dxa"/>
            <w:bottom w:w="0" w:type="dxa"/>
            <w:right w:w="108" w:type="dxa"/>
          </w:tblCellMar>
        </w:tblPrEx>
        <w:trPr>
          <w:trHeight w:val="80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重点人群血防知识知晓率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回答正确题目总数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应回答题目总数</w:t>
            </w:r>
          </w:p>
        </w:tc>
        <w:tc>
          <w:tcPr>
            <w:tcW w:w="9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b/>
                <w:bCs/>
                <w:kern w:val="0"/>
                <w:sz w:val="28"/>
                <w:szCs w:val="28"/>
              </w:rPr>
              <w:t>应回答题目总数</w:t>
            </w:r>
            <w:r>
              <w:rPr>
                <w:rFonts w:hint="eastAsia" w:ascii="宋体" w:hAnsi="宋体" w:eastAsia="宋体" w:cs="宋体"/>
                <w:kern w:val="0"/>
                <w:sz w:val="28"/>
                <w:szCs w:val="28"/>
              </w:rPr>
              <w:t>：被调查的重点人群（渔船民、农民及中小学生等）应回答问卷题目的总数。</w:t>
            </w:r>
            <w:r>
              <w:rPr>
                <w:rFonts w:hint="eastAsia" w:ascii="宋体" w:hAnsi="宋体" w:eastAsia="宋体" w:cs="宋体"/>
                <w:kern w:val="0"/>
                <w:sz w:val="28"/>
                <w:szCs w:val="28"/>
              </w:rPr>
              <w:br w:type="textWrapping"/>
            </w:r>
            <w:r>
              <w:rPr>
                <w:rFonts w:hint="eastAsia" w:ascii="宋体" w:hAnsi="宋体" w:eastAsia="宋体" w:cs="宋体"/>
                <w:b/>
                <w:bCs/>
                <w:kern w:val="0"/>
                <w:sz w:val="28"/>
                <w:szCs w:val="28"/>
              </w:rPr>
              <w:t>回答正确题目总数</w:t>
            </w:r>
            <w:r>
              <w:rPr>
                <w:rFonts w:hint="eastAsia" w:ascii="宋体" w:hAnsi="宋体" w:eastAsia="宋体" w:cs="宋体"/>
                <w:kern w:val="0"/>
                <w:sz w:val="28"/>
                <w:szCs w:val="28"/>
              </w:rPr>
              <w:t>：被调查的重点人群（渔船民、农民及中小学生等）正确回答问卷题目的总数。</w:t>
            </w:r>
          </w:p>
        </w:tc>
      </w:tr>
      <w:tr>
        <w:tblPrEx>
          <w:tblCellMar>
            <w:top w:w="0" w:type="dxa"/>
            <w:left w:w="108" w:type="dxa"/>
            <w:bottom w:w="0" w:type="dxa"/>
            <w:right w:w="108" w:type="dxa"/>
          </w:tblCellMar>
        </w:tblPrEx>
        <w:trPr>
          <w:trHeight w:val="6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血防人员培训覆盖率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接受培训血防人员数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kern w:val="0"/>
                <w:sz w:val="28"/>
                <w:szCs w:val="28"/>
              </w:rPr>
              <w:t>在岗血防人员数</w:t>
            </w:r>
          </w:p>
        </w:tc>
        <w:tc>
          <w:tcPr>
            <w:tcW w:w="9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textAlignment w:val="center"/>
              <w:rPr>
                <w:rFonts w:ascii="宋体" w:hAnsi="宋体" w:eastAsia="宋体" w:cs="宋体"/>
                <w:sz w:val="28"/>
                <w:szCs w:val="28"/>
              </w:rPr>
            </w:pPr>
            <w:r>
              <w:rPr>
                <w:rFonts w:hint="eastAsia" w:ascii="宋体" w:hAnsi="宋体" w:eastAsia="宋体" w:cs="宋体"/>
                <w:b/>
                <w:bCs/>
                <w:kern w:val="0"/>
                <w:sz w:val="28"/>
                <w:szCs w:val="28"/>
              </w:rPr>
              <w:t>在岗血防人员数</w:t>
            </w:r>
            <w:r>
              <w:rPr>
                <w:rFonts w:hint="eastAsia" w:ascii="宋体" w:hAnsi="宋体" w:eastAsia="宋体" w:cs="宋体"/>
                <w:kern w:val="0"/>
                <w:sz w:val="28"/>
                <w:szCs w:val="28"/>
              </w:rPr>
              <w:t>：在岗的血吸虫病防治工作人员数。</w:t>
            </w:r>
            <w:r>
              <w:rPr>
                <w:rFonts w:hint="eastAsia" w:ascii="宋体" w:hAnsi="宋体" w:eastAsia="宋体" w:cs="宋体"/>
                <w:kern w:val="0"/>
                <w:sz w:val="28"/>
                <w:szCs w:val="28"/>
              </w:rPr>
              <w:br w:type="textWrapping"/>
            </w:r>
            <w:r>
              <w:rPr>
                <w:rFonts w:hint="eastAsia" w:ascii="宋体" w:hAnsi="宋体" w:eastAsia="宋体" w:cs="宋体"/>
                <w:b/>
                <w:bCs/>
                <w:kern w:val="0"/>
                <w:sz w:val="28"/>
                <w:szCs w:val="28"/>
              </w:rPr>
              <w:t>接受培训血防人员数：</w:t>
            </w:r>
            <w:r>
              <w:rPr>
                <w:rFonts w:hint="eastAsia" w:ascii="宋体" w:hAnsi="宋体" w:eastAsia="宋体" w:cs="宋体"/>
                <w:kern w:val="0"/>
                <w:sz w:val="28"/>
                <w:szCs w:val="28"/>
              </w:rPr>
              <w:t>接受上级或本级组织的各类血吸虫病防治相关知识、技能培训的血吸虫病防治工作人员数。</w:t>
            </w:r>
          </w:p>
        </w:tc>
      </w:tr>
    </w:tbl>
    <w:p>
      <w:pPr>
        <w:rPr>
          <w:rFonts w:ascii="宋体" w:hAnsi="宋体" w:eastAsia="宋体" w:cs="宋体"/>
          <w:szCs w:val="21"/>
        </w:rPr>
      </w:pPr>
    </w:p>
    <w:sectPr>
      <w:footerReference r:id="rId3" w:type="default"/>
      <w:pgSz w:w="16838" w:h="11906" w:orient="landscape"/>
      <w:pgMar w:top="1587" w:right="1417" w:bottom="1587" w:left="1417"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6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mEzZDM0MGQ5NzE3MjA4MjY4MmNkOWY5ODJhYWMifQ=="/>
  </w:docVars>
  <w:rsids>
    <w:rsidRoot w:val="10DB0035"/>
    <w:rsid w:val="0028274E"/>
    <w:rsid w:val="003959AE"/>
    <w:rsid w:val="00800B73"/>
    <w:rsid w:val="008C70F1"/>
    <w:rsid w:val="009A0B4F"/>
    <w:rsid w:val="00B00922"/>
    <w:rsid w:val="00D45D35"/>
    <w:rsid w:val="00F53579"/>
    <w:rsid w:val="02BD1484"/>
    <w:rsid w:val="07D70D04"/>
    <w:rsid w:val="0DE11C95"/>
    <w:rsid w:val="0F653816"/>
    <w:rsid w:val="10DB0035"/>
    <w:rsid w:val="10DB643D"/>
    <w:rsid w:val="18A0662A"/>
    <w:rsid w:val="1BBC6EFF"/>
    <w:rsid w:val="26FB0426"/>
    <w:rsid w:val="28576258"/>
    <w:rsid w:val="2BB87DF1"/>
    <w:rsid w:val="2FDFFFEF"/>
    <w:rsid w:val="30667E40"/>
    <w:rsid w:val="3EDBC2CA"/>
    <w:rsid w:val="3EFA12B3"/>
    <w:rsid w:val="3F52303A"/>
    <w:rsid w:val="3F7EBF91"/>
    <w:rsid w:val="41340937"/>
    <w:rsid w:val="44836F73"/>
    <w:rsid w:val="464B0366"/>
    <w:rsid w:val="48043F8B"/>
    <w:rsid w:val="4C3A7A3D"/>
    <w:rsid w:val="4F6FD902"/>
    <w:rsid w:val="59AC13C8"/>
    <w:rsid w:val="5A1E2061"/>
    <w:rsid w:val="5ABE3BA6"/>
    <w:rsid w:val="5C963567"/>
    <w:rsid w:val="61B9209E"/>
    <w:rsid w:val="62BEA8D5"/>
    <w:rsid w:val="6F771E85"/>
    <w:rsid w:val="72823706"/>
    <w:rsid w:val="72DEB98E"/>
    <w:rsid w:val="73FFC077"/>
    <w:rsid w:val="740E71E6"/>
    <w:rsid w:val="75C04E51"/>
    <w:rsid w:val="75F6039A"/>
    <w:rsid w:val="77BD4102"/>
    <w:rsid w:val="7A7B4D36"/>
    <w:rsid w:val="7ACA6C2D"/>
    <w:rsid w:val="7AF1F0BB"/>
    <w:rsid w:val="7AFC71DB"/>
    <w:rsid w:val="7BED7011"/>
    <w:rsid w:val="7BFF3986"/>
    <w:rsid w:val="7DDBC7DE"/>
    <w:rsid w:val="7E2412AD"/>
    <w:rsid w:val="7E677E6E"/>
    <w:rsid w:val="7EC71729"/>
    <w:rsid w:val="7F5EB625"/>
    <w:rsid w:val="7FF80250"/>
    <w:rsid w:val="7FFF6F7B"/>
    <w:rsid w:val="AEC3E7B0"/>
    <w:rsid w:val="AEF1AE1B"/>
    <w:rsid w:val="B7BD3E71"/>
    <w:rsid w:val="B9779549"/>
    <w:rsid w:val="BE5515F9"/>
    <w:rsid w:val="BFDF56A7"/>
    <w:rsid w:val="D5DF2748"/>
    <w:rsid w:val="D76EE1CB"/>
    <w:rsid w:val="DFFDE4DD"/>
    <w:rsid w:val="F39671DA"/>
    <w:rsid w:val="F7CF0F3D"/>
    <w:rsid w:val="FB3F5D7A"/>
    <w:rsid w:val="FD3FD119"/>
    <w:rsid w:val="FDE1A808"/>
    <w:rsid w:val="FFDFA98C"/>
    <w:rsid w:val="FFEC6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pPr>
  </w:style>
  <w:style w:type="paragraph" w:customStyle="1" w:styleId="3">
    <w:name w:val="BodyTextIndent"/>
    <w:basedOn w:val="1"/>
    <w:qFormat/>
    <w:uiPriority w:val="0"/>
    <w:pPr>
      <w:widowControl/>
      <w:spacing w:after="120"/>
      <w:ind w:left="420" w:leftChars="200"/>
      <w:textAlignment w:val="baseline"/>
    </w:pPr>
  </w:style>
  <w:style w:type="paragraph" w:styleId="5">
    <w:name w:val="Body Text Indent 2"/>
    <w:basedOn w:val="1"/>
    <w:unhideWhenUsed/>
    <w:qFormat/>
    <w:uiPriority w:val="0"/>
    <w:pPr>
      <w:spacing w:after="120" w:line="480" w:lineRule="auto"/>
      <w:ind w:left="420" w:leftChars="200"/>
    </w:pPr>
    <w:rPr>
      <w:rFonts w:ascii="Calibri" w:hAnsi="Calibri"/>
    </w:rPr>
  </w:style>
  <w:style w:type="paragraph" w:styleId="6">
    <w:name w:val="Balloon Text"/>
    <w:basedOn w:val="1"/>
    <w:link w:val="18"/>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customStyle="1" w:styleId="13">
    <w:name w:val="font11"/>
    <w:basedOn w:val="11"/>
    <w:qFormat/>
    <w:uiPriority w:val="0"/>
    <w:rPr>
      <w:rFonts w:hint="eastAsia" w:ascii="宋体" w:hAnsi="宋体" w:eastAsia="宋体" w:cs="宋体"/>
      <w:strike/>
      <w:color w:val="000000"/>
      <w:sz w:val="22"/>
      <w:szCs w:val="22"/>
    </w:rPr>
  </w:style>
  <w:style w:type="character" w:customStyle="1" w:styleId="14">
    <w:name w:val="font01"/>
    <w:basedOn w:val="11"/>
    <w:qFormat/>
    <w:uiPriority w:val="0"/>
    <w:rPr>
      <w:rFonts w:hint="eastAsia" w:ascii="宋体" w:hAnsi="宋体" w:eastAsia="宋体" w:cs="宋体"/>
      <w:color w:val="000000"/>
      <w:sz w:val="22"/>
      <w:szCs w:val="22"/>
      <w:u w:val="none"/>
    </w:rPr>
  </w:style>
  <w:style w:type="character" w:customStyle="1" w:styleId="15">
    <w:name w:val="font21"/>
    <w:basedOn w:val="11"/>
    <w:qFormat/>
    <w:uiPriority w:val="0"/>
    <w:rPr>
      <w:rFonts w:hint="eastAsia" w:ascii="宋体" w:hAnsi="宋体" w:eastAsia="宋体" w:cs="宋体"/>
      <w:strike/>
      <w:color w:val="000000"/>
      <w:sz w:val="22"/>
      <w:szCs w:val="22"/>
    </w:rPr>
  </w:style>
  <w:style w:type="character" w:customStyle="1" w:styleId="16">
    <w:name w:val="页眉 Char"/>
    <w:basedOn w:val="11"/>
    <w:link w:val="8"/>
    <w:qFormat/>
    <w:uiPriority w:val="0"/>
    <w:rPr>
      <w:rFonts w:asciiTheme="minorHAnsi" w:hAnsiTheme="minorHAnsi" w:eastAsiaTheme="minorEastAsia" w:cstheme="minorBidi"/>
      <w:kern w:val="2"/>
      <w:sz w:val="18"/>
      <w:szCs w:val="18"/>
    </w:rPr>
  </w:style>
  <w:style w:type="character" w:customStyle="1" w:styleId="17">
    <w:name w:val="页脚 Char"/>
    <w:basedOn w:val="11"/>
    <w:link w:val="7"/>
    <w:qFormat/>
    <w:uiPriority w:val="0"/>
    <w:rPr>
      <w:rFonts w:asciiTheme="minorHAnsi" w:hAnsiTheme="minorHAnsi" w:eastAsiaTheme="minorEastAsia" w:cstheme="minorBidi"/>
      <w:kern w:val="2"/>
      <w:sz w:val="18"/>
      <w:szCs w:val="18"/>
    </w:rPr>
  </w:style>
  <w:style w:type="character" w:customStyle="1" w:styleId="18">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23</Pages>
  <Words>1414</Words>
  <Characters>8062</Characters>
  <Lines>67</Lines>
  <Paragraphs>18</Paragraphs>
  <TotalTime>1</TotalTime>
  <ScaleCrop>false</ScaleCrop>
  <LinksUpToDate>false</LinksUpToDate>
  <CharactersWithSpaces>9458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2023-08-04T16:00:00Z</dcterms:created>
  <dc:creator>xfs47</dc:creator>
  <cp:lastModifiedBy>comet</cp:lastModifiedBy>
  <cp:lastPrinted>2023-08-03T14:39:00Z</cp:lastPrinted>
  <dcterms:modified xsi:type="dcterms:W3CDTF">2023-08-28T01:27:55Z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8C6D25DD9490460E82CB693C95065D77_13</vt:lpwstr>
  </property>
</Properties>
</file>