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A78C6">
      <w:pPr>
        <w:spacing w:before="312" w:beforeLines="100" w:after="312" w:afterLines="100" w:line="640" w:lineRule="exact"/>
        <w:jc w:val="center"/>
        <w:outlineLvl w:val="0"/>
        <w:rPr>
          <w:rFonts w:ascii="Times New Roman" w:hAnsi="Times New Roman" w:eastAsia="方正小标宋简体" w:cs="Times New Roman"/>
          <w:sz w:val="44"/>
          <w:szCs w:val="44"/>
        </w:rPr>
      </w:pPr>
      <w:bookmarkStart w:id="14" w:name="_GoBack"/>
      <w:bookmarkEnd w:id="14"/>
      <w:r>
        <w:rPr>
          <w:rFonts w:ascii="Times New Roman" w:hAnsi="Times New Roman" w:eastAsia="方正小标宋简体" w:cs="Times New Roman"/>
          <w:sz w:val="44"/>
          <w:szCs w:val="44"/>
        </w:rPr>
        <w:t>医疗器械趋势报告撰写指南（</w:t>
      </w:r>
      <w:r>
        <w:rPr>
          <w:rFonts w:hint="eastAsia" w:ascii="Times New Roman" w:hAnsi="Times New Roman" w:eastAsia="方正小标宋简体" w:cs="Times New Roman"/>
          <w:sz w:val="44"/>
          <w:szCs w:val="44"/>
        </w:rPr>
        <w:t>试行</w:t>
      </w:r>
      <w:r>
        <w:rPr>
          <w:rFonts w:ascii="Times New Roman" w:hAnsi="Times New Roman" w:eastAsia="方正小标宋简体" w:cs="Times New Roman"/>
          <w:sz w:val="44"/>
          <w:szCs w:val="44"/>
        </w:rPr>
        <w:t>）</w:t>
      </w:r>
    </w:p>
    <w:p w14:paraId="16E88D51">
      <w:pPr>
        <w:keepNext/>
        <w:keepLines/>
        <w:spacing w:line="540" w:lineRule="exact"/>
        <w:ind w:firstLine="640" w:firstLineChars="200"/>
        <w:outlineLvl w:val="0"/>
        <w:rPr>
          <w:rFonts w:ascii="Times New Roman" w:hAnsi="Times New Roman" w:eastAsia="黑体" w:cs="Times New Roman"/>
          <w:bCs/>
          <w:sz w:val="32"/>
          <w:szCs w:val="32"/>
        </w:rPr>
      </w:pPr>
      <w:r>
        <w:rPr>
          <w:rFonts w:ascii="Times New Roman" w:hAnsi="Times New Roman" w:eastAsia="黑体" w:cs="Times New Roman"/>
          <w:bCs/>
          <w:sz w:val="32"/>
          <w:szCs w:val="32"/>
        </w:rPr>
        <w:t>一、前言</w:t>
      </w:r>
    </w:p>
    <w:p w14:paraId="44850340">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指南旨在指导注册人、备案人或境外医疗器械注册人、备案人指定的境内企业法人（以下简称“进口医疗器械境内责任人”）建立趋势分析工作程序，分析处理警戒数据，主动分析产品风险特点的变化，撰写趋势报告，对产品上市后风险进行持续识别、评估和控制。</w:t>
      </w:r>
    </w:p>
    <w:p w14:paraId="37017146">
      <w:pPr>
        <w:keepNext/>
        <w:keepLines/>
        <w:spacing w:line="540" w:lineRule="exact"/>
        <w:ind w:firstLine="640" w:firstLineChars="200"/>
        <w:outlineLvl w:val="0"/>
        <w:rPr>
          <w:rFonts w:ascii="Times New Roman" w:hAnsi="Times New Roman" w:eastAsia="黑体" w:cs="Times New Roman"/>
          <w:bCs/>
          <w:sz w:val="32"/>
          <w:szCs w:val="32"/>
        </w:rPr>
      </w:pPr>
      <w:r>
        <w:rPr>
          <w:rFonts w:ascii="Times New Roman" w:hAnsi="Times New Roman" w:eastAsia="黑体" w:cs="Times New Roman"/>
          <w:bCs/>
          <w:sz w:val="32"/>
          <w:szCs w:val="32"/>
        </w:rPr>
        <w:t>二、基本要求</w:t>
      </w:r>
    </w:p>
    <w:p w14:paraId="717580C9">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注册人、备案人或进口医疗器械境内责任人应当建立警戒数据分析程序，定期开展趋势分析，并保持相关记录。趋势分析程序包括数据分析范围、分析间隔、分析方法和异常趋势识别策略。当通过趋势分析发现产品风险的发生频率或严重程度显著增加时，注册人、备案人或进口医疗器械境内责任人需要立即采取适当的控制措施，向监测机构提交趋势报告。</w:t>
      </w:r>
    </w:p>
    <w:p w14:paraId="1E076D7C">
      <w:pPr>
        <w:keepNext/>
        <w:keepLines/>
        <w:spacing w:line="540" w:lineRule="exact"/>
        <w:ind w:firstLine="640" w:firstLineChars="200"/>
        <w:outlineLvl w:val="0"/>
        <w:rPr>
          <w:rFonts w:ascii="Times New Roman" w:hAnsi="Times New Roman" w:eastAsia="黑体" w:cs="Times New Roman"/>
          <w:bCs/>
          <w:sz w:val="32"/>
          <w:szCs w:val="32"/>
        </w:rPr>
      </w:pPr>
      <w:r>
        <w:rPr>
          <w:rFonts w:ascii="Times New Roman" w:hAnsi="Times New Roman" w:eastAsia="黑体" w:cs="Times New Roman"/>
          <w:bCs/>
          <w:sz w:val="32"/>
          <w:szCs w:val="32"/>
        </w:rPr>
        <w:t>三、主要内容</w:t>
      </w:r>
    </w:p>
    <w:p w14:paraId="5C254FB0">
      <w:pPr>
        <w:keepNext/>
        <w:keepLines/>
        <w:spacing w:line="540" w:lineRule="exact"/>
        <w:ind w:firstLine="640" w:firstLineChars="200"/>
        <w:outlineLvl w:val="2"/>
        <w:rPr>
          <w:rFonts w:ascii="Times New Roman" w:hAnsi="Times New Roman" w:eastAsia="楷体" w:cs="Times New Roman"/>
          <w:kern w:val="0"/>
          <w:sz w:val="32"/>
          <w:szCs w:val="32"/>
        </w:rPr>
      </w:pPr>
      <w:r>
        <w:rPr>
          <w:rFonts w:ascii="Times New Roman" w:hAnsi="Times New Roman" w:eastAsia="楷体" w:cs="Times New Roman"/>
          <w:kern w:val="0"/>
          <w:sz w:val="32"/>
          <w:szCs w:val="32"/>
        </w:rPr>
        <w:t>（一）趋势分析的范围</w:t>
      </w:r>
    </w:p>
    <w:p w14:paraId="19545B2B">
      <w:pPr>
        <w:spacing w:line="540" w:lineRule="exact"/>
        <w:ind w:firstLine="640" w:firstLineChars="200"/>
        <w:rPr>
          <w:rFonts w:ascii="Times New Roman" w:hAnsi="Times New Roman" w:eastAsia="仿宋" w:cs="Times New Roman"/>
          <w:sz w:val="32"/>
          <w:szCs w:val="32"/>
        </w:rPr>
      </w:pPr>
      <w:bookmarkStart w:id="0" w:name="_Toc12247"/>
      <w:r>
        <w:rPr>
          <w:rFonts w:ascii="Times New Roman" w:hAnsi="Times New Roman" w:eastAsia="仿宋" w:cs="Times New Roman"/>
          <w:sz w:val="32"/>
          <w:szCs w:val="32"/>
        </w:rPr>
        <w:t>开展趋势分析时，需要纳入严重程度为“其他”和可能导致严重伤害的医疗器械不良事件，与产品安全性能有关的质量投诉等顾客反馈，以及可能导致安全问题的质量管理体系运行数据</w:t>
      </w:r>
      <w:bookmarkEnd w:id="0"/>
      <w:r>
        <w:rPr>
          <w:rFonts w:ascii="Times New Roman" w:hAnsi="Times New Roman" w:eastAsia="仿宋" w:cs="Times New Roman"/>
          <w:sz w:val="32"/>
          <w:szCs w:val="32"/>
        </w:rPr>
        <w:t>。</w:t>
      </w:r>
    </w:p>
    <w:p w14:paraId="30FEA568">
      <w:pPr>
        <w:keepNext/>
        <w:keepLines/>
        <w:spacing w:line="540" w:lineRule="exact"/>
        <w:ind w:firstLine="640" w:firstLineChars="200"/>
        <w:outlineLvl w:val="2"/>
        <w:rPr>
          <w:rFonts w:ascii="Times New Roman" w:hAnsi="Times New Roman" w:eastAsia="楷体" w:cs="Times New Roman"/>
          <w:kern w:val="0"/>
          <w:sz w:val="32"/>
          <w:szCs w:val="32"/>
        </w:rPr>
      </w:pPr>
      <w:r>
        <w:rPr>
          <w:rFonts w:ascii="Times New Roman" w:hAnsi="Times New Roman" w:eastAsia="楷体" w:cs="Times New Roman"/>
          <w:kern w:val="0"/>
          <w:sz w:val="32"/>
          <w:szCs w:val="32"/>
        </w:rPr>
        <w:t>（二）趋势分析的数据</w:t>
      </w:r>
    </w:p>
    <w:p w14:paraId="44E40FB6">
      <w:pPr>
        <w:spacing w:line="540" w:lineRule="exact"/>
        <w:ind w:firstLine="640" w:firstLineChars="200"/>
        <w:rPr>
          <w:rFonts w:ascii="Times New Roman" w:hAnsi="Times New Roman" w:eastAsia="仿宋" w:cs="Times New Roman"/>
          <w:sz w:val="32"/>
          <w:szCs w:val="32"/>
        </w:rPr>
      </w:pPr>
      <w:bookmarkStart w:id="1" w:name="_Toc3153"/>
      <w:r>
        <w:rPr>
          <w:rFonts w:ascii="Times New Roman" w:hAnsi="Times New Roman" w:eastAsia="仿宋" w:cs="Times New Roman"/>
          <w:sz w:val="32"/>
          <w:szCs w:val="32"/>
        </w:rPr>
        <w:t>注册人、备案人或进口医疗器械境内责任人需要根据警戒计划、顾客反馈的处理结果和事件原因的既往分析结论，识别出警戒数据中的风险表现（发生故障的情形，以故障表现计算；未发生故障的情形，以伤害表现计算），明确适当的使用次数记录方法</w:t>
      </w:r>
      <w:bookmarkEnd w:id="1"/>
      <w:r>
        <w:rPr>
          <w:rFonts w:ascii="Times New Roman" w:hAnsi="Times New Roman" w:eastAsia="仿宋" w:cs="Times New Roman"/>
          <w:sz w:val="32"/>
          <w:szCs w:val="32"/>
        </w:rPr>
        <w:t>（如销量数据、开机时长、运行次数等），设置识别趋势分析异常变化的方法（异常变化的判定标准应在警戒数据分析程序中明确，可参考对严重程度和发生频率的评估结果。），按周、按月或按季开展趋势分析。</w:t>
      </w:r>
    </w:p>
    <w:p w14:paraId="476DDCB6">
      <w:pPr>
        <w:keepNext/>
        <w:keepLines/>
        <w:spacing w:line="540" w:lineRule="exact"/>
        <w:ind w:firstLine="640" w:firstLineChars="200"/>
        <w:outlineLvl w:val="2"/>
        <w:rPr>
          <w:rFonts w:ascii="Times New Roman" w:hAnsi="Times New Roman" w:eastAsia="楷体" w:cs="Times New Roman"/>
          <w:kern w:val="0"/>
          <w:sz w:val="32"/>
          <w:szCs w:val="32"/>
        </w:rPr>
      </w:pPr>
      <w:bookmarkStart w:id="2" w:name="5.1.6_DETAILS_TO_BE_INCLUDED_IN_MANUFACT"/>
      <w:bookmarkEnd w:id="2"/>
      <w:bookmarkStart w:id="3" w:name="5.1.5.1_reportable_USE_ERRORs"/>
      <w:bookmarkEnd w:id="3"/>
      <w:bookmarkStart w:id="4" w:name="_bookmark46"/>
      <w:bookmarkEnd w:id="4"/>
      <w:bookmarkStart w:id="5" w:name="_bookmark49"/>
      <w:bookmarkEnd w:id="5"/>
      <w:r>
        <w:rPr>
          <w:rFonts w:ascii="Times New Roman" w:hAnsi="Times New Roman" w:eastAsia="楷体" w:cs="Times New Roman"/>
          <w:kern w:val="0"/>
          <w:sz w:val="32"/>
          <w:szCs w:val="32"/>
        </w:rPr>
        <w:t>（三）趋势分析的方法</w:t>
      </w:r>
    </w:p>
    <w:p w14:paraId="644E7B52">
      <w:pPr>
        <w:spacing w:line="540" w:lineRule="exact"/>
        <w:ind w:firstLine="640" w:firstLineChars="200"/>
        <w:jc w:val="left"/>
        <w:rPr>
          <w:rFonts w:ascii="Times New Roman" w:hAnsi="Times New Roman" w:eastAsia="仿宋" w:cs="Times New Roman"/>
          <w:sz w:val="32"/>
          <w:szCs w:val="32"/>
        </w:rPr>
      </w:pPr>
      <w:bookmarkStart w:id="6" w:name="_Toc26882"/>
      <w:r>
        <w:rPr>
          <w:rFonts w:ascii="Times New Roman" w:hAnsi="Times New Roman" w:eastAsia="仿宋" w:cs="Times New Roman"/>
          <w:sz w:val="32"/>
          <w:szCs w:val="32"/>
        </w:rPr>
        <w:t xml:space="preserve">本指南提供了三种常用的数据分析方法，包括控制图法、直方图法和帕累托图法等，可以参考《ISO/TR 20416:2020  Medical devices -Post-market surveillance for manufacturers》，注册人、备案人或进口医疗器械境内责任人可以结合自身情况和产品特点，按不同产品生产线、预期用途、规格型号、批次、生产日期、地域分布、经销渠道等，分别对相应的警戒数据开展趋势分析。 </w:t>
      </w:r>
    </w:p>
    <w:p w14:paraId="601507E4">
      <w:pPr>
        <w:spacing w:line="540" w:lineRule="exact"/>
        <w:ind w:firstLine="640" w:firstLineChars="200"/>
        <w:outlineLvl w:val="2"/>
        <w:rPr>
          <w:rFonts w:ascii="Times New Roman" w:hAnsi="Times New Roman" w:eastAsia="仿宋" w:cs="Times New Roman"/>
          <w:sz w:val="32"/>
          <w:szCs w:val="32"/>
        </w:rPr>
      </w:pPr>
      <w:r>
        <w:rPr>
          <w:rFonts w:ascii="Times New Roman" w:hAnsi="Times New Roman" w:eastAsia="仿宋" w:cs="Times New Roman"/>
          <w:sz w:val="32"/>
          <w:szCs w:val="32"/>
        </w:rPr>
        <w:t>1.控制图法</w:t>
      </w:r>
    </w:p>
    <w:p w14:paraId="28371D92">
      <w:pPr>
        <w:spacing w:line="540" w:lineRule="exact"/>
        <w:ind w:firstLine="640" w:firstLineChars="200"/>
        <w:rPr>
          <w:rFonts w:ascii="Times New Roman" w:hAnsi="Times New Roman" w:eastAsia="仿宋" w:cs="Times New Roman"/>
          <w:sz w:val="32"/>
          <w:szCs w:val="32"/>
        </w:rPr>
      </w:pPr>
      <w:bookmarkStart w:id="7" w:name="_Toc2089"/>
      <w:r>
        <w:rPr>
          <w:rFonts w:ascii="Times New Roman" w:hAnsi="Times New Roman" w:eastAsia="仿宋" w:cs="Times New Roman"/>
          <w:sz w:val="32"/>
          <w:szCs w:val="32"/>
        </w:rPr>
        <w:t>使用次数和警戒数据较多的医疗器械，可以参考《GB/T 17989.2-2020 控制图常规控制图》，利用控制图分析时间间隔内风险表现的频率是否显著增加</w:t>
      </w:r>
      <w:bookmarkEnd w:id="7"/>
      <w:r>
        <w:rPr>
          <w:rFonts w:ascii="Times New Roman" w:hAnsi="Times New Roman" w:eastAsia="仿宋" w:cs="Times New Roman"/>
          <w:sz w:val="32"/>
          <w:szCs w:val="32"/>
        </w:rPr>
        <w:t>。</w:t>
      </w:r>
    </w:p>
    <w:p w14:paraId="5E067C72">
      <w:pPr>
        <w:spacing w:line="540" w:lineRule="exact"/>
        <w:ind w:firstLine="640" w:firstLineChars="200"/>
        <w:outlineLvl w:val="2"/>
        <w:rPr>
          <w:rFonts w:ascii="Times New Roman" w:hAnsi="Times New Roman" w:eastAsia="仿宋" w:cs="Times New Roman"/>
          <w:sz w:val="32"/>
          <w:szCs w:val="32"/>
        </w:rPr>
      </w:pPr>
      <w:r>
        <w:rPr>
          <w:rFonts w:ascii="Times New Roman" w:hAnsi="Times New Roman" w:eastAsia="仿宋" w:cs="Times New Roman"/>
          <w:sz w:val="32"/>
          <w:szCs w:val="32"/>
        </w:rPr>
        <w:t>2.直方图法</w:t>
      </w:r>
    </w:p>
    <w:p w14:paraId="5FBD40AF">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导致死亡及严重伤害较多的医疗器械，可以使用直方图法分析多种同类医疗器械间的风险表现的趋势变化。</w:t>
      </w:r>
    </w:p>
    <w:p w14:paraId="6B2EEC66">
      <w:pPr>
        <w:spacing w:line="540" w:lineRule="exact"/>
        <w:ind w:firstLine="640" w:firstLineChars="200"/>
        <w:outlineLvl w:val="2"/>
        <w:rPr>
          <w:rFonts w:ascii="Times New Roman" w:hAnsi="Times New Roman" w:eastAsia="仿宋" w:cs="Times New Roman"/>
          <w:sz w:val="32"/>
          <w:szCs w:val="32"/>
        </w:rPr>
      </w:pPr>
      <w:r>
        <w:rPr>
          <w:rFonts w:ascii="Times New Roman" w:hAnsi="Times New Roman" w:eastAsia="仿宋" w:cs="Times New Roman"/>
          <w:sz w:val="32"/>
          <w:szCs w:val="32"/>
        </w:rPr>
        <w:t>3.帕累托图法</w:t>
      </w:r>
    </w:p>
    <w:p w14:paraId="1BD61415">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导致或可能导致较多非严重伤害的医疗器械，可以运用帕累托图法，分析主要和次要风险表现百分比的变化。</w:t>
      </w:r>
    </w:p>
    <w:p w14:paraId="61FEA718">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4.其他统计分析方法</w:t>
      </w:r>
    </w:p>
    <w:p w14:paraId="194E51EA">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注册人、备案人或进口医疗器械境内责任人也可采用标准差分析、回归分析等统计学方法，对警戒数据的发生频率或严重程度进行趋势分析，以识别具有统计学意义的异常变化。</w:t>
      </w:r>
    </w:p>
    <w:bookmarkEnd w:id="6"/>
    <w:p w14:paraId="15E1BAD7">
      <w:pPr>
        <w:keepNext/>
        <w:keepLines/>
        <w:spacing w:line="540" w:lineRule="exact"/>
        <w:ind w:firstLine="640" w:firstLineChars="200"/>
        <w:outlineLvl w:val="2"/>
        <w:rPr>
          <w:rFonts w:ascii="Times New Roman" w:hAnsi="Times New Roman" w:eastAsia="楷体" w:cs="Times New Roman"/>
          <w:kern w:val="0"/>
          <w:sz w:val="32"/>
          <w:szCs w:val="32"/>
        </w:rPr>
      </w:pPr>
      <w:bookmarkStart w:id="8" w:name="_Toc21221"/>
      <w:r>
        <w:rPr>
          <w:rFonts w:ascii="Times New Roman" w:hAnsi="Times New Roman" w:eastAsia="楷体" w:cs="Times New Roman"/>
          <w:kern w:val="0"/>
          <w:sz w:val="32"/>
          <w:szCs w:val="32"/>
        </w:rPr>
        <w:t>（四）</w:t>
      </w:r>
      <w:bookmarkEnd w:id="8"/>
      <w:r>
        <w:rPr>
          <w:rFonts w:ascii="Times New Roman" w:hAnsi="Times New Roman" w:eastAsia="楷体" w:cs="Times New Roman"/>
          <w:kern w:val="0"/>
          <w:sz w:val="32"/>
          <w:szCs w:val="32"/>
        </w:rPr>
        <w:t>趋势报告的提交</w:t>
      </w:r>
    </w:p>
    <w:p w14:paraId="0DBAAB5E">
      <w:pPr>
        <w:spacing w:line="540" w:lineRule="exact"/>
        <w:ind w:firstLine="640" w:firstLineChars="200"/>
        <w:rPr>
          <w:rFonts w:ascii="Times New Roman" w:hAnsi="Times New Roman" w:eastAsia="仿宋" w:cs="Times New Roman"/>
          <w:sz w:val="32"/>
          <w:szCs w:val="32"/>
        </w:rPr>
      </w:pPr>
      <w:bookmarkStart w:id="9" w:name="_Toc20385"/>
      <w:bookmarkStart w:id="10" w:name="_Toc5653"/>
      <w:r>
        <w:rPr>
          <w:rFonts w:ascii="Times New Roman" w:hAnsi="Times New Roman" w:eastAsia="仿宋" w:cs="Times New Roman"/>
          <w:sz w:val="32"/>
          <w:szCs w:val="32"/>
        </w:rPr>
        <w:t>1.报告时限</w:t>
      </w:r>
      <w:bookmarkEnd w:id="9"/>
    </w:p>
    <w:p w14:paraId="0E9F6EF0">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注册人、备案人或进口医疗器械境内责任人通过数据分析，确认产品风险的变化趋势超出设定的阈值，应在首次发现异常变化趋势之日起20日内向监测机构提交趋势报告；当后续分析发现异常变化的趋势仍然存在或重复出现时，需要在20日内报告趋势跟进情况；当风险趋势的异常变化得到控制后，需要及时报告趋势结束情况。</w:t>
      </w:r>
    </w:p>
    <w:p w14:paraId="70CA2B6B">
      <w:pPr>
        <w:spacing w:line="540" w:lineRule="exact"/>
        <w:ind w:firstLine="640" w:firstLineChars="200"/>
        <w:rPr>
          <w:rFonts w:ascii="Times New Roman" w:hAnsi="Times New Roman" w:eastAsia="仿宋" w:cs="Times New Roman"/>
          <w:sz w:val="32"/>
          <w:szCs w:val="32"/>
        </w:rPr>
      </w:pPr>
      <w:bookmarkStart w:id="11" w:name="_Toc25642"/>
      <w:r>
        <w:rPr>
          <w:rFonts w:ascii="Times New Roman" w:hAnsi="Times New Roman" w:eastAsia="仿宋" w:cs="Times New Roman"/>
          <w:sz w:val="32"/>
          <w:szCs w:val="32"/>
        </w:rPr>
        <w:t>2.报告内容</w:t>
      </w:r>
      <w:bookmarkEnd w:id="11"/>
    </w:p>
    <w:p w14:paraId="324DDC87">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（1）首次趋势报告</w:t>
      </w:r>
    </w:p>
    <w:p w14:paraId="72B0BB3D">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首次趋势报告，事件叙述部分至少包含确定趋势的时间，危险情况和可能导致伤害的严重程度，明确是否已将任何趋势相关的伤害作为个例报告上报，对趋势分析过程进行详细描述。</w:t>
      </w:r>
    </w:p>
    <w:p w14:paraId="2ED24441">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趋势分析过程描述的内容包括数据范围、时间范围、分析方法、阈值和趋势异常变化图示。</w:t>
      </w:r>
    </w:p>
    <w:p w14:paraId="4822FBE7">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（2）趋势跟进报告</w:t>
      </w:r>
    </w:p>
    <w:p w14:paraId="07DCDA12">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趋势跟进报告，除了对初始趋势的报告回顾和信息更新，还需要对再次出现异常变化的趋势分析过程进行描述。</w:t>
      </w:r>
    </w:p>
    <w:p w14:paraId="52F889BD">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（3）最终趋势报告</w:t>
      </w:r>
    </w:p>
    <w:p w14:paraId="7CF0B3E2">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最终趋势报告，除了对初始趋势/趋势跟进的报告回顾和信息更新，还需要报告趋势结束的时间和确认过程。</w:t>
      </w:r>
    </w:p>
    <w:p w14:paraId="6E805934">
      <w:pPr>
        <w:spacing w:line="540" w:lineRule="exact"/>
        <w:ind w:firstLine="640" w:firstLineChars="200"/>
        <w:rPr>
          <w:rFonts w:ascii="Times New Roman" w:hAnsi="Times New Roman" w:eastAsia="仿宋" w:cs="Times New Roman"/>
          <w:sz w:val="32"/>
          <w:szCs w:val="32"/>
        </w:rPr>
      </w:pPr>
      <w:bookmarkStart w:id="12" w:name="_Toc23219"/>
      <w:r>
        <w:rPr>
          <w:rFonts w:ascii="Times New Roman" w:hAnsi="Times New Roman" w:eastAsia="仿宋" w:cs="Times New Roman"/>
          <w:sz w:val="32"/>
          <w:szCs w:val="32"/>
        </w:rPr>
        <w:t>3.调查评价</w:t>
      </w:r>
      <w:bookmarkEnd w:id="12"/>
    </w:p>
    <w:p w14:paraId="4AFBBAC2">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三种类型的趋势报告，评价部分需要提供对趋势分析结果的初步/进一步/最终的调查过程、调查结果和结论，描述具体控制措施，并上传证明性文件作为附件。</w:t>
      </w:r>
      <w:bookmarkEnd w:id="10"/>
      <w:r>
        <w:rPr>
          <w:rFonts w:ascii="Times New Roman" w:hAnsi="Times New Roman" w:eastAsia="仿宋" w:cs="Times New Roman"/>
          <w:sz w:val="32"/>
          <w:szCs w:val="32"/>
        </w:rPr>
        <w:t>证明性文件应包含调查记录、分析报告、控制措施实施证据等内容。</w:t>
      </w:r>
    </w:p>
    <w:p w14:paraId="1DAE4A5C">
      <w:pPr>
        <w:spacing w:line="540" w:lineRule="exact"/>
        <w:ind w:firstLine="640" w:firstLineChars="200"/>
        <w:rPr>
          <w:rFonts w:ascii="Times New Roman" w:hAnsi="Times New Roman" w:eastAsia="仿宋" w:cs="Times New Roman"/>
          <w:sz w:val="32"/>
          <w:szCs w:val="32"/>
        </w:rPr>
      </w:pPr>
    </w:p>
    <w:p w14:paraId="0F77D220">
      <w:pPr>
        <w:rPr>
          <w:rFonts w:ascii="Times New Roman" w:hAnsi="Times New Roman" w:eastAsia="宋体" w:cs="Times New Roman"/>
          <w:szCs w:val="32"/>
        </w:rPr>
      </w:pPr>
      <w:r>
        <w:rPr>
          <w:rFonts w:ascii="Times New Roman" w:hAnsi="Times New Roman" w:eastAsia="宋体" w:cs="Times New Roman"/>
          <w:szCs w:val="32"/>
        </w:rPr>
        <w:br w:type="page"/>
      </w:r>
    </w:p>
    <w:p w14:paraId="08C85892">
      <w:pPr>
        <w:ind w:right="-67" w:rightChars="-32"/>
        <w:jc w:val="left"/>
        <w:outlineLvl w:val="0"/>
        <w:rPr>
          <w:rFonts w:ascii="黑体" w:hAnsi="黑体" w:eastAsia="黑体" w:cs="黑体"/>
          <w:sz w:val="32"/>
          <w:szCs w:val="48"/>
        </w:rPr>
      </w:pPr>
      <w:r>
        <w:rPr>
          <w:rFonts w:hint="eastAsia" w:ascii="黑体" w:hAnsi="黑体" w:eastAsia="黑体" w:cs="黑体"/>
          <w:sz w:val="32"/>
          <w:szCs w:val="48"/>
        </w:rPr>
        <w:t>附录</w:t>
      </w:r>
      <w:r>
        <w:rPr>
          <w:rFonts w:ascii="黑体" w:hAnsi="黑体" w:eastAsia="黑体" w:cs="黑体"/>
          <w:sz w:val="32"/>
          <w:szCs w:val="48"/>
        </w:rPr>
        <w:t>1</w:t>
      </w:r>
    </w:p>
    <w:p w14:paraId="4052AAF4">
      <w:pPr>
        <w:ind w:right="-67" w:rightChars="-32"/>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趋势分析方法参考案例</w:t>
      </w:r>
    </w:p>
    <w:p w14:paraId="5FA5374B">
      <w:pPr>
        <w:spacing w:line="540" w:lineRule="exact"/>
        <w:ind w:firstLine="640" w:firstLineChars="200"/>
        <w:outlineLvl w:val="0"/>
        <w:rPr>
          <w:rFonts w:ascii="Times New Roman" w:hAnsi="Times New Roman" w:eastAsia="黑体" w:cs="Times New Roman"/>
          <w:sz w:val="32"/>
          <w:szCs w:val="32"/>
        </w:rPr>
      </w:pPr>
      <w:r>
        <w:rPr>
          <w:rFonts w:ascii="Times New Roman" w:hAnsi="Times New Roman" w:eastAsia="黑体" w:cs="Times New Roman"/>
          <w:sz w:val="32"/>
          <w:szCs w:val="32"/>
        </w:rPr>
        <w:t>一、控制图</w:t>
      </w:r>
    </w:p>
    <w:p w14:paraId="6479E32B">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 xml:space="preserve">某注册人生产的一次性使用中空纤维透析器风险表现的数量利用控制图开展趋势分析发现：连续两个月投诉率超控制限（0.04913），但未发生应当上报的不良事件。注册人初步分析产品工艺存在问题，涉及3个批次，立即采取通知使用单位停用的控制措施，并对离心工艺做了改善的控制措施。投诉率在发现趋势异常后的第二个月下降，第三个月回归正常水平，后续趋势分析结果一直保持稳定。 </w:t>
      </w:r>
    </w:p>
    <w:p w14:paraId="6C9DE09C">
      <w:pPr>
        <w:spacing w:line="54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表1 25个月监测期内产品风险表现与使用次数的数据</w:t>
      </w:r>
    </w:p>
    <w:tbl>
      <w:tblPr>
        <w:tblStyle w:val="10"/>
        <w:tblW w:w="4998" w:type="pct"/>
        <w:jc w:val="center"/>
        <w:tblLayout w:type="autofit"/>
        <w:tblCellMar>
          <w:top w:w="0" w:type="dxa"/>
          <w:left w:w="108" w:type="dxa"/>
          <w:bottom w:w="0" w:type="dxa"/>
          <w:right w:w="108" w:type="dxa"/>
        </w:tblCellMar>
      </w:tblPr>
      <w:tblGrid>
        <w:gridCol w:w="1396"/>
        <w:gridCol w:w="1560"/>
        <w:gridCol w:w="1562"/>
        <w:gridCol w:w="1415"/>
        <w:gridCol w:w="1562"/>
        <w:gridCol w:w="1562"/>
      </w:tblGrid>
      <w:tr w14:paraId="3A33F747">
        <w:tblPrEx>
          <w:tblCellMar>
            <w:top w:w="0" w:type="dxa"/>
            <w:left w:w="108" w:type="dxa"/>
            <w:bottom w:w="0" w:type="dxa"/>
            <w:right w:w="108" w:type="dxa"/>
          </w:tblCellMar>
        </w:tblPrEx>
        <w:trPr>
          <w:trHeight w:val="567" w:hRule="atLeast"/>
          <w:tblHeader/>
          <w:jc w:val="center"/>
        </w:trPr>
        <w:tc>
          <w:tcPr>
            <w:tcW w:w="7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165302F">
            <w:pPr>
              <w:spacing w:line="3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月度</w:t>
            </w:r>
          </w:p>
        </w:tc>
        <w:tc>
          <w:tcPr>
            <w:tcW w:w="86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F75C6B2">
            <w:pPr>
              <w:spacing w:line="3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风险情况</w:t>
            </w:r>
          </w:p>
          <w:p w14:paraId="321AF80F">
            <w:pPr>
              <w:spacing w:line="3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（例）</w:t>
            </w:r>
          </w:p>
        </w:tc>
        <w:tc>
          <w:tcPr>
            <w:tcW w:w="8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F117007">
            <w:pPr>
              <w:spacing w:line="3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使用次数</w:t>
            </w:r>
          </w:p>
          <w:p w14:paraId="5440501A">
            <w:pPr>
              <w:spacing w:line="3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（次）</w:t>
            </w:r>
          </w:p>
        </w:tc>
        <w:tc>
          <w:tcPr>
            <w:tcW w:w="7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CD34DA3">
            <w:pPr>
              <w:spacing w:line="3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月度</w:t>
            </w:r>
          </w:p>
        </w:tc>
        <w:tc>
          <w:tcPr>
            <w:tcW w:w="8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C58BD0F">
            <w:pPr>
              <w:spacing w:line="3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风险情况</w:t>
            </w:r>
          </w:p>
          <w:p w14:paraId="19A5BDBD">
            <w:pPr>
              <w:spacing w:line="3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（例）</w:t>
            </w:r>
          </w:p>
        </w:tc>
        <w:tc>
          <w:tcPr>
            <w:tcW w:w="8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CDF5402">
            <w:pPr>
              <w:spacing w:line="3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使用次数</w:t>
            </w:r>
          </w:p>
          <w:p w14:paraId="60B03C9D">
            <w:pPr>
              <w:spacing w:line="3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（次）</w:t>
            </w:r>
          </w:p>
        </w:tc>
      </w:tr>
      <w:tr w14:paraId="7DF7067F">
        <w:tblPrEx>
          <w:tblCellMar>
            <w:top w:w="0" w:type="dxa"/>
            <w:left w:w="108" w:type="dxa"/>
            <w:bottom w:w="0" w:type="dxa"/>
            <w:right w:w="108" w:type="dxa"/>
          </w:tblCellMar>
        </w:tblPrEx>
        <w:trPr>
          <w:trHeight w:val="567" w:hRule="atLeast"/>
          <w:jc w:val="center"/>
        </w:trPr>
        <w:tc>
          <w:tcPr>
            <w:tcW w:w="7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541DD74">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第1月</w:t>
            </w:r>
          </w:p>
        </w:tc>
        <w:tc>
          <w:tcPr>
            <w:tcW w:w="150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7F51ECD">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44</w:t>
            </w:r>
          </w:p>
        </w:tc>
        <w:tc>
          <w:tcPr>
            <w:tcW w:w="15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39DEDCE">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1350</w:t>
            </w:r>
          </w:p>
        </w:tc>
        <w:tc>
          <w:tcPr>
            <w:tcW w:w="7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4DF124">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第14月</w:t>
            </w:r>
          </w:p>
        </w:tc>
        <w:tc>
          <w:tcPr>
            <w:tcW w:w="15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5E7F4F6">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50</w:t>
            </w:r>
          </w:p>
        </w:tc>
        <w:tc>
          <w:tcPr>
            <w:tcW w:w="15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0A6DCBB">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1370</w:t>
            </w:r>
          </w:p>
        </w:tc>
      </w:tr>
      <w:tr w14:paraId="466606D9">
        <w:tblPrEx>
          <w:tblCellMar>
            <w:top w:w="0" w:type="dxa"/>
            <w:left w:w="108" w:type="dxa"/>
            <w:bottom w:w="0" w:type="dxa"/>
            <w:right w:w="108" w:type="dxa"/>
          </w:tblCellMar>
        </w:tblPrEx>
        <w:trPr>
          <w:trHeight w:val="567" w:hRule="atLeast"/>
          <w:jc w:val="center"/>
        </w:trPr>
        <w:tc>
          <w:tcPr>
            <w:tcW w:w="7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530F025">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第2月</w:t>
            </w:r>
          </w:p>
        </w:tc>
        <w:tc>
          <w:tcPr>
            <w:tcW w:w="150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40DC05A">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42</w:t>
            </w:r>
          </w:p>
        </w:tc>
        <w:tc>
          <w:tcPr>
            <w:tcW w:w="15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9534837">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1380</w:t>
            </w:r>
          </w:p>
        </w:tc>
        <w:tc>
          <w:tcPr>
            <w:tcW w:w="7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0FF7B7A">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第15月</w:t>
            </w:r>
          </w:p>
        </w:tc>
        <w:tc>
          <w:tcPr>
            <w:tcW w:w="15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33AB986">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52</w:t>
            </w:r>
          </w:p>
        </w:tc>
        <w:tc>
          <w:tcPr>
            <w:tcW w:w="15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FF3322B">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1400</w:t>
            </w:r>
          </w:p>
        </w:tc>
      </w:tr>
      <w:tr w14:paraId="62359853">
        <w:tblPrEx>
          <w:tblCellMar>
            <w:top w:w="0" w:type="dxa"/>
            <w:left w:w="108" w:type="dxa"/>
            <w:bottom w:w="0" w:type="dxa"/>
            <w:right w:w="108" w:type="dxa"/>
          </w:tblCellMar>
        </w:tblPrEx>
        <w:trPr>
          <w:trHeight w:val="567" w:hRule="atLeast"/>
          <w:jc w:val="center"/>
        </w:trPr>
        <w:tc>
          <w:tcPr>
            <w:tcW w:w="7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5E75FF9">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第3月</w:t>
            </w:r>
          </w:p>
        </w:tc>
        <w:tc>
          <w:tcPr>
            <w:tcW w:w="150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A588A1E">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47</w:t>
            </w:r>
          </w:p>
        </w:tc>
        <w:tc>
          <w:tcPr>
            <w:tcW w:w="15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0C9124B">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1370</w:t>
            </w:r>
          </w:p>
        </w:tc>
        <w:tc>
          <w:tcPr>
            <w:tcW w:w="7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F4EFADE">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第16月</w:t>
            </w:r>
          </w:p>
        </w:tc>
        <w:tc>
          <w:tcPr>
            <w:tcW w:w="15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C56F151">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44</w:t>
            </w:r>
          </w:p>
        </w:tc>
        <w:tc>
          <w:tcPr>
            <w:tcW w:w="15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6F401F3">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1340</w:t>
            </w:r>
          </w:p>
        </w:tc>
      </w:tr>
      <w:tr w14:paraId="41001E12">
        <w:tblPrEx>
          <w:tblCellMar>
            <w:top w:w="0" w:type="dxa"/>
            <w:left w:w="108" w:type="dxa"/>
            <w:bottom w:w="0" w:type="dxa"/>
            <w:right w:w="108" w:type="dxa"/>
          </w:tblCellMar>
        </w:tblPrEx>
        <w:trPr>
          <w:trHeight w:val="567" w:hRule="atLeast"/>
          <w:jc w:val="center"/>
        </w:trPr>
        <w:tc>
          <w:tcPr>
            <w:tcW w:w="7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41D7363">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第4月</w:t>
            </w:r>
          </w:p>
        </w:tc>
        <w:tc>
          <w:tcPr>
            <w:tcW w:w="150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13E9F54">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48</w:t>
            </w:r>
          </w:p>
        </w:tc>
        <w:tc>
          <w:tcPr>
            <w:tcW w:w="15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B6F4B0">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1360</w:t>
            </w:r>
          </w:p>
        </w:tc>
        <w:tc>
          <w:tcPr>
            <w:tcW w:w="7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2661D24">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第17月</w:t>
            </w:r>
          </w:p>
        </w:tc>
        <w:tc>
          <w:tcPr>
            <w:tcW w:w="15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DFCA20">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42</w:t>
            </w:r>
          </w:p>
        </w:tc>
        <w:tc>
          <w:tcPr>
            <w:tcW w:w="15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27CF6C9">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1380</w:t>
            </w:r>
          </w:p>
        </w:tc>
      </w:tr>
      <w:tr w14:paraId="1E6F9BA3">
        <w:tblPrEx>
          <w:tblCellMar>
            <w:top w:w="0" w:type="dxa"/>
            <w:left w:w="108" w:type="dxa"/>
            <w:bottom w:w="0" w:type="dxa"/>
            <w:right w:w="108" w:type="dxa"/>
          </w:tblCellMar>
        </w:tblPrEx>
        <w:trPr>
          <w:trHeight w:val="567" w:hRule="atLeast"/>
          <w:jc w:val="center"/>
        </w:trPr>
        <w:tc>
          <w:tcPr>
            <w:tcW w:w="7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F69AF0D">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第5月</w:t>
            </w:r>
          </w:p>
        </w:tc>
        <w:tc>
          <w:tcPr>
            <w:tcW w:w="150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E9FA4AC">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42</w:t>
            </w:r>
          </w:p>
        </w:tc>
        <w:tc>
          <w:tcPr>
            <w:tcW w:w="15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C6A6E4B">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1370</w:t>
            </w:r>
          </w:p>
        </w:tc>
        <w:tc>
          <w:tcPr>
            <w:tcW w:w="7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81B7CA4">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第18月</w:t>
            </w:r>
          </w:p>
        </w:tc>
        <w:tc>
          <w:tcPr>
            <w:tcW w:w="15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DD1518E">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38</w:t>
            </w:r>
          </w:p>
        </w:tc>
        <w:tc>
          <w:tcPr>
            <w:tcW w:w="15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F24D85D">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1340</w:t>
            </w:r>
          </w:p>
        </w:tc>
      </w:tr>
      <w:tr w14:paraId="00D2EB0F">
        <w:tblPrEx>
          <w:tblCellMar>
            <w:top w:w="0" w:type="dxa"/>
            <w:left w:w="108" w:type="dxa"/>
            <w:bottom w:w="0" w:type="dxa"/>
            <w:right w:w="108" w:type="dxa"/>
          </w:tblCellMar>
        </w:tblPrEx>
        <w:trPr>
          <w:trHeight w:val="567" w:hRule="atLeast"/>
          <w:jc w:val="center"/>
        </w:trPr>
        <w:tc>
          <w:tcPr>
            <w:tcW w:w="7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91AD29D">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第6月</w:t>
            </w:r>
          </w:p>
        </w:tc>
        <w:tc>
          <w:tcPr>
            <w:tcW w:w="150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244FB2E">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39</w:t>
            </w:r>
          </w:p>
        </w:tc>
        <w:tc>
          <w:tcPr>
            <w:tcW w:w="15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79170E8">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1400</w:t>
            </w:r>
          </w:p>
        </w:tc>
        <w:tc>
          <w:tcPr>
            <w:tcW w:w="7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10305A5">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第19月</w:t>
            </w:r>
          </w:p>
        </w:tc>
        <w:tc>
          <w:tcPr>
            <w:tcW w:w="15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874258B">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45</w:t>
            </w:r>
          </w:p>
        </w:tc>
        <w:tc>
          <w:tcPr>
            <w:tcW w:w="15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838043E">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1340</w:t>
            </w:r>
          </w:p>
        </w:tc>
      </w:tr>
      <w:tr w14:paraId="79C4194E">
        <w:tblPrEx>
          <w:tblCellMar>
            <w:top w:w="0" w:type="dxa"/>
            <w:left w:w="108" w:type="dxa"/>
            <w:bottom w:w="0" w:type="dxa"/>
            <w:right w:w="108" w:type="dxa"/>
          </w:tblCellMar>
        </w:tblPrEx>
        <w:trPr>
          <w:trHeight w:val="567" w:hRule="atLeast"/>
          <w:jc w:val="center"/>
        </w:trPr>
        <w:tc>
          <w:tcPr>
            <w:tcW w:w="7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32CA5A">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第7月</w:t>
            </w:r>
          </w:p>
        </w:tc>
        <w:tc>
          <w:tcPr>
            <w:tcW w:w="150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1AECE62">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45</w:t>
            </w:r>
          </w:p>
        </w:tc>
        <w:tc>
          <w:tcPr>
            <w:tcW w:w="15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33D26A0">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1420</w:t>
            </w:r>
          </w:p>
        </w:tc>
        <w:tc>
          <w:tcPr>
            <w:tcW w:w="7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8B52ECD">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第20月</w:t>
            </w:r>
          </w:p>
        </w:tc>
        <w:tc>
          <w:tcPr>
            <w:tcW w:w="15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4855780">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38</w:t>
            </w:r>
          </w:p>
        </w:tc>
        <w:tc>
          <w:tcPr>
            <w:tcW w:w="15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C0E4B45">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1370</w:t>
            </w:r>
          </w:p>
        </w:tc>
      </w:tr>
      <w:tr w14:paraId="44D79CF7">
        <w:tblPrEx>
          <w:tblCellMar>
            <w:top w:w="0" w:type="dxa"/>
            <w:left w:w="108" w:type="dxa"/>
            <w:bottom w:w="0" w:type="dxa"/>
            <w:right w:w="108" w:type="dxa"/>
          </w:tblCellMar>
        </w:tblPrEx>
        <w:trPr>
          <w:trHeight w:val="567" w:hRule="atLeast"/>
          <w:jc w:val="center"/>
        </w:trPr>
        <w:tc>
          <w:tcPr>
            <w:tcW w:w="7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251B5B1">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第8月</w:t>
            </w:r>
          </w:p>
        </w:tc>
        <w:tc>
          <w:tcPr>
            <w:tcW w:w="150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26F1E19">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47</w:t>
            </w:r>
          </w:p>
        </w:tc>
        <w:tc>
          <w:tcPr>
            <w:tcW w:w="15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A67F7E2">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1370</w:t>
            </w:r>
          </w:p>
        </w:tc>
        <w:tc>
          <w:tcPr>
            <w:tcW w:w="7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3B9C4BD">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第21月</w:t>
            </w:r>
          </w:p>
        </w:tc>
        <w:tc>
          <w:tcPr>
            <w:tcW w:w="15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EEA3EAE">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43</w:t>
            </w:r>
          </w:p>
        </w:tc>
        <w:tc>
          <w:tcPr>
            <w:tcW w:w="15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F2F422">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1400</w:t>
            </w:r>
          </w:p>
        </w:tc>
      </w:tr>
      <w:tr w14:paraId="42A61563">
        <w:tblPrEx>
          <w:tblCellMar>
            <w:top w:w="0" w:type="dxa"/>
            <w:left w:w="108" w:type="dxa"/>
            <w:bottom w:w="0" w:type="dxa"/>
            <w:right w:w="108" w:type="dxa"/>
          </w:tblCellMar>
        </w:tblPrEx>
        <w:trPr>
          <w:trHeight w:val="567" w:hRule="atLeast"/>
          <w:jc w:val="center"/>
        </w:trPr>
        <w:tc>
          <w:tcPr>
            <w:tcW w:w="7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DC6F795">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第9月</w:t>
            </w:r>
          </w:p>
        </w:tc>
        <w:tc>
          <w:tcPr>
            <w:tcW w:w="150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61F323D">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45</w:t>
            </w:r>
          </w:p>
        </w:tc>
        <w:tc>
          <w:tcPr>
            <w:tcW w:w="15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40B4A98">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1340</w:t>
            </w:r>
          </w:p>
        </w:tc>
        <w:tc>
          <w:tcPr>
            <w:tcW w:w="7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8E09DE6">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第22月</w:t>
            </w:r>
          </w:p>
        </w:tc>
        <w:tc>
          <w:tcPr>
            <w:tcW w:w="15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C3B19E0">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40</w:t>
            </w:r>
          </w:p>
        </w:tc>
        <w:tc>
          <w:tcPr>
            <w:tcW w:w="15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69A42E1">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1420</w:t>
            </w:r>
          </w:p>
        </w:tc>
      </w:tr>
      <w:tr w14:paraId="29D781FB">
        <w:tblPrEx>
          <w:tblCellMar>
            <w:top w:w="0" w:type="dxa"/>
            <w:left w:w="108" w:type="dxa"/>
            <w:bottom w:w="0" w:type="dxa"/>
            <w:right w:w="108" w:type="dxa"/>
          </w:tblCellMar>
        </w:tblPrEx>
        <w:trPr>
          <w:trHeight w:val="567" w:hRule="atLeast"/>
          <w:jc w:val="center"/>
        </w:trPr>
        <w:tc>
          <w:tcPr>
            <w:tcW w:w="7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831650A">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第10月</w:t>
            </w:r>
          </w:p>
        </w:tc>
        <w:tc>
          <w:tcPr>
            <w:tcW w:w="150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AB8F4AB">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73</w:t>
            </w:r>
          </w:p>
        </w:tc>
        <w:tc>
          <w:tcPr>
            <w:tcW w:w="15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3D543F3">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1300</w:t>
            </w:r>
          </w:p>
        </w:tc>
        <w:tc>
          <w:tcPr>
            <w:tcW w:w="7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B6B106E">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第23月</w:t>
            </w:r>
          </w:p>
        </w:tc>
        <w:tc>
          <w:tcPr>
            <w:tcW w:w="15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CA2C50D">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47</w:t>
            </w:r>
          </w:p>
        </w:tc>
        <w:tc>
          <w:tcPr>
            <w:tcW w:w="15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DBFF278">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1370</w:t>
            </w:r>
          </w:p>
        </w:tc>
      </w:tr>
      <w:tr w14:paraId="1CEDD2F3">
        <w:tblPrEx>
          <w:tblCellMar>
            <w:top w:w="0" w:type="dxa"/>
            <w:left w:w="108" w:type="dxa"/>
            <w:bottom w:w="0" w:type="dxa"/>
            <w:right w:w="108" w:type="dxa"/>
          </w:tblCellMar>
        </w:tblPrEx>
        <w:trPr>
          <w:trHeight w:val="567" w:hRule="atLeast"/>
          <w:jc w:val="center"/>
        </w:trPr>
        <w:tc>
          <w:tcPr>
            <w:tcW w:w="7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5BA1C3A">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第11月</w:t>
            </w:r>
          </w:p>
        </w:tc>
        <w:tc>
          <w:tcPr>
            <w:tcW w:w="150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58A283D">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68</w:t>
            </w:r>
          </w:p>
        </w:tc>
        <w:tc>
          <w:tcPr>
            <w:tcW w:w="15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5B26CBC">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1260</w:t>
            </w:r>
          </w:p>
        </w:tc>
        <w:tc>
          <w:tcPr>
            <w:tcW w:w="7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1CC0170">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第24月</w:t>
            </w:r>
          </w:p>
        </w:tc>
        <w:tc>
          <w:tcPr>
            <w:tcW w:w="15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ECB8885">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48</w:t>
            </w:r>
          </w:p>
        </w:tc>
        <w:tc>
          <w:tcPr>
            <w:tcW w:w="15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E04A851">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1340</w:t>
            </w:r>
          </w:p>
        </w:tc>
      </w:tr>
      <w:tr w14:paraId="327014C9">
        <w:tblPrEx>
          <w:tblCellMar>
            <w:top w:w="0" w:type="dxa"/>
            <w:left w:w="108" w:type="dxa"/>
            <w:bottom w:w="0" w:type="dxa"/>
            <w:right w:w="108" w:type="dxa"/>
          </w:tblCellMar>
        </w:tblPrEx>
        <w:trPr>
          <w:trHeight w:val="567" w:hRule="atLeast"/>
          <w:jc w:val="center"/>
        </w:trPr>
        <w:tc>
          <w:tcPr>
            <w:tcW w:w="7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2DA07C1">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第12月</w:t>
            </w:r>
          </w:p>
        </w:tc>
        <w:tc>
          <w:tcPr>
            <w:tcW w:w="150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3A8A6E1">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52</w:t>
            </w:r>
          </w:p>
        </w:tc>
        <w:tc>
          <w:tcPr>
            <w:tcW w:w="15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7CA4569">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1280</w:t>
            </w:r>
          </w:p>
        </w:tc>
        <w:tc>
          <w:tcPr>
            <w:tcW w:w="7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4FFCD9">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第25月</w:t>
            </w:r>
          </w:p>
        </w:tc>
        <w:tc>
          <w:tcPr>
            <w:tcW w:w="15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0B2F201">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42</w:t>
            </w:r>
          </w:p>
        </w:tc>
        <w:tc>
          <w:tcPr>
            <w:tcW w:w="15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368C6DE">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1400</w:t>
            </w:r>
          </w:p>
        </w:tc>
      </w:tr>
      <w:tr w14:paraId="180FEA36">
        <w:tblPrEx>
          <w:tblCellMar>
            <w:top w:w="0" w:type="dxa"/>
            <w:left w:w="108" w:type="dxa"/>
            <w:bottom w:w="0" w:type="dxa"/>
            <w:right w:w="108" w:type="dxa"/>
          </w:tblCellMar>
        </w:tblPrEx>
        <w:trPr>
          <w:trHeight w:val="567" w:hRule="atLeast"/>
          <w:jc w:val="center"/>
        </w:trPr>
        <w:tc>
          <w:tcPr>
            <w:tcW w:w="7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878D4C3">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第13月</w:t>
            </w:r>
          </w:p>
        </w:tc>
        <w:tc>
          <w:tcPr>
            <w:tcW w:w="150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29848E3">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45</w:t>
            </w:r>
          </w:p>
        </w:tc>
        <w:tc>
          <w:tcPr>
            <w:tcW w:w="15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D00C297">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1340</w:t>
            </w:r>
          </w:p>
        </w:tc>
        <w:tc>
          <w:tcPr>
            <w:tcW w:w="7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CAA1FE1">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总计</w:t>
            </w:r>
          </w:p>
        </w:tc>
        <w:tc>
          <w:tcPr>
            <w:tcW w:w="8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1FE23E6">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1166</w:t>
            </w:r>
          </w:p>
        </w:tc>
        <w:tc>
          <w:tcPr>
            <w:tcW w:w="8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F3BDC16">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34010</w:t>
            </w:r>
          </w:p>
        </w:tc>
      </w:tr>
    </w:tbl>
    <w:p w14:paraId="5D78532B">
      <w:pPr>
        <w:jc w:val="center"/>
        <w:rPr>
          <w:rFonts w:ascii="Times New Roman" w:hAnsi="Times New Roman" w:eastAsia="仿宋_GB2312" w:cs="Times New Roman"/>
          <w:sz w:val="32"/>
          <w:szCs w:val="32"/>
        </w:rPr>
      </w:pPr>
    </w:p>
    <w:p w14:paraId="61139C26">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drawing>
          <wp:inline distT="0" distB="0" distL="114300" distR="114300">
            <wp:extent cx="4751705" cy="3167380"/>
            <wp:effectExtent l="0" t="0" r="10795" b="13970"/>
            <wp:docPr id="1" name="图片 1" descr="投诉数量 的 U 控制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投诉数量 的 U 控制图"/>
                    <pic:cNvPicPr>
                      <a:picLocks noChangeAspect="1"/>
                    </pic:cNvPicPr>
                  </pic:nvPicPr>
                  <pic:blipFill>
                    <a:blip r:embed="rId5"/>
                    <a:stretch>
                      <a:fillRect/>
                    </a:stretch>
                  </pic:blipFill>
                  <pic:spPr>
                    <a:xfrm>
                      <a:off x="0" y="0"/>
                      <a:ext cx="4751705" cy="3167380"/>
                    </a:xfrm>
                    <a:prstGeom prst="rect">
                      <a:avLst/>
                    </a:prstGeom>
                  </pic:spPr>
                </pic:pic>
              </a:graphicData>
            </a:graphic>
          </wp:inline>
        </w:drawing>
      </w:r>
    </w:p>
    <w:p w14:paraId="283326E4">
      <w:pPr>
        <w:ind w:right="-67" w:rightChars="-32" w:firstLine="560"/>
        <w:jc w:val="center"/>
        <w:rPr>
          <w:rFonts w:ascii="Times New Roman" w:hAnsi="Times New Roman" w:eastAsia="仿宋_GB2312" w:cs="Times New Roman"/>
          <w:b/>
          <w:sz w:val="28"/>
          <w:szCs w:val="28"/>
        </w:rPr>
      </w:pPr>
      <w:bookmarkStart w:id="13" w:name="_Toc10867"/>
      <w:r>
        <w:rPr>
          <w:rFonts w:ascii="Times New Roman" w:hAnsi="Times New Roman" w:eastAsia="仿宋_GB2312" w:cs="Times New Roman"/>
          <w:b/>
          <w:sz w:val="28"/>
          <w:szCs w:val="28"/>
        </w:rPr>
        <w:t>图1 25个月监测期产品风险表现数量趋势分析图</w:t>
      </w:r>
    </w:p>
    <w:p w14:paraId="25A1ED9A">
      <w:pPr>
        <w:ind w:firstLine="640" w:firstLineChars="200"/>
        <w:outlineLvl w:val="0"/>
        <w:rPr>
          <w:rFonts w:ascii="Times New Roman" w:hAnsi="Times New Roman" w:eastAsia="黑体" w:cs="Times New Roman"/>
          <w:sz w:val="32"/>
          <w:szCs w:val="32"/>
        </w:rPr>
      </w:pPr>
      <w:r>
        <w:rPr>
          <w:rFonts w:ascii="Times New Roman" w:hAnsi="Times New Roman" w:eastAsia="黑体" w:cs="Times New Roman"/>
          <w:sz w:val="32"/>
          <w:szCs w:val="32"/>
        </w:rPr>
        <w:t>二、直方图</w:t>
      </w:r>
    </w:p>
    <w:p w14:paraId="420E6C8C">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 xml:space="preserve">某注册人某季度收到的吻合器类产品警戒数据进行分析，对3种不同的吻合器对风险表现的数量利用直方图开展趋势分析发现：型号3出现成钉不良的故障（7例）大于型号1出现成钉不良故障（2例）的3倍。注册人回顾发现风险表现集中在1个批次，立即采取通知使用单位停用的控制措施。经评估发现来料不合格，采取了更换供应商的控制措施，相关风险趋势在次季度未再出现。 </w:t>
      </w:r>
    </w:p>
    <w:p w14:paraId="6F253892">
      <w:pPr>
        <w:spacing w:line="54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表2 某季度3种不同的吻合器风险表现的数据</w:t>
      </w:r>
    </w:p>
    <w:tbl>
      <w:tblPr>
        <w:tblStyle w:val="10"/>
        <w:tblW w:w="5439" w:type="pct"/>
        <w:jc w:val="center"/>
        <w:tblLayout w:type="autofit"/>
        <w:tblCellMar>
          <w:top w:w="0" w:type="dxa"/>
          <w:left w:w="108" w:type="dxa"/>
          <w:bottom w:w="0" w:type="dxa"/>
          <w:right w:w="108" w:type="dxa"/>
        </w:tblCellMar>
      </w:tblPr>
      <w:tblGrid>
        <w:gridCol w:w="994"/>
        <w:gridCol w:w="2228"/>
        <w:gridCol w:w="2229"/>
        <w:gridCol w:w="2229"/>
        <w:gridCol w:w="2177"/>
      </w:tblGrid>
      <w:tr w14:paraId="5708E2B0">
        <w:tblPrEx>
          <w:tblCellMar>
            <w:top w:w="0" w:type="dxa"/>
            <w:left w:w="108" w:type="dxa"/>
            <w:bottom w:w="0" w:type="dxa"/>
            <w:right w:w="108" w:type="dxa"/>
          </w:tblCellMar>
        </w:tblPrEx>
        <w:trPr>
          <w:trHeight w:val="567" w:hRule="atLeast"/>
          <w:jc w:val="center"/>
        </w:trPr>
        <w:tc>
          <w:tcPr>
            <w:tcW w:w="5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AF79CC">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型号</w:t>
            </w:r>
          </w:p>
        </w:tc>
        <w:tc>
          <w:tcPr>
            <w:tcW w:w="11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D13408">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成钉不良（例）</w:t>
            </w:r>
          </w:p>
        </w:tc>
        <w:tc>
          <w:tcPr>
            <w:tcW w:w="11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7CB538">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无法击发（例）</w:t>
            </w:r>
          </w:p>
        </w:tc>
        <w:tc>
          <w:tcPr>
            <w:tcW w:w="11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DC4E0A">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部件损坏（例）</w:t>
            </w:r>
          </w:p>
        </w:tc>
        <w:tc>
          <w:tcPr>
            <w:tcW w:w="10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4B5965">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闭合困难（例）</w:t>
            </w:r>
          </w:p>
        </w:tc>
      </w:tr>
      <w:tr w14:paraId="482F1C27">
        <w:tblPrEx>
          <w:tblCellMar>
            <w:top w:w="0" w:type="dxa"/>
            <w:left w:w="108" w:type="dxa"/>
            <w:bottom w:w="0" w:type="dxa"/>
            <w:right w:w="108" w:type="dxa"/>
          </w:tblCellMar>
        </w:tblPrEx>
        <w:trPr>
          <w:trHeight w:val="567" w:hRule="atLeast"/>
          <w:jc w:val="center"/>
        </w:trPr>
        <w:tc>
          <w:tcPr>
            <w:tcW w:w="5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CA5336">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型号1</w:t>
            </w:r>
          </w:p>
        </w:tc>
        <w:tc>
          <w:tcPr>
            <w:tcW w:w="11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0B0CEC">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2</w:t>
            </w:r>
          </w:p>
        </w:tc>
        <w:tc>
          <w:tcPr>
            <w:tcW w:w="11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EFAA62">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1</w:t>
            </w:r>
          </w:p>
        </w:tc>
        <w:tc>
          <w:tcPr>
            <w:tcW w:w="11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D1DF98">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0</w:t>
            </w:r>
          </w:p>
        </w:tc>
        <w:tc>
          <w:tcPr>
            <w:tcW w:w="10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2DA006">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1</w:t>
            </w:r>
          </w:p>
        </w:tc>
      </w:tr>
      <w:tr w14:paraId="68A49110">
        <w:tblPrEx>
          <w:tblCellMar>
            <w:top w:w="0" w:type="dxa"/>
            <w:left w:w="108" w:type="dxa"/>
            <w:bottom w:w="0" w:type="dxa"/>
            <w:right w:w="108" w:type="dxa"/>
          </w:tblCellMar>
        </w:tblPrEx>
        <w:trPr>
          <w:trHeight w:val="567" w:hRule="atLeast"/>
          <w:jc w:val="center"/>
        </w:trPr>
        <w:tc>
          <w:tcPr>
            <w:tcW w:w="5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C0EAF5">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型号2</w:t>
            </w:r>
          </w:p>
        </w:tc>
        <w:tc>
          <w:tcPr>
            <w:tcW w:w="11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D16BA1">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5</w:t>
            </w:r>
          </w:p>
        </w:tc>
        <w:tc>
          <w:tcPr>
            <w:tcW w:w="11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722F93">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5</w:t>
            </w:r>
          </w:p>
        </w:tc>
        <w:tc>
          <w:tcPr>
            <w:tcW w:w="11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34B553">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1</w:t>
            </w:r>
          </w:p>
        </w:tc>
        <w:tc>
          <w:tcPr>
            <w:tcW w:w="10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339983">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2</w:t>
            </w:r>
          </w:p>
        </w:tc>
      </w:tr>
      <w:tr w14:paraId="3A75395E">
        <w:tblPrEx>
          <w:tblCellMar>
            <w:top w:w="0" w:type="dxa"/>
            <w:left w:w="108" w:type="dxa"/>
            <w:bottom w:w="0" w:type="dxa"/>
            <w:right w:w="108" w:type="dxa"/>
          </w:tblCellMar>
        </w:tblPrEx>
        <w:trPr>
          <w:trHeight w:val="567" w:hRule="atLeast"/>
          <w:jc w:val="center"/>
        </w:trPr>
        <w:tc>
          <w:tcPr>
            <w:tcW w:w="5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728965">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型号3</w:t>
            </w:r>
          </w:p>
        </w:tc>
        <w:tc>
          <w:tcPr>
            <w:tcW w:w="11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D5E282">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7</w:t>
            </w:r>
          </w:p>
        </w:tc>
        <w:tc>
          <w:tcPr>
            <w:tcW w:w="11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717766">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3</w:t>
            </w:r>
          </w:p>
        </w:tc>
        <w:tc>
          <w:tcPr>
            <w:tcW w:w="11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0DD2CB">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2</w:t>
            </w:r>
          </w:p>
        </w:tc>
        <w:tc>
          <w:tcPr>
            <w:tcW w:w="10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A31C02">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1</w:t>
            </w:r>
          </w:p>
        </w:tc>
      </w:tr>
    </w:tbl>
    <w:p w14:paraId="56CC2D44">
      <w:pPr>
        <w:rPr>
          <w:rFonts w:ascii="Times New Roman" w:hAnsi="Times New Roman" w:eastAsia="宋体" w:cs="Times New Roman"/>
          <w:szCs w:val="24"/>
        </w:rPr>
      </w:pPr>
      <w:r>
        <w:rPr>
          <w:rFonts w:ascii="Times New Roman" w:hAnsi="Times New Roman" w:eastAsia="宋体" w:cs="Times New Roman"/>
          <w:szCs w:val="24"/>
        </w:rPr>
        <w:drawing>
          <wp:inline distT="0" distB="0" distL="0" distR="0">
            <wp:extent cx="5219700" cy="3480435"/>
            <wp:effectExtent l="0" t="0" r="0" b="5715"/>
            <wp:docPr id="2" name="图片 3"/>
            <wp:cNvGraphicFramePr/>
            <a:graphic xmlns:a="http://schemas.openxmlformats.org/drawingml/2006/main">
              <a:graphicData uri="http://schemas.openxmlformats.org/drawingml/2006/picture">
                <pic:pic xmlns:pic="http://schemas.openxmlformats.org/drawingml/2006/picture">
                  <pic:nvPicPr>
                    <pic:cNvPr id="2" name="图片 3"/>
                    <pic:cNvPicPr/>
                  </pic:nvPicPr>
                  <pic:blipFill>
                    <a:blip r:embed="rId6" cstate="print"/>
                    <a:srcRect/>
                    <a:stretch>
                      <a:fillRect/>
                    </a:stretch>
                  </pic:blipFill>
                  <pic:spPr>
                    <a:xfrm>
                      <a:off x="0" y="0"/>
                      <a:ext cx="5219700" cy="3480435"/>
                    </a:xfrm>
                    <a:prstGeom prst="rect">
                      <a:avLst/>
                    </a:prstGeom>
                    <a:ln>
                      <a:noFill/>
                    </a:ln>
                  </pic:spPr>
                </pic:pic>
              </a:graphicData>
            </a:graphic>
          </wp:inline>
        </w:drawing>
      </w:r>
    </w:p>
    <w:p w14:paraId="41F5A623">
      <w:pPr>
        <w:spacing w:line="540" w:lineRule="exact"/>
        <w:ind w:right="-67" w:rightChars="-32"/>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图2 某季度3种不同的吻合器风险表现的直方图</w:t>
      </w:r>
    </w:p>
    <w:p w14:paraId="15FDE4D2">
      <w:pPr>
        <w:ind w:firstLine="640" w:firstLineChars="200"/>
        <w:outlineLvl w:val="0"/>
        <w:rPr>
          <w:rFonts w:ascii="Times New Roman" w:hAnsi="Times New Roman" w:eastAsia="黑体" w:cs="Times New Roman"/>
          <w:sz w:val="32"/>
          <w:szCs w:val="32"/>
        </w:rPr>
      </w:pPr>
      <w:r>
        <w:rPr>
          <w:rFonts w:ascii="Times New Roman" w:hAnsi="Times New Roman" w:eastAsia="黑体" w:cs="Times New Roman"/>
          <w:sz w:val="32"/>
          <w:szCs w:val="32"/>
        </w:rPr>
        <w:t>三、帕累托图</w:t>
      </w:r>
    </w:p>
    <w:p w14:paraId="223C2BB8">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某医用电子直线加速器注册人分别对第二、第三季度收到的警戒数据进行分析，除了应当上报不良事件的数据之外，对风险表现的数量利用帕累托图开展趋势分析发现：第三季度出现多叶准直器故障的故障（15例），该季度成为主要风险之一，主要风险表现的顺序发生变化。注册人回顾发现其中8例故障类医疗器械不良事件报告来源的使用单位均为同一家医疗机构，调取维修记录，发现故障原因为部件存在异物颗粒，已经采取了更换的控制措施。</w:t>
      </w:r>
    </w:p>
    <w:p w14:paraId="305CB728">
      <w:pPr>
        <w:spacing w:line="540" w:lineRule="exact"/>
        <w:ind w:firstLine="640" w:firstLineChars="200"/>
        <w:rPr>
          <w:rFonts w:ascii="Times New Roman" w:hAnsi="Times New Roman" w:eastAsia="仿宋" w:cs="Times New Roman"/>
          <w:sz w:val="32"/>
          <w:szCs w:val="32"/>
        </w:rPr>
      </w:pPr>
    </w:p>
    <w:p w14:paraId="1806B137">
      <w:pPr>
        <w:spacing w:line="540" w:lineRule="exact"/>
        <w:jc w:val="center"/>
        <w:rPr>
          <w:rFonts w:ascii="Times New Roman" w:hAnsi="Times New Roman" w:eastAsia="仿宋" w:cs="Times New Roman"/>
          <w:b/>
          <w:sz w:val="28"/>
          <w:szCs w:val="28"/>
        </w:rPr>
      </w:pPr>
      <w:r>
        <w:rPr>
          <w:rFonts w:ascii="Times New Roman" w:hAnsi="Times New Roman" w:eastAsia="仿宋" w:cs="Times New Roman"/>
          <w:b/>
          <w:sz w:val="28"/>
          <w:szCs w:val="28"/>
        </w:rPr>
        <w:t>表3 第2、3季度产品主要风险表现的数据</w:t>
      </w:r>
    </w:p>
    <w:tbl>
      <w:tblPr>
        <w:tblStyle w:val="10"/>
        <w:tblW w:w="4999" w:type="pct"/>
        <w:jc w:val="center"/>
        <w:tblLayout w:type="autofit"/>
        <w:tblCellMar>
          <w:top w:w="0" w:type="dxa"/>
          <w:left w:w="108" w:type="dxa"/>
          <w:bottom w:w="0" w:type="dxa"/>
          <w:right w:w="108" w:type="dxa"/>
        </w:tblCellMar>
      </w:tblPr>
      <w:tblGrid>
        <w:gridCol w:w="3303"/>
        <w:gridCol w:w="2878"/>
        <w:gridCol w:w="2878"/>
      </w:tblGrid>
      <w:tr w14:paraId="3DA8E4B7">
        <w:tblPrEx>
          <w:tblCellMar>
            <w:top w:w="0" w:type="dxa"/>
            <w:left w:w="108" w:type="dxa"/>
            <w:bottom w:w="0" w:type="dxa"/>
            <w:right w:w="108" w:type="dxa"/>
          </w:tblCellMar>
        </w:tblPrEx>
        <w:trPr>
          <w:trHeight w:val="567" w:hRule="atLeast"/>
          <w:jc w:val="center"/>
        </w:trPr>
        <w:tc>
          <w:tcPr>
            <w:tcW w:w="18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0CA994">
            <w:pPr>
              <w:spacing w:line="54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故障表现</w:t>
            </w:r>
          </w:p>
        </w:tc>
        <w:tc>
          <w:tcPr>
            <w:tcW w:w="1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F3E79C">
            <w:pPr>
              <w:spacing w:line="54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第二季度计数（例）</w:t>
            </w:r>
          </w:p>
        </w:tc>
        <w:tc>
          <w:tcPr>
            <w:tcW w:w="1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AE15D8">
            <w:pPr>
              <w:spacing w:line="54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第三季度计数（例）</w:t>
            </w:r>
          </w:p>
        </w:tc>
      </w:tr>
      <w:tr w14:paraId="29FC2F00">
        <w:tblPrEx>
          <w:tblCellMar>
            <w:top w:w="0" w:type="dxa"/>
            <w:left w:w="108" w:type="dxa"/>
            <w:bottom w:w="0" w:type="dxa"/>
            <w:right w:w="108" w:type="dxa"/>
          </w:tblCellMar>
        </w:tblPrEx>
        <w:trPr>
          <w:trHeight w:val="567" w:hRule="atLeast"/>
          <w:jc w:val="center"/>
        </w:trPr>
        <w:tc>
          <w:tcPr>
            <w:tcW w:w="18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AC8EE9">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限位开关损坏</w:t>
            </w:r>
          </w:p>
        </w:tc>
        <w:tc>
          <w:tcPr>
            <w:tcW w:w="1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CD2D3F">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26</w:t>
            </w:r>
          </w:p>
        </w:tc>
        <w:tc>
          <w:tcPr>
            <w:tcW w:w="1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4B3860">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21</w:t>
            </w:r>
          </w:p>
        </w:tc>
      </w:tr>
      <w:tr w14:paraId="183F5606">
        <w:tblPrEx>
          <w:tblCellMar>
            <w:top w:w="0" w:type="dxa"/>
            <w:left w:w="108" w:type="dxa"/>
            <w:bottom w:w="0" w:type="dxa"/>
            <w:right w:w="108" w:type="dxa"/>
          </w:tblCellMar>
        </w:tblPrEx>
        <w:trPr>
          <w:trHeight w:val="567" w:hRule="atLeast"/>
          <w:jc w:val="center"/>
        </w:trPr>
        <w:tc>
          <w:tcPr>
            <w:tcW w:w="18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B99084">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多叶准直器故障</w:t>
            </w:r>
          </w:p>
        </w:tc>
        <w:tc>
          <w:tcPr>
            <w:tcW w:w="1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BA87F6">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4</w:t>
            </w:r>
          </w:p>
        </w:tc>
        <w:tc>
          <w:tcPr>
            <w:tcW w:w="1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4ED225">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15</w:t>
            </w:r>
          </w:p>
        </w:tc>
      </w:tr>
      <w:tr w14:paraId="32FF7F8F">
        <w:tblPrEx>
          <w:tblCellMar>
            <w:top w:w="0" w:type="dxa"/>
            <w:left w:w="108" w:type="dxa"/>
            <w:bottom w:w="0" w:type="dxa"/>
            <w:right w:w="108" w:type="dxa"/>
          </w:tblCellMar>
        </w:tblPrEx>
        <w:trPr>
          <w:trHeight w:val="567" w:hRule="atLeast"/>
          <w:jc w:val="center"/>
        </w:trPr>
        <w:tc>
          <w:tcPr>
            <w:tcW w:w="18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C6C0AC">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自动稳频故障</w:t>
            </w:r>
          </w:p>
        </w:tc>
        <w:tc>
          <w:tcPr>
            <w:tcW w:w="1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AD293F">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15</w:t>
            </w:r>
          </w:p>
        </w:tc>
        <w:tc>
          <w:tcPr>
            <w:tcW w:w="1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8061F8">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14</w:t>
            </w:r>
          </w:p>
        </w:tc>
      </w:tr>
      <w:tr w14:paraId="1C47221D">
        <w:tblPrEx>
          <w:tblCellMar>
            <w:top w:w="0" w:type="dxa"/>
            <w:left w:w="108" w:type="dxa"/>
            <w:bottom w:w="0" w:type="dxa"/>
            <w:right w:w="108" w:type="dxa"/>
          </w:tblCellMar>
        </w:tblPrEx>
        <w:trPr>
          <w:trHeight w:val="567" w:hRule="atLeast"/>
          <w:jc w:val="center"/>
        </w:trPr>
        <w:tc>
          <w:tcPr>
            <w:tcW w:w="18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55A449">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剂量异常</w:t>
            </w:r>
          </w:p>
        </w:tc>
        <w:tc>
          <w:tcPr>
            <w:tcW w:w="1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513DA5">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2</w:t>
            </w:r>
          </w:p>
        </w:tc>
        <w:tc>
          <w:tcPr>
            <w:tcW w:w="1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C8DE31">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3</w:t>
            </w:r>
          </w:p>
        </w:tc>
      </w:tr>
      <w:tr w14:paraId="3B158022">
        <w:tblPrEx>
          <w:tblCellMar>
            <w:top w:w="0" w:type="dxa"/>
            <w:left w:w="108" w:type="dxa"/>
            <w:bottom w:w="0" w:type="dxa"/>
            <w:right w:w="108" w:type="dxa"/>
          </w:tblCellMar>
        </w:tblPrEx>
        <w:trPr>
          <w:trHeight w:val="567" w:hRule="atLeast"/>
          <w:jc w:val="center"/>
        </w:trPr>
        <w:tc>
          <w:tcPr>
            <w:tcW w:w="18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91F659">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电离室损坏</w:t>
            </w:r>
          </w:p>
        </w:tc>
        <w:tc>
          <w:tcPr>
            <w:tcW w:w="1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367AE8">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8</w:t>
            </w:r>
          </w:p>
        </w:tc>
        <w:tc>
          <w:tcPr>
            <w:tcW w:w="1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1135E7">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13</w:t>
            </w:r>
          </w:p>
        </w:tc>
      </w:tr>
      <w:tr w14:paraId="2C99C983">
        <w:tblPrEx>
          <w:tblCellMar>
            <w:top w:w="0" w:type="dxa"/>
            <w:left w:w="108" w:type="dxa"/>
            <w:bottom w:w="0" w:type="dxa"/>
            <w:right w:w="108" w:type="dxa"/>
          </w:tblCellMar>
        </w:tblPrEx>
        <w:trPr>
          <w:trHeight w:val="567" w:hRule="atLeast"/>
          <w:jc w:val="center"/>
        </w:trPr>
        <w:tc>
          <w:tcPr>
            <w:tcW w:w="18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2D4DC1">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磁控管损坏</w:t>
            </w:r>
          </w:p>
        </w:tc>
        <w:tc>
          <w:tcPr>
            <w:tcW w:w="1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5CA459">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39</w:t>
            </w:r>
          </w:p>
        </w:tc>
        <w:tc>
          <w:tcPr>
            <w:tcW w:w="1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08860B">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32</w:t>
            </w:r>
          </w:p>
        </w:tc>
      </w:tr>
      <w:tr w14:paraId="79B04EFB">
        <w:tblPrEx>
          <w:tblCellMar>
            <w:top w:w="0" w:type="dxa"/>
            <w:left w:w="108" w:type="dxa"/>
            <w:bottom w:w="0" w:type="dxa"/>
            <w:right w:w="108" w:type="dxa"/>
          </w:tblCellMar>
        </w:tblPrEx>
        <w:trPr>
          <w:trHeight w:val="567" w:hRule="atLeast"/>
          <w:jc w:val="center"/>
        </w:trPr>
        <w:tc>
          <w:tcPr>
            <w:tcW w:w="18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753E90">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光野灯损坏</w:t>
            </w:r>
          </w:p>
        </w:tc>
        <w:tc>
          <w:tcPr>
            <w:tcW w:w="1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A56894">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12</w:t>
            </w:r>
          </w:p>
        </w:tc>
        <w:tc>
          <w:tcPr>
            <w:tcW w:w="1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87E867">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14</w:t>
            </w:r>
          </w:p>
        </w:tc>
      </w:tr>
      <w:tr w14:paraId="70A28CAF">
        <w:tblPrEx>
          <w:tblCellMar>
            <w:top w:w="0" w:type="dxa"/>
            <w:left w:w="108" w:type="dxa"/>
            <w:bottom w:w="0" w:type="dxa"/>
            <w:right w:w="108" w:type="dxa"/>
          </w:tblCellMar>
        </w:tblPrEx>
        <w:trPr>
          <w:trHeight w:val="567" w:hRule="atLeast"/>
          <w:jc w:val="center"/>
        </w:trPr>
        <w:tc>
          <w:tcPr>
            <w:tcW w:w="18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63F37F">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网络传输故障</w:t>
            </w:r>
          </w:p>
        </w:tc>
        <w:tc>
          <w:tcPr>
            <w:tcW w:w="1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FA1F4E">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3</w:t>
            </w:r>
          </w:p>
        </w:tc>
        <w:tc>
          <w:tcPr>
            <w:tcW w:w="1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2B5D86">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5</w:t>
            </w:r>
          </w:p>
        </w:tc>
      </w:tr>
      <w:tr w14:paraId="6278783E">
        <w:tblPrEx>
          <w:tblCellMar>
            <w:top w:w="0" w:type="dxa"/>
            <w:left w:w="108" w:type="dxa"/>
            <w:bottom w:w="0" w:type="dxa"/>
            <w:right w:w="108" w:type="dxa"/>
          </w:tblCellMar>
        </w:tblPrEx>
        <w:trPr>
          <w:trHeight w:val="567" w:hRule="atLeast"/>
          <w:jc w:val="center"/>
        </w:trPr>
        <w:tc>
          <w:tcPr>
            <w:tcW w:w="18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C427B8">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电脑死机</w:t>
            </w:r>
          </w:p>
        </w:tc>
        <w:tc>
          <w:tcPr>
            <w:tcW w:w="1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3739B2">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2</w:t>
            </w:r>
          </w:p>
        </w:tc>
        <w:tc>
          <w:tcPr>
            <w:tcW w:w="1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1303A8">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4</w:t>
            </w:r>
          </w:p>
        </w:tc>
      </w:tr>
      <w:tr w14:paraId="7F89BAFA">
        <w:tblPrEx>
          <w:tblCellMar>
            <w:top w:w="0" w:type="dxa"/>
            <w:left w:w="108" w:type="dxa"/>
            <w:bottom w:w="0" w:type="dxa"/>
            <w:right w:w="108" w:type="dxa"/>
          </w:tblCellMar>
        </w:tblPrEx>
        <w:trPr>
          <w:trHeight w:val="567" w:hRule="atLeast"/>
          <w:jc w:val="center"/>
        </w:trPr>
        <w:tc>
          <w:tcPr>
            <w:tcW w:w="18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DB17DC">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测距灯损坏</w:t>
            </w:r>
          </w:p>
        </w:tc>
        <w:tc>
          <w:tcPr>
            <w:tcW w:w="1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1D2FB3">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3</w:t>
            </w:r>
          </w:p>
        </w:tc>
        <w:tc>
          <w:tcPr>
            <w:tcW w:w="1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43AAA4">
            <w:pPr>
              <w:widowControl/>
              <w:spacing w:line="360" w:lineRule="exact"/>
              <w:jc w:val="center"/>
              <w:textAlignment w:val="bottom"/>
              <w:rPr>
                <w:rFonts w:ascii="Times New Roman" w:hAnsi="Times New Roman" w:eastAsia="仿宋" w:cs="Times New Roman"/>
                <w:sz w:val="28"/>
                <w:szCs w:val="28"/>
              </w:rPr>
            </w:pPr>
            <w:r>
              <w:rPr>
                <w:rFonts w:ascii="Times New Roman" w:hAnsi="Times New Roman" w:eastAsia="仿宋" w:cs="Times New Roman"/>
                <w:sz w:val="28"/>
                <w:szCs w:val="28"/>
              </w:rPr>
              <w:t>5</w:t>
            </w:r>
          </w:p>
        </w:tc>
      </w:tr>
    </w:tbl>
    <w:p w14:paraId="28D04695">
      <w:pPr>
        <w:jc w:val="center"/>
        <w:rPr>
          <w:rFonts w:ascii="Times New Roman" w:hAnsi="Times New Roman" w:eastAsia="宋体" w:cs="Times New Roman"/>
          <w:szCs w:val="24"/>
        </w:rPr>
      </w:pPr>
      <w:r>
        <w:rPr>
          <w:rFonts w:ascii="Times New Roman" w:hAnsi="Times New Roman" w:eastAsia="宋体" w:cs="Times New Roman"/>
          <w:szCs w:val="24"/>
        </w:rPr>
        <w:drawing>
          <wp:inline distT="0" distB="0" distL="0" distR="0">
            <wp:extent cx="4314825" cy="2593975"/>
            <wp:effectExtent l="0" t="0" r="9525" b="15875"/>
            <wp:docPr id="3" name="图片 8"/>
            <wp:cNvGraphicFramePr/>
            <a:graphic xmlns:a="http://schemas.openxmlformats.org/drawingml/2006/main">
              <a:graphicData uri="http://schemas.openxmlformats.org/drawingml/2006/picture">
                <pic:pic xmlns:pic="http://schemas.openxmlformats.org/drawingml/2006/picture">
                  <pic:nvPicPr>
                    <pic:cNvPr id="3" name="图片 8"/>
                    <pic:cNvPicPr/>
                  </pic:nvPicPr>
                  <pic:blipFill>
                    <a:blip r:embed="rId7" cstate="print"/>
                    <a:srcRect/>
                    <a:stretch>
                      <a:fillRect/>
                    </a:stretch>
                  </pic:blipFill>
                  <pic:spPr>
                    <a:xfrm>
                      <a:off x="0" y="0"/>
                      <a:ext cx="4317754" cy="2596159"/>
                    </a:xfrm>
                    <a:prstGeom prst="rect">
                      <a:avLst/>
                    </a:prstGeom>
                    <a:ln>
                      <a:noFill/>
                    </a:ln>
                  </pic:spPr>
                </pic:pic>
              </a:graphicData>
            </a:graphic>
          </wp:inline>
        </w:drawing>
      </w:r>
    </w:p>
    <w:p w14:paraId="14792894">
      <w:pPr>
        <w:spacing w:line="540" w:lineRule="exact"/>
        <w:ind w:right="-67" w:rightChars="-32"/>
        <w:jc w:val="left"/>
        <w:rPr>
          <w:rFonts w:ascii="Times New Roman" w:hAnsi="Times New Roman" w:eastAsia="仿宋_GB2312" w:cs="Times New Roman"/>
          <w:b/>
          <w:sz w:val="28"/>
          <w:szCs w:val="28"/>
        </w:rPr>
      </w:pPr>
      <w:r>
        <w:rPr>
          <w:rFonts w:ascii="Times New Roman" w:hAnsi="Times New Roman" w:eastAsia="宋体" w:cs="Times New Roman"/>
          <w:szCs w:val="24"/>
        </w:rPr>
        <w:t>注：百分比=该故障表现数量/所有故障表现总数×100%</w:t>
      </w:r>
    </w:p>
    <w:p w14:paraId="5EFD4746">
      <w:pPr>
        <w:spacing w:line="540" w:lineRule="exact"/>
        <w:ind w:right="-67" w:rightChars="-32"/>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图3 第二季度产品主要风险表现占比趋势分析图</w:t>
      </w:r>
    </w:p>
    <w:p w14:paraId="0A1AEA3F">
      <w:pPr>
        <w:spacing w:line="540" w:lineRule="exact"/>
        <w:ind w:right="-67" w:rightChars="-32"/>
        <w:jc w:val="center"/>
        <w:rPr>
          <w:rFonts w:ascii="Times New Roman" w:hAnsi="Times New Roman" w:eastAsia="仿宋_GB2312" w:cs="Times New Roman"/>
          <w:b/>
          <w:szCs w:val="32"/>
        </w:rPr>
      </w:pPr>
    </w:p>
    <w:p w14:paraId="68A93A5C">
      <w:pPr>
        <w:jc w:val="center"/>
        <w:rPr>
          <w:rFonts w:ascii="Times New Roman" w:hAnsi="Times New Roman" w:eastAsia="宋体" w:cs="Times New Roman"/>
          <w:szCs w:val="24"/>
        </w:rPr>
      </w:pPr>
      <w:r>
        <w:rPr>
          <w:rFonts w:ascii="Times New Roman" w:hAnsi="Times New Roman" w:eastAsia="宋体" w:cs="Times New Roman"/>
          <w:szCs w:val="24"/>
        </w:rPr>
        <w:drawing>
          <wp:inline distT="0" distB="0" distL="0" distR="0">
            <wp:extent cx="4679950" cy="3120390"/>
            <wp:effectExtent l="0" t="0" r="6350" b="3810"/>
            <wp:docPr id="4" name="图片 7"/>
            <wp:cNvGraphicFramePr/>
            <a:graphic xmlns:a="http://schemas.openxmlformats.org/drawingml/2006/main">
              <a:graphicData uri="http://schemas.openxmlformats.org/drawingml/2006/picture">
                <pic:pic xmlns:pic="http://schemas.openxmlformats.org/drawingml/2006/picture">
                  <pic:nvPicPr>
                    <pic:cNvPr id="4" name="图片 7"/>
                    <pic:cNvPicPr/>
                  </pic:nvPicPr>
                  <pic:blipFill>
                    <a:blip r:embed="rId8" cstate="print"/>
                    <a:srcRect/>
                    <a:stretch>
                      <a:fillRect/>
                    </a:stretch>
                  </pic:blipFill>
                  <pic:spPr>
                    <a:xfrm>
                      <a:off x="0" y="0"/>
                      <a:ext cx="4679950" cy="3120390"/>
                    </a:xfrm>
                    <a:prstGeom prst="rect">
                      <a:avLst/>
                    </a:prstGeom>
                    <a:ln>
                      <a:noFill/>
                    </a:ln>
                  </pic:spPr>
                </pic:pic>
              </a:graphicData>
            </a:graphic>
          </wp:inline>
        </w:drawing>
      </w:r>
    </w:p>
    <w:p w14:paraId="420C8B3B">
      <w:pPr>
        <w:spacing w:line="540" w:lineRule="exact"/>
        <w:ind w:right="-67" w:rightChars="-32"/>
        <w:jc w:val="center"/>
        <w:rPr>
          <w:rFonts w:ascii="Times New Roman" w:hAnsi="Times New Roman" w:eastAsia="仿宋_GB2312" w:cs="Times New Roman"/>
          <w:b/>
          <w:szCs w:val="32"/>
        </w:rPr>
      </w:pPr>
      <w:r>
        <w:rPr>
          <w:rFonts w:ascii="Times New Roman" w:hAnsi="Times New Roman" w:eastAsia="仿宋_GB2312" w:cs="Times New Roman"/>
          <w:b/>
          <w:sz w:val="28"/>
          <w:szCs w:val="28"/>
        </w:rPr>
        <w:t>图4第三季度产品主要风险表现占比趋势分析图</w:t>
      </w:r>
    </w:p>
    <w:p w14:paraId="6FE08511">
      <w:pPr>
        <w:ind w:right="-67" w:rightChars="-32"/>
        <w:jc w:val="center"/>
        <w:rPr>
          <w:rFonts w:ascii="Times New Roman" w:hAnsi="Times New Roman" w:eastAsia="宋体" w:cs="Times New Roman"/>
          <w:szCs w:val="32"/>
        </w:rPr>
      </w:pPr>
    </w:p>
    <w:p w14:paraId="68D7D998">
      <w:pPr>
        <w:rPr>
          <w:rFonts w:ascii="Times New Roman" w:hAnsi="Times New Roman" w:eastAsia="黑体" w:cs="Times New Roman"/>
          <w:bCs/>
          <w:szCs w:val="18"/>
        </w:rPr>
      </w:pPr>
    </w:p>
    <w:p w14:paraId="25EE3309">
      <w:pPr>
        <w:rPr>
          <w:rFonts w:ascii="Times New Roman" w:hAnsi="Times New Roman" w:eastAsia="黑体" w:cs="Times New Roman"/>
          <w:bCs/>
          <w:szCs w:val="18"/>
        </w:rPr>
      </w:pPr>
      <w:r>
        <w:rPr>
          <w:rFonts w:ascii="Times New Roman" w:hAnsi="Times New Roman" w:eastAsia="黑体" w:cs="Times New Roman"/>
          <w:bCs/>
          <w:szCs w:val="18"/>
        </w:rPr>
        <w:br w:type="page"/>
      </w:r>
    </w:p>
    <w:bookmarkEnd w:id="13"/>
    <w:p w14:paraId="54353470">
      <w:pPr>
        <w:ind w:right="-67" w:rightChars="-32"/>
        <w:jc w:val="left"/>
        <w:outlineLvl w:val="1"/>
        <w:rPr>
          <w:rFonts w:ascii="Times New Roman" w:hAnsi="Times New Roman" w:eastAsia="黑体" w:cs="Times New Roman"/>
          <w:sz w:val="32"/>
          <w:szCs w:val="48"/>
        </w:rPr>
      </w:pPr>
      <w:r>
        <w:rPr>
          <w:rFonts w:ascii="Times New Roman" w:hAnsi="Times New Roman" w:eastAsia="黑体" w:cs="Times New Roman"/>
          <w:sz w:val="32"/>
          <w:szCs w:val="48"/>
        </w:rPr>
        <w:t>附录2</w:t>
      </w:r>
    </w:p>
    <w:p w14:paraId="3604CDE9">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《医疗器械趋势报告》</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2"/>
        <w:gridCol w:w="4000"/>
      </w:tblGrid>
      <w:tr w14:paraId="19104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522" w:type="dxa"/>
            <w:gridSpan w:val="2"/>
            <w:vAlign w:val="bottom"/>
          </w:tcPr>
          <w:p w14:paraId="22A8DD42">
            <w:pPr>
              <w:widowControl/>
              <w:spacing w:line="400" w:lineRule="exact"/>
              <w:ind w:firstLine="482"/>
              <w:jc w:val="left"/>
              <w:rPr>
                <w:rFonts w:ascii="Times New Roman" w:hAnsi="Times New Roman" w:eastAsia="仿宋_GB2312" w:cs="Times New Roman"/>
                <w:b/>
                <w:kern w:val="0"/>
                <w:sz w:val="24"/>
                <w:szCs w:val="24"/>
              </w:rPr>
            </w:pPr>
            <w:r>
              <w:rPr>
                <w:rFonts w:ascii="Times New Roman" w:hAnsi="Times New Roman" w:eastAsia="仿宋_GB2312" w:cs="Times New Roman"/>
                <w:b/>
                <w:kern w:val="0"/>
                <w:sz w:val="24"/>
                <w:szCs w:val="24"/>
              </w:rPr>
              <w:t>1.报告基本情况</w:t>
            </w:r>
          </w:p>
        </w:tc>
      </w:tr>
      <w:tr w14:paraId="24006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522" w:type="dxa"/>
            <w:vAlign w:val="bottom"/>
          </w:tcPr>
          <w:p w14:paraId="27E56DE1">
            <w:pPr>
              <w:widowControl/>
              <w:spacing w:line="400" w:lineRule="exact"/>
              <w:ind w:firstLine="48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报告编码：</w:t>
            </w:r>
          </w:p>
        </w:tc>
        <w:tc>
          <w:tcPr>
            <w:tcW w:w="4000" w:type="dxa"/>
            <w:vAlign w:val="bottom"/>
          </w:tcPr>
          <w:p w14:paraId="35863AAF">
            <w:pPr>
              <w:widowControl/>
              <w:spacing w:line="400" w:lineRule="exact"/>
              <w:ind w:firstLine="48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报告单位：</w:t>
            </w:r>
          </w:p>
        </w:tc>
      </w:tr>
      <w:tr w14:paraId="58E53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522" w:type="dxa"/>
            <w:vAlign w:val="bottom"/>
          </w:tcPr>
          <w:p w14:paraId="403E0A7A">
            <w:pPr>
              <w:widowControl/>
              <w:spacing w:line="400" w:lineRule="exact"/>
              <w:ind w:firstLine="48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趋势发现日期：</w:t>
            </w:r>
          </w:p>
        </w:tc>
        <w:tc>
          <w:tcPr>
            <w:tcW w:w="4000" w:type="dxa"/>
            <w:vAlign w:val="bottom"/>
          </w:tcPr>
          <w:p w14:paraId="20A3AD47">
            <w:pPr>
              <w:widowControl/>
              <w:spacing w:line="400" w:lineRule="exact"/>
              <w:ind w:firstLine="48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趋势报告日期：</w:t>
            </w:r>
          </w:p>
        </w:tc>
      </w:tr>
      <w:tr w14:paraId="15CA0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522" w:type="dxa"/>
            <w:vAlign w:val="bottom"/>
          </w:tcPr>
          <w:p w14:paraId="60254729">
            <w:pPr>
              <w:widowControl/>
              <w:spacing w:line="400" w:lineRule="exact"/>
              <w:ind w:firstLine="48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传真：</w:t>
            </w:r>
          </w:p>
        </w:tc>
        <w:tc>
          <w:tcPr>
            <w:tcW w:w="4000" w:type="dxa"/>
            <w:vAlign w:val="bottom"/>
          </w:tcPr>
          <w:p w14:paraId="22D0AC52">
            <w:pPr>
              <w:widowControl/>
              <w:spacing w:line="400" w:lineRule="exact"/>
              <w:ind w:firstLine="48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邮政编码：</w:t>
            </w:r>
          </w:p>
        </w:tc>
      </w:tr>
      <w:tr w14:paraId="7BCE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522" w:type="dxa"/>
            <w:gridSpan w:val="2"/>
            <w:vAlign w:val="bottom"/>
          </w:tcPr>
          <w:p w14:paraId="60FB700E">
            <w:pPr>
              <w:widowControl/>
              <w:spacing w:line="400" w:lineRule="exact"/>
              <w:ind w:firstLine="48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企业地址：</w:t>
            </w:r>
          </w:p>
        </w:tc>
      </w:tr>
      <w:tr w14:paraId="428EE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522" w:type="dxa"/>
            <w:vAlign w:val="bottom"/>
          </w:tcPr>
          <w:p w14:paraId="7041DD7D">
            <w:pPr>
              <w:widowControl/>
              <w:spacing w:line="400" w:lineRule="exact"/>
              <w:ind w:firstLine="48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负责部门：</w:t>
            </w:r>
          </w:p>
        </w:tc>
        <w:tc>
          <w:tcPr>
            <w:tcW w:w="4000" w:type="dxa"/>
            <w:vAlign w:val="bottom"/>
          </w:tcPr>
          <w:p w14:paraId="59FBFDBB">
            <w:pPr>
              <w:widowControl/>
              <w:spacing w:line="400" w:lineRule="exact"/>
              <w:ind w:firstLine="48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联系电话：</w:t>
            </w:r>
          </w:p>
        </w:tc>
      </w:tr>
      <w:tr w14:paraId="5D723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522" w:type="dxa"/>
            <w:vAlign w:val="bottom"/>
          </w:tcPr>
          <w:p w14:paraId="3EC435EC">
            <w:pPr>
              <w:widowControl/>
              <w:spacing w:line="400" w:lineRule="exact"/>
              <w:ind w:firstLine="48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联系人：</w:t>
            </w:r>
          </w:p>
        </w:tc>
        <w:tc>
          <w:tcPr>
            <w:tcW w:w="4000" w:type="dxa"/>
            <w:vAlign w:val="bottom"/>
          </w:tcPr>
          <w:p w14:paraId="61D644EC">
            <w:pPr>
              <w:widowControl/>
              <w:spacing w:line="400" w:lineRule="exact"/>
              <w:ind w:firstLine="48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电子邮件：</w:t>
            </w:r>
          </w:p>
        </w:tc>
      </w:tr>
      <w:tr w14:paraId="13EED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522" w:type="dxa"/>
            <w:gridSpan w:val="2"/>
            <w:vAlign w:val="bottom"/>
          </w:tcPr>
          <w:p w14:paraId="1BF98E82">
            <w:pPr>
              <w:widowControl/>
              <w:spacing w:line="400" w:lineRule="exact"/>
              <w:ind w:firstLine="482"/>
              <w:jc w:val="left"/>
              <w:rPr>
                <w:rFonts w:ascii="Times New Roman" w:hAnsi="Times New Roman" w:eastAsia="仿宋_GB2312" w:cs="Times New Roman"/>
                <w:b/>
                <w:kern w:val="0"/>
                <w:sz w:val="24"/>
                <w:szCs w:val="24"/>
              </w:rPr>
            </w:pPr>
            <w:r>
              <w:rPr>
                <w:rFonts w:ascii="Times New Roman" w:hAnsi="Times New Roman" w:eastAsia="仿宋_GB2312" w:cs="Times New Roman"/>
                <w:b/>
                <w:kern w:val="0"/>
                <w:sz w:val="24"/>
                <w:szCs w:val="24"/>
              </w:rPr>
              <w:t>2.医疗器械情况</w:t>
            </w:r>
          </w:p>
        </w:tc>
      </w:tr>
      <w:tr w14:paraId="320D1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522" w:type="dxa"/>
            <w:vAlign w:val="bottom"/>
          </w:tcPr>
          <w:p w14:paraId="32CB2012">
            <w:pPr>
              <w:widowControl/>
              <w:spacing w:line="400" w:lineRule="exact"/>
              <w:ind w:firstLine="48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注册证编号：</w:t>
            </w:r>
          </w:p>
        </w:tc>
        <w:tc>
          <w:tcPr>
            <w:tcW w:w="4000" w:type="dxa"/>
            <w:vAlign w:val="bottom"/>
          </w:tcPr>
          <w:p w14:paraId="739383CA">
            <w:pPr>
              <w:widowControl/>
              <w:spacing w:line="400" w:lineRule="exact"/>
              <w:ind w:firstLine="48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产品名称：</w:t>
            </w:r>
          </w:p>
        </w:tc>
      </w:tr>
      <w:tr w14:paraId="468B5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522" w:type="dxa"/>
            <w:vAlign w:val="bottom"/>
          </w:tcPr>
          <w:p w14:paraId="6AA43507">
            <w:pPr>
              <w:widowControl/>
              <w:spacing w:line="400" w:lineRule="exact"/>
              <w:ind w:firstLine="48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注册批准日期：</w:t>
            </w:r>
          </w:p>
        </w:tc>
        <w:tc>
          <w:tcPr>
            <w:tcW w:w="4000" w:type="dxa"/>
            <w:vAlign w:val="bottom"/>
          </w:tcPr>
          <w:p w14:paraId="05753853">
            <w:pPr>
              <w:widowControl/>
              <w:spacing w:line="400" w:lineRule="exact"/>
              <w:ind w:firstLine="48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注册证有效期：</w:t>
            </w:r>
          </w:p>
        </w:tc>
      </w:tr>
      <w:tr w14:paraId="5EBE4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522" w:type="dxa"/>
            <w:vAlign w:val="bottom"/>
          </w:tcPr>
          <w:p w14:paraId="48B6C88A">
            <w:pPr>
              <w:widowControl/>
              <w:spacing w:line="400" w:lineRule="exact"/>
              <w:ind w:firstLine="48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产品类别：</w:t>
            </w:r>
          </w:p>
        </w:tc>
        <w:tc>
          <w:tcPr>
            <w:tcW w:w="4000" w:type="dxa"/>
            <w:vAlign w:val="bottom"/>
          </w:tcPr>
          <w:p w14:paraId="23B8933B">
            <w:pPr>
              <w:widowControl/>
              <w:spacing w:line="400" w:lineRule="exact"/>
              <w:ind w:firstLine="48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产地：</w:t>
            </w:r>
          </w:p>
        </w:tc>
      </w:tr>
      <w:tr w14:paraId="0952C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522" w:type="dxa"/>
            <w:vAlign w:val="bottom"/>
          </w:tcPr>
          <w:p w14:paraId="7B039479">
            <w:pPr>
              <w:widowControl/>
              <w:spacing w:line="400" w:lineRule="exact"/>
              <w:ind w:firstLine="48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管理类别：</w:t>
            </w:r>
          </w:p>
        </w:tc>
        <w:tc>
          <w:tcPr>
            <w:tcW w:w="4000" w:type="dxa"/>
            <w:vAlign w:val="bottom"/>
          </w:tcPr>
          <w:p w14:paraId="5877DEC9">
            <w:pPr>
              <w:widowControl/>
              <w:spacing w:line="400" w:lineRule="exact"/>
              <w:ind w:firstLine="48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型号/规格：</w:t>
            </w:r>
          </w:p>
        </w:tc>
      </w:tr>
      <w:tr w14:paraId="21DAD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522" w:type="dxa"/>
            <w:gridSpan w:val="2"/>
            <w:vAlign w:val="bottom"/>
          </w:tcPr>
          <w:p w14:paraId="28AC4968">
            <w:pPr>
              <w:widowControl/>
              <w:spacing w:line="400" w:lineRule="exact"/>
              <w:ind w:firstLine="482"/>
              <w:jc w:val="left"/>
              <w:rPr>
                <w:rFonts w:ascii="Times New Roman" w:hAnsi="Times New Roman" w:eastAsia="仿宋_GB2312" w:cs="Times New Roman"/>
                <w:b/>
                <w:kern w:val="0"/>
                <w:sz w:val="24"/>
                <w:szCs w:val="24"/>
              </w:rPr>
            </w:pPr>
            <w:r>
              <w:rPr>
                <w:rFonts w:ascii="Times New Roman" w:hAnsi="Times New Roman" w:eastAsia="仿宋_GB2312" w:cs="Times New Roman"/>
                <w:b/>
                <w:kern w:val="0"/>
                <w:sz w:val="24"/>
                <w:szCs w:val="24"/>
              </w:rPr>
              <w:t>3.趋势报告情况</w:t>
            </w:r>
          </w:p>
        </w:tc>
      </w:tr>
      <w:tr w14:paraId="762A7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522" w:type="dxa"/>
            <w:gridSpan w:val="2"/>
            <w:vAlign w:val="bottom"/>
          </w:tcPr>
          <w:p w14:paraId="3336B6DE">
            <w:pPr>
              <w:widowControl/>
              <w:spacing w:line="400" w:lineRule="exact"/>
              <w:ind w:firstLine="48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报告类型：</w:t>
            </w:r>
            <w:r>
              <w:rPr>
                <w:rFonts w:ascii="Times New Roman" w:hAnsi="Times New Roman" w:eastAsia="仿宋_GB2312" w:cs="Times New Roman"/>
                <w:kern w:val="0"/>
                <w:sz w:val="24"/>
                <w:szCs w:val="24"/>
              </w:rPr>
              <w:sym w:font="Wingdings" w:char="00A8"/>
            </w:r>
            <w:r>
              <w:rPr>
                <w:rFonts w:ascii="Times New Roman" w:hAnsi="Times New Roman" w:eastAsia="仿宋_GB2312" w:cs="Times New Roman"/>
                <w:kern w:val="0"/>
                <w:sz w:val="24"/>
                <w:szCs w:val="24"/>
              </w:rPr>
              <w:t xml:space="preserve"> 初始趋势  </w:t>
            </w:r>
            <w:r>
              <w:rPr>
                <w:rFonts w:ascii="Times New Roman" w:hAnsi="Times New Roman" w:eastAsia="仿宋_GB2312" w:cs="Times New Roman"/>
                <w:kern w:val="0"/>
                <w:sz w:val="24"/>
                <w:szCs w:val="24"/>
              </w:rPr>
              <w:sym w:font="Wingdings" w:char="00A8"/>
            </w:r>
            <w:r>
              <w:rPr>
                <w:rFonts w:ascii="Times New Roman" w:hAnsi="Times New Roman" w:eastAsia="仿宋_GB2312" w:cs="Times New Roman"/>
                <w:kern w:val="0"/>
                <w:sz w:val="24"/>
                <w:szCs w:val="24"/>
              </w:rPr>
              <w:t xml:space="preserve"> 趋势跟进  </w:t>
            </w:r>
            <w:r>
              <w:rPr>
                <w:rFonts w:ascii="Times New Roman" w:hAnsi="Times New Roman" w:eastAsia="仿宋_GB2312" w:cs="Times New Roman"/>
                <w:kern w:val="0"/>
                <w:sz w:val="24"/>
                <w:szCs w:val="24"/>
              </w:rPr>
              <w:sym w:font="Wingdings" w:char="00A8"/>
            </w:r>
            <w:r>
              <w:rPr>
                <w:rFonts w:ascii="Times New Roman" w:hAnsi="Times New Roman" w:eastAsia="仿宋_GB2312" w:cs="Times New Roman"/>
                <w:kern w:val="0"/>
                <w:sz w:val="24"/>
                <w:szCs w:val="24"/>
              </w:rPr>
              <w:t xml:space="preserve"> 最终趋势</w:t>
            </w:r>
          </w:p>
        </w:tc>
      </w:tr>
      <w:tr w14:paraId="797A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522" w:type="dxa"/>
            <w:vAlign w:val="bottom"/>
          </w:tcPr>
          <w:p w14:paraId="2950B2D9">
            <w:pPr>
              <w:widowControl/>
              <w:spacing w:line="400" w:lineRule="exact"/>
              <w:ind w:firstLine="48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数据起始汇总期：</w:t>
            </w:r>
          </w:p>
        </w:tc>
        <w:tc>
          <w:tcPr>
            <w:tcW w:w="4000" w:type="dxa"/>
            <w:vAlign w:val="bottom"/>
          </w:tcPr>
          <w:p w14:paraId="728CD755">
            <w:pPr>
              <w:widowControl/>
              <w:spacing w:line="400" w:lineRule="exact"/>
              <w:ind w:firstLine="48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数据截止汇总期：</w:t>
            </w:r>
          </w:p>
        </w:tc>
      </w:tr>
      <w:tr w14:paraId="0D6A8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522" w:type="dxa"/>
            <w:vAlign w:val="bottom"/>
          </w:tcPr>
          <w:p w14:paraId="6FB61177">
            <w:pPr>
              <w:widowControl/>
              <w:spacing w:line="400" w:lineRule="exact"/>
              <w:ind w:firstLine="48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涉及不良事件报告总数：</w:t>
            </w:r>
          </w:p>
        </w:tc>
        <w:tc>
          <w:tcPr>
            <w:tcW w:w="4000" w:type="dxa"/>
            <w:vAlign w:val="bottom"/>
          </w:tcPr>
          <w:p w14:paraId="27A3EFD0">
            <w:pPr>
              <w:widowControl/>
              <w:spacing w:line="400" w:lineRule="exact"/>
              <w:ind w:firstLine="48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汇总的风险表现总数：</w:t>
            </w:r>
          </w:p>
        </w:tc>
      </w:tr>
      <w:tr w14:paraId="0CCA4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522" w:type="dxa"/>
            <w:gridSpan w:val="2"/>
            <w:vAlign w:val="bottom"/>
          </w:tcPr>
          <w:p w14:paraId="77F81310">
            <w:pPr>
              <w:widowControl/>
              <w:spacing w:line="400" w:lineRule="exact"/>
              <w:ind w:firstLine="48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数据汇总期内总的使用次数（或使用量）：</w:t>
            </w:r>
          </w:p>
        </w:tc>
      </w:tr>
      <w:tr w14:paraId="1DB15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522" w:type="dxa"/>
            <w:gridSpan w:val="2"/>
            <w:vAlign w:val="bottom"/>
          </w:tcPr>
          <w:p w14:paraId="27C0C7EA">
            <w:pPr>
              <w:widowControl/>
              <w:spacing w:line="400" w:lineRule="exact"/>
              <w:ind w:firstLine="48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对异常趋势/趋势结束的描述：（*将趋势异常变化的图片作为附件上传）</w:t>
            </w:r>
          </w:p>
        </w:tc>
      </w:tr>
      <w:tr w14:paraId="7FB9E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522" w:type="dxa"/>
            <w:gridSpan w:val="2"/>
            <w:vAlign w:val="bottom"/>
          </w:tcPr>
          <w:p w14:paraId="5C2BF833">
            <w:pPr>
              <w:widowControl/>
              <w:spacing w:line="400" w:lineRule="exact"/>
              <w:ind w:firstLine="48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对已设立的阈值和触发级别的描述：（*将趋势分析程序作为附件上传）</w:t>
            </w:r>
          </w:p>
        </w:tc>
      </w:tr>
      <w:tr w14:paraId="1D7AA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522" w:type="dxa"/>
            <w:gridSpan w:val="2"/>
            <w:vAlign w:val="bottom"/>
          </w:tcPr>
          <w:p w14:paraId="6EB216D0">
            <w:pPr>
              <w:widowControl/>
              <w:spacing w:line="400" w:lineRule="exact"/>
              <w:ind w:firstLine="480"/>
              <w:jc w:val="left"/>
              <w:rPr>
                <w:rFonts w:ascii="Times New Roman" w:hAnsi="Times New Roman" w:eastAsia="仿宋_GB2312" w:cs="Times New Roman"/>
                <w:kern w:val="0"/>
                <w:szCs w:val="20"/>
              </w:rPr>
            </w:pPr>
            <w:r>
              <w:rPr>
                <w:rFonts w:ascii="Times New Roman" w:hAnsi="Times New Roman" w:eastAsia="仿宋_GB2312" w:cs="Times New Roman"/>
                <w:kern w:val="0"/>
                <w:sz w:val="24"/>
                <w:szCs w:val="24"/>
              </w:rPr>
              <w:t>异常趋势是否可能导致死亡或严重伤害：</w:t>
            </w:r>
            <w:r>
              <w:rPr>
                <w:rFonts w:ascii="Times New Roman" w:hAnsi="Times New Roman" w:eastAsia="仿宋_GB2312" w:cs="Times New Roman"/>
                <w:kern w:val="0"/>
                <w:sz w:val="24"/>
                <w:szCs w:val="24"/>
              </w:rPr>
              <w:sym w:font="Wingdings" w:char="00A8"/>
            </w:r>
            <w:r>
              <w:rPr>
                <w:rFonts w:ascii="Times New Roman" w:hAnsi="Times New Roman" w:eastAsia="仿宋_GB2312" w:cs="Times New Roman"/>
                <w:kern w:val="0"/>
                <w:sz w:val="24"/>
                <w:szCs w:val="24"/>
              </w:rPr>
              <w:t xml:space="preserve"> 是  </w:t>
            </w:r>
            <w:r>
              <w:rPr>
                <w:rFonts w:ascii="Times New Roman" w:hAnsi="Times New Roman" w:eastAsia="仿宋_GB2312" w:cs="Times New Roman"/>
                <w:kern w:val="0"/>
                <w:sz w:val="24"/>
                <w:szCs w:val="24"/>
              </w:rPr>
              <w:sym w:font="Wingdings" w:char="00A8"/>
            </w:r>
            <w:r>
              <w:rPr>
                <w:rFonts w:ascii="Times New Roman" w:hAnsi="Times New Roman" w:eastAsia="仿宋_GB2312" w:cs="Times New Roman"/>
                <w:kern w:val="0"/>
                <w:sz w:val="24"/>
                <w:szCs w:val="24"/>
              </w:rPr>
              <w:t xml:space="preserve"> 否</w:t>
            </w:r>
          </w:p>
        </w:tc>
      </w:tr>
      <w:tr w14:paraId="2B020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522" w:type="dxa"/>
            <w:gridSpan w:val="2"/>
            <w:vAlign w:val="bottom"/>
          </w:tcPr>
          <w:p w14:paraId="304C0030">
            <w:pPr>
              <w:widowControl/>
              <w:spacing w:line="400" w:lineRule="exact"/>
              <w:ind w:firstLine="48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是否已将任何趋势相关的危险情况或伤害作为个例报告上报：</w:t>
            </w:r>
            <w:r>
              <w:rPr>
                <w:rFonts w:ascii="Times New Roman" w:hAnsi="Times New Roman" w:eastAsia="仿宋_GB2312" w:cs="Times New Roman"/>
                <w:kern w:val="0"/>
                <w:sz w:val="24"/>
                <w:szCs w:val="24"/>
              </w:rPr>
              <w:sym w:font="Wingdings" w:char="00A8"/>
            </w:r>
            <w:r>
              <w:rPr>
                <w:rFonts w:ascii="Times New Roman" w:hAnsi="Times New Roman" w:eastAsia="仿宋_GB2312" w:cs="Times New Roman"/>
                <w:kern w:val="0"/>
                <w:sz w:val="24"/>
                <w:szCs w:val="24"/>
              </w:rPr>
              <w:t xml:space="preserve"> 是  </w:t>
            </w:r>
            <w:r>
              <w:rPr>
                <w:rFonts w:ascii="Times New Roman" w:hAnsi="Times New Roman" w:eastAsia="仿宋_GB2312" w:cs="Times New Roman"/>
                <w:kern w:val="0"/>
                <w:sz w:val="24"/>
                <w:szCs w:val="24"/>
              </w:rPr>
              <w:sym w:font="Wingdings" w:char="00A8"/>
            </w:r>
            <w:r>
              <w:rPr>
                <w:rFonts w:ascii="Times New Roman" w:hAnsi="Times New Roman" w:eastAsia="仿宋_GB2312" w:cs="Times New Roman"/>
                <w:kern w:val="0"/>
                <w:sz w:val="24"/>
                <w:szCs w:val="24"/>
              </w:rPr>
              <w:t xml:space="preserve"> 否</w:t>
            </w:r>
          </w:p>
        </w:tc>
      </w:tr>
      <w:tr w14:paraId="4B6EE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522" w:type="dxa"/>
            <w:gridSpan w:val="2"/>
            <w:vAlign w:val="bottom"/>
          </w:tcPr>
          <w:p w14:paraId="1B823BAC">
            <w:pPr>
              <w:widowControl/>
              <w:spacing w:line="400" w:lineRule="exact"/>
              <w:ind w:firstLine="48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简述异常趋势调查过程或补充更新：（可选用IMDRF相关术语）</w:t>
            </w:r>
          </w:p>
        </w:tc>
      </w:tr>
      <w:tr w14:paraId="0A688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522" w:type="dxa"/>
            <w:gridSpan w:val="2"/>
            <w:vAlign w:val="bottom"/>
          </w:tcPr>
          <w:p w14:paraId="37598DB5">
            <w:pPr>
              <w:widowControl/>
              <w:spacing w:line="400" w:lineRule="exact"/>
              <w:ind w:firstLine="48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简述异常趋势调查结果或补充更新：（可选用IMDRF相关术语）</w:t>
            </w:r>
          </w:p>
        </w:tc>
      </w:tr>
      <w:tr w14:paraId="471B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522" w:type="dxa"/>
            <w:gridSpan w:val="2"/>
            <w:vAlign w:val="bottom"/>
          </w:tcPr>
          <w:p w14:paraId="5BC5DAB8">
            <w:pPr>
              <w:widowControl/>
              <w:spacing w:line="400" w:lineRule="exact"/>
              <w:ind w:firstLine="48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简述异常趋势调查结论或补充更新：（可选用IMDRF相关术语）</w:t>
            </w:r>
          </w:p>
        </w:tc>
      </w:tr>
      <w:tr w14:paraId="2AE51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522" w:type="dxa"/>
            <w:gridSpan w:val="2"/>
            <w:vAlign w:val="bottom"/>
          </w:tcPr>
          <w:p w14:paraId="76826800">
            <w:pPr>
              <w:widowControl/>
              <w:spacing w:line="400" w:lineRule="exact"/>
              <w:ind w:firstLine="48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是否采取了风险控制措施：</w:t>
            </w:r>
            <w:r>
              <w:rPr>
                <w:rFonts w:ascii="Times New Roman" w:hAnsi="Times New Roman" w:eastAsia="仿宋_GB2312" w:cs="Times New Roman"/>
                <w:kern w:val="0"/>
                <w:sz w:val="24"/>
                <w:szCs w:val="24"/>
              </w:rPr>
              <w:sym w:font="Wingdings" w:char="00A8"/>
            </w:r>
            <w:r>
              <w:rPr>
                <w:rFonts w:ascii="Times New Roman" w:hAnsi="Times New Roman" w:eastAsia="仿宋_GB2312" w:cs="Times New Roman"/>
                <w:kern w:val="0"/>
                <w:sz w:val="24"/>
                <w:szCs w:val="24"/>
              </w:rPr>
              <w:t xml:space="preserve"> 是  </w:t>
            </w:r>
            <w:r>
              <w:rPr>
                <w:rFonts w:ascii="Times New Roman" w:hAnsi="Times New Roman" w:eastAsia="仿宋_GB2312" w:cs="Times New Roman"/>
                <w:kern w:val="0"/>
                <w:sz w:val="24"/>
                <w:szCs w:val="24"/>
              </w:rPr>
              <w:sym w:font="Wingdings" w:char="00A8"/>
            </w:r>
            <w:r>
              <w:rPr>
                <w:rFonts w:ascii="Times New Roman" w:hAnsi="Times New Roman" w:eastAsia="仿宋_GB2312" w:cs="Times New Roman"/>
                <w:kern w:val="0"/>
                <w:sz w:val="24"/>
                <w:szCs w:val="24"/>
              </w:rPr>
              <w:t xml:space="preserve"> 否</w:t>
            </w:r>
          </w:p>
        </w:tc>
      </w:tr>
      <w:tr w14:paraId="259A9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522" w:type="dxa"/>
            <w:gridSpan w:val="2"/>
            <w:vAlign w:val="bottom"/>
          </w:tcPr>
          <w:p w14:paraId="21FDCE01">
            <w:pPr>
              <w:widowControl/>
              <w:spacing w:line="400" w:lineRule="exact"/>
              <w:ind w:firstLine="48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采取的风险控制措施包括：（*可将控制措施证明性文件作为附件上传）</w:t>
            </w:r>
          </w:p>
        </w:tc>
      </w:tr>
      <w:tr w14:paraId="631DD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522" w:type="dxa"/>
            <w:gridSpan w:val="2"/>
            <w:vAlign w:val="bottom"/>
          </w:tcPr>
          <w:p w14:paraId="2F37EDD9">
            <w:pPr>
              <w:widowControl/>
              <w:spacing w:line="400" w:lineRule="exact"/>
              <w:ind w:firstLine="482"/>
              <w:jc w:val="left"/>
              <w:rPr>
                <w:rFonts w:ascii="Times New Roman" w:hAnsi="Times New Roman" w:eastAsia="仿宋_GB2312" w:cs="Times New Roman"/>
                <w:b/>
                <w:kern w:val="0"/>
                <w:sz w:val="24"/>
                <w:szCs w:val="24"/>
              </w:rPr>
            </w:pPr>
            <w:r>
              <w:rPr>
                <w:rFonts w:ascii="Times New Roman" w:hAnsi="Times New Roman" w:eastAsia="仿宋_GB2312" w:cs="Times New Roman"/>
                <w:b/>
                <w:kern w:val="0"/>
                <w:sz w:val="24"/>
                <w:szCs w:val="24"/>
              </w:rPr>
              <w:t>4.报告审核</w:t>
            </w:r>
          </w:p>
        </w:tc>
      </w:tr>
      <w:tr w14:paraId="179FA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522" w:type="dxa"/>
            <w:gridSpan w:val="2"/>
            <w:vAlign w:val="bottom"/>
          </w:tcPr>
          <w:p w14:paraId="4D817510">
            <w:pPr>
              <w:widowControl/>
              <w:spacing w:line="400" w:lineRule="exact"/>
              <w:ind w:firstLine="48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审核机构：</w:t>
            </w:r>
          </w:p>
        </w:tc>
      </w:tr>
      <w:tr w14:paraId="5E15D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522" w:type="dxa"/>
            <w:gridSpan w:val="2"/>
            <w:vAlign w:val="bottom"/>
          </w:tcPr>
          <w:p w14:paraId="7FCAB03F">
            <w:pPr>
              <w:widowControl/>
              <w:spacing w:line="400" w:lineRule="exact"/>
              <w:ind w:firstLine="48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审核结果：</w:t>
            </w:r>
          </w:p>
        </w:tc>
      </w:tr>
      <w:tr w14:paraId="043E1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522" w:type="dxa"/>
            <w:gridSpan w:val="2"/>
            <w:vAlign w:val="bottom"/>
          </w:tcPr>
          <w:p w14:paraId="36733A40">
            <w:pPr>
              <w:widowControl/>
              <w:spacing w:line="400" w:lineRule="exact"/>
              <w:ind w:firstLine="48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审核意见：</w:t>
            </w:r>
          </w:p>
        </w:tc>
      </w:tr>
    </w:tbl>
    <w:p w14:paraId="194BBDCB">
      <w:pPr>
        <w:rPr>
          <w:rFonts w:ascii="Times New Roman" w:hAnsi="Times New Roman" w:eastAsia="宋体" w:cs="Times New Roman"/>
          <w:szCs w:val="24"/>
        </w:rPr>
      </w:pPr>
    </w:p>
    <w:p w14:paraId="5C57963F">
      <w:pPr>
        <w:ind w:right="-67" w:rightChars="-32"/>
        <w:jc w:val="center"/>
        <w:outlineLvl w:val="0"/>
        <w:rPr>
          <w:rFonts w:ascii="Times New Roman" w:hAnsi="Times New Roman" w:cs="Times New Roman"/>
        </w:rPr>
      </w:pPr>
    </w:p>
    <w:sectPr>
      <w:footerReference r:id="rId3" w:type="default"/>
      <w:pgSz w:w="11906" w:h="16838"/>
      <w:pgMar w:top="2098" w:right="1474" w:bottom="1984" w:left="1587" w:header="851" w:footer="992" w:gutter="0"/>
      <w:pgNumType w:fmt="numberInDash"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2FA40">
    <w:pPr>
      <w:pStyle w:val="7"/>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F3245F">
                          <w:pPr>
                            <w:pStyle w:val="7"/>
                          </w:pP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- 4 -</w:t>
                          </w:r>
                          <w:r>
                            <w:rPr>
                              <w:rFonts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EF3245F">
                    <w:pPr>
                      <w:pStyle w:val="7"/>
                    </w:pP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- 4 -</w:t>
                    </w:r>
                    <w:r>
                      <w:rPr>
                        <w:rFonts w:ascii="宋体" w:hAnsi="宋体" w:eastAsia="宋体" w:cs="宋体"/>
                        <w:sz w:val="28"/>
                        <w:szCs w:val="28"/>
                      </w:rPr>
                      <w:fldChar w:fldCharType="end"/>
                    </w:r>
                  </w:p>
                </w:txbxContent>
              </v:textbox>
            </v:shape>
          </w:pict>
        </mc:Fallback>
      </mc:AlternateContent>
    </w:r>
  </w:p>
  <w:p w14:paraId="2ECFA02F">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5ZWU2Zjc3N2UyYWE3M2M5Mzg1MjU4MWQwYzdiZmUifQ=="/>
  </w:docVars>
  <w:rsids>
    <w:rsidRoot w:val="00432DFF"/>
    <w:rsid w:val="00027812"/>
    <w:rsid w:val="000D0F4A"/>
    <w:rsid w:val="00121129"/>
    <w:rsid w:val="00193780"/>
    <w:rsid w:val="001B3BCE"/>
    <w:rsid w:val="001C3717"/>
    <w:rsid w:val="001F281D"/>
    <w:rsid w:val="00211EFD"/>
    <w:rsid w:val="00221098"/>
    <w:rsid w:val="002226ED"/>
    <w:rsid w:val="00255083"/>
    <w:rsid w:val="002906B4"/>
    <w:rsid w:val="002E4D43"/>
    <w:rsid w:val="00301913"/>
    <w:rsid w:val="00314A09"/>
    <w:rsid w:val="0032004A"/>
    <w:rsid w:val="00372FB6"/>
    <w:rsid w:val="003B2FBC"/>
    <w:rsid w:val="003C55AD"/>
    <w:rsid w:val="003E0F51"/>
    <w:rsid w:val="00432DFF"/>
    <w:rsid w:val="004601D8"/>
    <w:rsid w:val="00466E29"/>
    <w:rsid w:val="004723A3"/>
    <w:rsid w:val="004972F1"/>
    <w:rsid w:val="004A08AB"/>
    <w:rsid w:val="004C4028"/>
    <w:rsid w:val="00504BD3"/>
    <w:rsid w:val="00531DBA"/>
    <w:rsid w:val="0054298C"/>
    <w:rsid w:val="0056701E"/>
    <w:rsid w:val="00571D0F"/>
    <w:rsid w:val="00580389"/>
    <w:rsid w:val="005C0AC6"/>
    <w:rsid w:val="005E097A"/>
    <w:rsid w:val="005E41C0"/>
    <w:rsid w:val="005E4523"/>
    <w:rsid w:val="0060663B"/>
    <w:rsid w:val="0063396E"/>
    <w:rsid w:val="00673026"/>
    <w:rsid w:val="006845C5"/>
    <w:rsid w:val="006D50F4"/>
    <w:rsid w:val="00721544"/>
    <w:rsid w:val="007B2DFE"/>
    <w:rsid w:val="007C0ED9"/>
    <w:rsid w:val="00845BCA"/>
    <w:rsid w:val="00857E8B"/>
    <w:rsid w:val="008E0494"/>
    <w:rsid w:val="00970AE5"/>
    <w:rsid w:val="009B279C"/>
    <w:rsid w:val="00A25733"/>
    <w:rsid w:val="00A324E0"/>
    <w:rsid w:val="00A81E25"/>
    <w:rsid w:val="00A8384B"/>
    <w:rsid w:val="00A968B0"/>
    <w:rsid w:val="00AC0F01"/>
    <w:rsid w:val="00AE5BBB"/>
    <w:rsid w:val="00B02095"/>
    <w:rsid w:val="00B400F1"/>
    <w:rsid w:val="00B40466"/>
    <w:rsid w:val="00B50119"/>
    <w:rsid w:val="00B527FB"/>
    <w:rsid w:val="00B606B8"/>
    <w:rsid w:val="00BB11DD"/>
    <w:rsid w:val="00BF0763"/>
    <w:rsid w:val="00BF437A"/>
    <w:rsid w:val="00C24952"/>
    <w:rsid w:val="00C6343C"/>
    <w:rsid w:val="00C72592"/>
    <w:rsid w:val="00CF7C3A"/>
    <w:rsid w:val="00D3356F"/>
    <w:rsid w:val="00D52444"/>
    <w:rsid w:val="00D919B9"/>
    <w:rsid w:val="00DA1154"/>
    <w:rsid w:val="00DA320B"/>
    <w:rsid w:val="00DA6952"/>
    <w:rsid w:val="00DB5B28"/>
    <w:rsid w:val="00DD5058"/>
    <w:rsid w:val="00E0612C"/>
    <w:rsid w:val="00E11FE9"/>
    <w:rsid w:val="00E82E24"/>
    <w:rsid w:val="00EA27C0"/>
    <w:rsid w:val="00EB179A"/>
    <w:rsid w:val="00EB647E"/>
    <w:rsid w:val="00F6615A"/>
    <w:rsid w:val="00FD4699"/>
    <w:rsid w:val="00FE773D"/>
    <w:rsid w:val="10B1077E"/>
    <w:rsid w:val="11781B53"/>
    <w:rsid w:val="36A32CB7"/>
    <w:rsid w:val="37575688"/>
    <w:rsid w:val="38761E27"/>
    <w:rsid w:val="3E4117F1"/>
    <w:rsid w:val="4ABC739B"/>
    <w:rsid w:val="501A6889"/>
    <w:rsid w:val="581D62F6"/>
    <w:rsid w:val="59CC6F5E"/>
    <w:rsid w:val="61B355A3"/>
    <w:rsid w:val="6C7A6100"/>
    <w:rsid w:val="6E2A10DF"/>
    <w:rsid w:val="6ED27CF9"/>
    <w:rsid w:val="73125FD0"/>
    <w:rsid w:val="75106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9"/>
    <w:qFormat/>
    <w:uiPriority w:val="9"/>
    <w:pPr>
      <w:keepNext/>
      <w:keepLines/>
      <w:spacing w:before="340" w:after="330" w:line="578" w:lineRule="auto"/>
      <w:outlineLvl w:val="0"/>
    </w:pPr>
    <w:rPr>
      <w:rFonts w:ascii="Calibri" w:hAnsi="Calibri" w:eastAsia="微软雅黑" w:cs="微软雅黑"/>
      <w:sz w:val="44"/>
      <w:szCs w:val="44"/>
    </w:rPr>
  </w:style>
  <w:style w:type="paragraph" w:styleId="3">
    <w:name w:val="heading 2"/>
    <w:basedOn w:val="1"/>
    <w:next w:val="1"/>
    <w:link w:val="30"/>
    <w:semiHidden/>
    <w:unhideWhenUsed/>
    <w:qFormat/>
    <w:uiPriority w:val="9"/>
    <w:pPr>
      <w:keepNext/>
      <w:keepLines/>
      <w:spacing w:before="260" w:after="260" w:line="416" w:lineRule="auto"/>
      <w:outlineLvl w:val="1"/>
    </w:pPr>
    <w:rPr>
      <w:rFonts w:ascii="Calibri" w:hAnsi="Calibri" w:eastAsia="黑体" w:cs="黑体"/>
      <w:szCs w:val="24"/>
    </w:rPr>
  </w:style>
  <w:style w:type="paragraph" w:styleId="4">
    <w:name w:val="heading 3"/>
    <w:basedOn w:val="1"/>
    <w:next w:val="1"/>
    <w:link w:val="31"/>
    <w:semiHidden/>
    <w:unhideWhenUsed/>
    <w:qFormat/>
    <w:uiPriority w:val="9"/>
    <w:pPr>
      <w:keepNext/>
      <w:keepLines/>
      <w:spacing w:before="260" w:after="260" w:line="416" w:lineRule="auto"/>
      <w:outlineLvl w:val="2"/>
    </w:pPr>
    <w:rPr>
      <w:rFonts w:ascii="Calibri" w:hAnsi="Calibri" w:eastAsia="楷体" w:cs="楷体"/>
      <w:b/>
      <w:bCs/>
      <w:szCs w:val="24"/>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32"/>
    <w:semiHidden/>
    <w:unhideWhenUsed/>
    <w:qFormat/>
    <w:uiPriority w:val="99"/>
    <w:pPr>
      <w:jc w:val="left"/>
    </w:pPr>
  </w:style>
  <w:style w:type="paragraph" w:styleId="6">
    <w:name w:val="Balloon Text"/>
    <w:basedOn w:val="1"/>
    <w:link w:val="33"/>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34"/>
    <w:semiHidden/>
    <w:unhideWhenUsed/>
    <w:qFormat/>
    <w:uiPriority w:val="99"/>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annotation reference"/>
    <w:basedOn w:val="12"/>
    <w:qFormat/>
    <w:uiPriority w:val="99"/>
    <w:rPr>
      <w:sz w:val="21"/>
      <w:szCs w:val="21"/>
    </w:rPr>
  </w:style>
  <w:style w:type="character" w:customStyle="1" w:styleId="15">
    <w:name w:val="页眉 Char"/>
    <w:basedOn w:val="12"/>
    <w:link w:val="8"/>
    <w:qFormat/>
    <w:uiPriority w:val="0"/>
    <w:rPr>
      <w:sz w:val="18"/>
      <w:szCs w:val="18"/>
    </w:rPr>
  </w:style>
  <w:style w:type="character" w:customStyle="1" w:styleId="16">
    <w:name w:val="页脚 Char"/>
    <w:basedOn w:val="12"/>
    <w:link w:val="7"/>
    <w:qFormat/>
    <w:uiPriority w:val="99"/>
    <w:rPr>
      <w:sz w:val="18"/>
      <w:szCs w:val="18"/>
    </w:rPr>
  </w:style>
  <w:style w:type="paragraph" w:customStyle="1" w:styleId="17">
    <w:name w:val="标题 11"/>
    <w:basedOn w:val="1"/>
    <w:next w:val="1"/>
    <w:qFormat/>
    <w:uiPriority w:val="9"/>
    <w:pPr>
      <w:keepNext/>
      <w:keepLines/>
      <w:jc w:val="center"/>
      <w:outlineLvl w:val="0"/>
    </w:pPr>
    <w:rPr>
      <w:rFonts w:eastAsia="微软雅黑" w:cs="微软雅黑"/>
      <w:sz w:val="44"/>
      <w:szCs w:val="44"/>
    </w:rPr>
  </w:style>
  <w:style w:type="paragraph" w:customStyle="1" w:styleId="18">
    <w:name w:val="标题 21"/>
    <w:basedOn w:val="1"/>
    <w:next w:val="1"/>
    <w:qFormat/>
    <w:uiPriority w:val="9"/>
    <w:pPr>
      <w:keepNext/>
      <w:keepLines/>
      <w:outlineLvl w:val="1"/>
    </w:pPr>
    <w:rPr>
      <w:rFonts w:eastAsia="黑体" w:cs="黑体"/>
      <w:szCs w:val="24"/>
    </w:rPr>
  </w:style>
  <w:style w:type="paragraph" w:customStyle="1" w:styleId="19">
    <w:name w:val="标题 31"/>
    <w:basedOn w:val="1"/>
    <w:next w:val="1"/>
    <w:unhideWhenUsed/>
    <w:qFormat/>
    <w:uiPriority w:val="9"/>
    <w:pPr>
      <w:keepNext/>
      <w:keepLines/>
      <w:outlineLvl w:val="2"/>
    </w:pPr>
    <w:rPr>
      <w:rFonts w:eastAsia="楷体" w:cs="楷体"/>
      <w:b/>
      <w:bCs/>
      <w:szCs w:val="24"/>
    </w:rPr>
  </w:style>
  <w:style w:type="character" w:customStyle="1" w:styleId="20">
    <w:name w:val="标题 1 Char"/>
    <w:basedOn w:val="12"/>
    <w:qFormat/>
    <w:uiPriority w:val="9"/>
    <w:rPr>
      <w:rFonts w:ascii="Calibri" w:hAnsi="Calibri" w:eastAsia="微软雅黑" w:cs="微软雅黑"/>
      <w:kern w:val="2"/>
      <w:sz w:val="44"/>
      <w:szCs w:val="44"/>
    </w:rPr>
  </w:style>
  <w:style w:type="character" w:customStyle="1" w:styleId="21">
    <w:name w:val="标题 2 Char"/>
    <w:basedOn w:val="12"/>
    <w:qFormat/>
    <w:uiPriority w:val="9"/>
    <w:rPr>
      <w:rFonts w:ascii="Calibri" w:hAnsi="Calibri" w:eastAsia="黑体" w:cs="黑体"/>
      <w:kern w:val="2"/>
      <w:sz w:val="21"/>
      <w:szCs w:val="24"/>
    </w:rPr>
  </w:style>
  <w:style w:type="character" w:customStyle="1" w:styleId="22">
    <w:name w:val="标题 3 Char"/>
    <w:basedOn w:val="12"/>
    <w:qFormat/>
    <w:uiPriority w:val="9"/>
    <w:rPr>
      <w:rFonts w:ascii="Calibri" w:hAnsi="Calibri" w:eastAsia="楷体" w:cs="楷体"/>
      <w:b/>
      <w:bCs/>
      <w:kern w:val="2"/>
      <w:sz w:val="21"/>
      <w:szCs w:val="24"/>
    </w:rPr>
  </w:style>
  <w:style w:type="paragraph" w:customStyle="1" w:styleId="23">
    <w:name w:val="批注文字1"/>
    <w:basedOn w:val="1"/>
    <w:next w:val="5"/>
    <w:link w:val="24"/>
    <w:qFormat/>
    <w:uiPriority w:val="0"/>
    <w:pPr>
      <w:jc w:val="left"/>
    </w:pPr>
    <w:rPr>
      <w:rFonts w:ascii="Calibri" w:hAnsi="Calibri" w:eastAsia="宋体" w:cs="Times New Roman"/>
      <w:szCs w:val="24"/>
    </w:rPr>
  </w:style>
  <w:style w:type="character" w:customStyle="1" w:styleId="24">
    <w:name w:val="批注文字 Char"/>
    <w:basedOn w:val="12"/>
    <w:link w:val="23"/>
    <w:qFormat/>
    <w:uiPriority w:val="0"/>
    <w:rPr>
      <w:rFonts w:ascii="Calibri" w:hAnsi="Calibri" w:eastAsia="宋体" w:cs="Times New Roman"/>
      <w:kern w:val="2"/>
      <w:sz w:val="21"/>
      <w:szCs w:val="24"/>
    </w:r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customStyle="1" w:styleId="26">
    <w:name w:val="Body text|1"/>
    <w:basedOn w:val="1"/>
    <w:qFormat/>
    <w:uiPriority w:val="0"/>
    <w:pPr>
      <w:spacing w:after="130" w:line="377" w:lineRule="auto"/>
      <w:ind w:firstLine="400"/>
    </w:pPr>
    <w:rPr>
      <w:rFonts w:ascii="宋体" w:hAnsi="宋体" w:eastAsia="宋体" w:cs="宋体"/>
      <w:sz w:val="30"/>
      <w:szCs w:val="30"/>
      <w:lang w:val="zh-TW" w:eastAsia="zh-TW" w:bidi="zh-TW"/>
    </w:rPr>
  </w:style>
  <w:style w:type="paragraph" w:customStyle="1" w:styleId="27">
    <w:name w:val="批注框文本1"/>
    <w:basedOn w:val="1"/>
    <w:next w:val="6"/>
    <w:link w:val="28"/>
    <w:qFormat/>
    <w:uiPriority w:val="0"/>
    <w:rPr>
      <w:rFonts w:ascii="Calibri" w:hAnsi="Calibri" w:eastAsia="宋体" w:cs="Times New Roman"/>
      <w:sz w:val="18"/>
      <w:szCs w:val="18"/>
    </w:rPr>
  </w:style>
  <w:style w:type="character" w:customStyle="1" w:styleId="28">
    <w:name w:val="批注框文本 Char"/>
    <w:basedOn w:val="12"/>
    <w:link w:val="27"/>
    <w:qFormat/>
    <w:uiPriority w:val="0"/>
    <w:rPr>
      <w:rFonts w:ascii="Calibri" w:hAnsi="Calibri" w:eastAsia="宋体" w:cs="Times New Roman"/>
      <w:kern w:val="2"/>
      <w:sz w:val="18"/>
      <w:szCs w:val="18"/>
    </w:rPr>
  </w:style>
  <w:style w:type="character" w:customStyle="1" w:styleId="29">
    <w:name w:val="标题 1 Char1"/>
    <w:basedOn w:val="12"/>
    <w:link w:val="2"/>
    <w:qFormat/>
    <w:uiPriority w:val="9"/>
    <w:rPr>
      <w:b/>
      <w:bCs/>
      <w:kern w:val="44"/>
      <w:sz w:val="44"/>
      <w:szCs w:val="44"/>
    </w:rPr>
  </w:style>
  <w:style w:type="character" w:customStyle="1" w:styleId="30">
    <w:name w:val="标题 2 Char1"/>
    <w:basedOn w:val="12"/>
    <w:link w:val="3"/>
    <w:semiHidden/>
    <w:qFormat/>
    <w:uiPriority w:val="9"/>
    <w:rPr>
      <w:rFonts w:asciiTheme="majorHAnsi" w:hAnsiTheme="majorHAnsi" w:eastAsiaTheme="majorEastAsia" w:cstheme="majorBidi"/>
      <w:b/>
      <w:bCs/>
      <w:sz w:val="32"/>
      <w:szCs w:val="32"/>
    </w:rPr>
  </w:style>
  <w:style w:type="character" w:customStyle="1" w:styleId="31">
    <w:name w:val="标题 3 Char1"/>
    <w:basedOn w:val="12"/>
    <w:link w:val="4"/>
    <w:semiHidden/>
    <w:qFormat/>
    <w:uiPriority w:val="9"/>
    <w:rPr>
      <w:b/>
      <w:bCs/>
      <w:sz w:val="32"/>
      <w:szCs w:val="32"/>
    </w:rPr>
  </w:style>
  <w:style w:type="character" w:customStyle="1" w:styleId="32">
    <w:name w:val="批注文字 Char1"/>
    <w:basedOn w:val="12"/>
    <w:link w:val="5"/>
    <w:semiHidden/>
    <w:qFormat/>
    <w:uiPriority w:val="99"/>
  </w:style>
  <w:style w:type="character" w:customStyle="1" w:styleId="33">
    <w:name w:val="批注框文本 Char1"/>
    <w:basedOn w:val="12"/>
    <w:link w:val="6"/>
    <w:semiHidden/>
    <w:qFormat/>
    <w:uiPriority w:val="99"/>
    <w:rPr>
      <w:sz w:val="18"/>
      <w:szCs w:val="18"/>
    </w:rPr>
  </w:style>
  <w:style w:type="character" w:customStyle="1" w:styleId="34">
    <w:name w:val="批注主题 Char"/>
    <w:basedOn w:val="32"/>
    <w:link w:val="9"/>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11</Pages>
  <Words>3056</Words>
  <Characters>3303</Characters>
  <Lines>25</Lines>
  <Paragraphs>7</Paragraphs>
  <TotalTime>300</TotalTime>
  <ScaleCrop>false</ScaleCrop>
  <LinksUpToDate>false</LinksUpToDate>
  <CharactersWithSpaces>3341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2025-02-18T02:34:00Z</dcterms:created>
  <dc:creator>宋雅娜</dc:creator>
  <cp:lastModifiedBy>喵小喵</cp:lastModifiedBy>
  <dcterms:modified xsi:type="dcterms:W3CDTF">2026-04-13T08:15:33Z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8DA730370C794EA8BA6D0ED7CBA79FBF</vt:lpwstr>
  </property>
  <property fmtid="{D5CDD505-2E9C-101B-9397-08002B2CF9AE}" pid="4" name="KSOTemplateDocerSaveRecord">
    <vt:lpwstr>eyJoZGlkIjoiMWNjODgzNDE4ZTYwODdjZDJmMTU1NWQ1ZDNjOWI1MzIiLCJ1c2VySWQiOiI0MDc5NTQ5MzQifQ==</vt:lpwstr>
  </property>
</Properties>
</file>