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BB0" w:rsidRDefault="003A2806">
      <w:pPr>
        <w:spacing w:line="560" w:lineRule="exact"/>
        <w:jc w:val="left"/>
        <w:rPr>
          <w:rFonts w:ascii="Times New Roman" w:eastAsia="黑体" w:hAnsi="Times New Roman"/>
          <w:color w:val="000000"/>
          <w:kern w:val="0"/>
          <w:sz w:val="32"/>
          <w:szCs w:val="32"/>
        </w:rPr>
      </w:pPr>
      <w:r>
        <w:rPr>
          <w:rFonts w:ascii="黑体" w:eastAsia="黑体" w:hAnsi="黑体" w:cs="黑体" w:hint="eastAsia"/>
          <w:color w:val="000000"/>
          <w:kern w:val="0"/>
          <w:sz w:val="32"/>
          <w:szCs w:val="32"/>
        </w:rPr>
        <w:t>附件</w:t>
      </w:r>
      <w:r>
        <w:rPr>
          <w:rFonts w:ascii="黑体" w:eastAsia="黑体" w:hAnsi="黑体" w:cs="黑体"/>
          <w:color w:val="000000"/>
          <w:kern w:val="0"/>
          <w:sz w:val="32"/>
          <w:szCs w:val="32"/>
        </w:rPr>
        <w:t>5</w:t>
      </w:r>
    </w:p>
    <w:p w:rsidR="00806BB0" w:rsidRDefault="00806BB0">
      <w:pPr>
        <w:adjustRightInd w:val="0"/>
        <w:snapToGrid w:val="0"/>
        <w:spacing w:line="560" w:lineRule="exact"/>
        <w:rPr>
          <w:rFonts w:ascii="Times New Roman" w:eastAsia="华文仿宋" w:hAnsi="Times New Roman"/>
          <w:color w:val="000000"/>
          <w:kern w:val="0"/>
          <w:sz w:val="24"/>
        </w:rPr>
      </w:pPr>
    </w:p>
    <w:p w:rsidR="00806BB0" w:rsidRDefault="003A2806">
      <w:pPr>
        <w:adjustRightInd w:val="0"/>
        <w:snapToGrid w:val="0"/>
        <w:spacing w:line="560" w:lineRule="exact"/>
        <w:jc w:val="center"/>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t>第一类医疗器械备案操作规范</w:t>
      </w:r>
    </w:p>
    <w:p w:rsidR="00806BB0" w:rsidRDefault="00806BB0">
      <w:pPr>
        <w:adjustRightInd w:val="0"/>
        <w:snapToGrid w:val="0"/>
        <w:spacing w:line="560" w:lineRule="exact"/>
        <w:rPr>
          <w:rFonts w:ascii="Times New Roman" w:eastAsia="华文仿宋" w:hAnsi="Times New Roman"/>
          <w:color w:val="000000"/>
          <w:kern w:val="0"/>
          <w:sz w:val="24"/>
        </w:rPr>
      </w:pPr>
    </w:p>
    <w:p w:rsidR="00806BB0" w:rsidRDefault="003A2806">
      <w:pPr>
        <w:adjustRightInd w:val="0"/>
        <w:snapToGrid w:val="0"/>
        <w:spacing w:line="56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一、备案（包括变更备案）</w:t>
      </w:r>
    </w:p>
    <w:p w:rsidR="00806BB0" w:rsidRDefault="003A2806">
      <w:pPr>
        <w:adjustRightInd w:val="0"/>
        <w:snapToGrid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（一）备案人向相应的备案部门提交备案资料。</w:t>
      </w:r>
    </w:p>
    <w:p w:rsidR="00806BB0" w:rsidRDefault="003A2806">
      <w:pPr>
        <w:adjustRightInd w:val="0"/>
        <w:snapToGrid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（二）备案部门应当结合备案人提交的备案资料，判断产品是否属于第一类医疗器械，备案资料是否符合规定。</w:t>
      </w:r>
    </w:p>
    <w:p w:rsidR="00806BB0" w:rsidRDefault="003A2806">
      <w:pPr>
        <w:adjustRightInd w:val="0"/>
        <w:snapToGrid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对于医疗器械（不包括体外诊断试剂），备案表中“产品名称”“产品描述”“预期用途”与《第一类医疗器械产品目录》相比，不超出目录内容的，属于第一类医疗器械。超出目录内容的，备案人应当根据相关工作程序申请分类界定，明确为第一类医疗器械的，向相应的备案部门提交备案资料。</w:t>
      </w:r>
    </w:p>
    <w:p w:rsidR="00806BB0" w:rsidRDefault="003A2806">
      <w:pPr>
        <w:adjustRightInd w:val="0"/>
        <w:snapToGrid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对于体外诊断试剂，备案表中“产品分类名称”和“预期用途”与《体外诊断试剂分类子目录》所列内容相同或者少于目录内容的，属于第一类体外诊断试剂；超出目录内容的，备案人应当根据相关工作程序申请分类界定，明确为第一类体外诊断试剂的，向相应的备案部门提交备案资料。</w:t>
      </w:r>
    </w:p>
    <w:p w:rsidR="00806BB0" w:rsidRDefault="003A2806">
      <w:pPr>
        <w:adjustRightInd w:val="0"/>
        <w:snapToGrid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（三）备案事项属于本部门职权范围，备案资料符合要求的，提供备案编号。备案资料不符合要求的，告知备案人并说明理由。</w:t>
      </w:r>
    </w:p>
    <w:p w:rsidR="00806BB0" w:rsidRDefault="003A2806">
      <w:pPr>
        <w:adjustRightInd w:val="0"/>
        <w:snapToGrid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（四）备案事项不属于本部门职权范围的，告知备案人。</w:t>
      </w:r>
    </w:p>
    <w:p w:rsidR="00806BB0" w:rsidRDefault="003A2806">
      <w:pPr>
        <w:adjustRightInd w:val="0"/>
        <w:snapToGrid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（五）备案部门按本部门档案管理程序对备案资料予以归档。</w:t>
      </w:r>
    </w:p>
    <w:p w:rsidR="00806BB0" w:rsidRDefault="003A2806">
      <w:pPr>
        <w:adjustRightInd w:val="0"/>
        <w:snapToGrid w:val="0"/>
        <w:spacing w:line="56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二、备案后管理</w:t>
      </w:r>
    </w:p>
    <w:p w:rsidR="00806BB0" w:rsidRDefault="003A2806">
      <w:pPr>
        <w:adjustRightInd w:val="0"/>
        <w:snapToGrid w:val="0"/>
        <w:spacing w:line="560" w:lineRule="exact"/>
        <w:ind w:firstLineChars="200" w:firstLine="640"/>
        <w:rPr>
          <w:rFonts w:ascii="楷体_GB2312" w:eastAsia="楷体_GB2312" w:hAnsi="黑体"/>
          <w:color w:val="000000"/>
          <w:kern w:val="0"/>
          <w:sz w:val="32"/>
          <w:szCs w:val="32"/>
        </w:rPr>
      </w:pPr>
      <w:r>
        <w:rPr>
          <w:rFonts w:ascii="楷体_GB2312" w:eastAsia="楷体_GB2312" w:hAnsi="黑体" w:hint="eastAsia"/>
          <w:color w:val="000000"/>
          <w:kern w:val="0"/>
          <w:sz w:val="32"/>
          <w:szCs w:val="32"/>
        </w:rPr>
        <w:lastRenderedPageBreak/>
        <w:t>（一）管理要求</w:t>
      </w:r>
    </w:p>
    <w:p w:rsidR="00806BB0" w:rsidRDefault="003A2806">
      <w:pPr>
        <w:adjustRightInd w:val="0"/>
        <w:snapToGrid w:val="0"/>
        <w:spacing w:line="560" w:lineRule="exact"/>
        <w:ind w:firstLineChars="200" w:firstLine="640"/>
        <w:rPr>
          <w:rFonts w:ascii="仿宋_GB2312" w:eastAsia="仿宋_GB2312" w:hAnsi="黑体"/>
          <w:color w:val="000000"/>
          <w:kern w:val="0"/>
          <w:sz w:val="32"/>
          <w:szCs w:val="32"/>
        </w:rPr>
      </w:pPr>
      <w:r>
        <w:rPr>
          <w:rFonts w:ascii="仿宋_GB2312" w:eastAsia="仿宋_GB2312" w:hAnsi="黑体" w:hint="eastAsia"/>
          <w:color w:val="000000"/>
          <w:kern w:val="0"/>
          <w:sz w:val="32"/>
          <w:szCs w:val="32"/>
        </w:rPr>
        <w:t>承担第一类医疗器械产品备案工作的药品监督管理部门根据工作需要开展备案后的检查，重点对备案资料的规范性进行回顾性检查。发现备案资料不规范的，应当责令备案人限期改正；备案人未按要求限期改正的，应当公告取消备案。</w:t>
      </w:r>
    </w:p>
    <w:p w:rsidR="00806BB0" w:rsidRDefault="003A2806">
      <w:pPr>
        <w:adjustRightInd w:val="0"/>
        <w:snapToGrid w:val="0"/>
        <w:spacing w:line="560" w:lineRule="exact"/>
        <w:ind w:firstLineChars="200" w:firstLine="640"/>
        <w:rPr>
          <w:rFonts w:ascii="仿宋_GB2312" w:eastAsia="仿宋_GB2312" w:hAnsi="黑体"/>
          <w:kern w:val="0"/>
          <w:sz w:val="32"/>
          <w:szCs w:val="32"/>
        </w:rPr>
      </w:pPr>
      <w:r>
        <w:rPr>
          <w:rFonts w:ascii="仿宋_GB2312" w:eastAsia="仿宋_GB2312" w:hAnsi="黑体" w:hint="eastAsia"/>
          <w:color w:val="000000"/>
          <w:kern w:val="0"/>
          <w:sz w:val="32"/>
          <w:szCs w:val="32"/>
        </w:rPr>
        <w:t>已备案的医疗器械管理类别调整为第二类、第三类的，应当按照规定申请注册；备案人应当主动取消备案。备案人开展产品再评价工作的结果表明，已上市产品不能保证安全、有效的，备案人应当主动取消备案。已备案的医疗器械调整为不再按照医疗器械管理的，备案人应当主动取消备案。备案人未按要求取消备案的，备案部门可以公告取消备案</w:t>
      </w:r>
      <w:r>
        <w:rPr>
          <w:rFonts w:ascii="仿宋_GB2312" w:eastAsia="仿宋_GB2312" w:hAnsi="黑体" w:hint="eastAsia"/>
          <w:kern w:val="0"/>
          <w:sz w:val="32"/>
          <w:szCs w:val="32"/>
        </w:rPr>
        <w:t>。取消备案后不得再继续生产相应医疗器械。</w:t>
      </w:r>
    </w:p>
    <w:p w:rsidR="00806BB0" w:rsidRDefault="003A2806">
      <w:pPr>
        <w:adjustRightInd w:val="0"/>
        <w:snapToGrid w:val="0"/>
        <w:spacing w:line="560" w:lineRule="exact"/>
        <w:ind w:firstLineChars="200" w:firstLine="640"/>
        <w:rPr>
          <w:rFonts w:ascii="仿宋_GB2312" w:eastAsia="仿宋_GB2312" w:hAnsi="黑体"/>
          <w:color w:val="000000"/>
          <w:kern w:val="0"/>
          <w:sz w:val="32"/>
          <w:szCs w:val="32"/>
        </w:rPr>
      </w:pPr>
      <w:r>
        <w:rPr>
          <w:rFonts w:ascii="仿宋_GB2312" w:eastAsia="仿宋_GB2312" w:hAnsi="黑体" w:hint="eastAsia"/>
          <w:color w:val="000000"/>
          <w:kern w:val="0"/>
          <w:sz w:val="32"/>
          <w:szCs w:val="32"/>
        </w:rPr>
        <w:t>第一类医疗器械上市后监管执行上市后监督管理的相关规定。</w:t>
      </w:r>
    </w:p>
    <w:p w:rsidR="00806BB0" w:rsidRDefault="003A2806">
      <w:pPr>
        <w:adjustRightInd w:val="0"/>
        <w:snapToGrid w:val="0"/>
        <w:spacing w:line="560" w:lineRule="exact"/>
        <w:ind w:firstLineChars="200" w:firstLine="640"/>
        <w:rPr>
          <w:rFonts w:ascii="仿宋_GB2312" w:eastAsia="仿宋_GB2312" w:hAnsi="黑体"/>
          <w:color w:val="000000"/>
          <w:kern w:val="0"/>
          <w:sz w:val="32"/>
          <w:szCs w:val="32"/>
        </w:rPr>
      </w:pPr>
      <w:r>
        <w:rPr>
          <w:rFonts w:ascii="仿宋_GB2312" w:eastAsia="仿宋_GB2312" w:hAnsi="黑体" w:hint="eastAsia"/>
          <w:color w:val="000000"/>
          <w:kern w:val="0"/>
          <w:sz w:val="32"/>
          <w:szCs w:val="32"/>
        </w:rPr>
        <w:t>已经备案的资料不符合要求的，按照《医疗器械监督管理条例》第八十四条予以处罚。</w:t>
      </w:r>
    </w:p>
    <w:p w:rsidR="00806BB0" w:rsidRDefault="003A2806">
      <w:pPr>
        <w:adjustRightInd w:val="0"/>
        <w:snapToGrid w:val="0"/>
        <w:spacing w:line="560" w:lineRule="exact"/>
        <w:ind w:firstLineChars="200" w:firstLine="640"/>
        <w:rPr>
          <w:rFonts w:ascii="楷体_GB2312" w:eastAsia="楷体_GB2312" w:hAnsi="黑体"/>
          <w:color w:val="000000"/>
          <w:kern w:val="0"/>
          <w:sz w:val="32"/>
          <w:szCs w:val="32"/>
        </w:rPr>
      </w:pPr>
      <w:r>
        <w:rPr>
          <w:rFonts w:ascii="楷体_GB2312" w:eastAsia="楷体_GB2312" w:hAnsi="黑体" w:hint="eastAsia"/>
          <w:color w:val="000000"/>
          <w:kern w:val="0"/>
          <w:sz w:val="32"/>
          <w:szCs w:val="32"/>
        </w:rPr>
        <w:t>（二）工作指导</w:t>
      </w:r>
    </w:p>
    <w:p w:rsidR="00806BB0" w:rsidRDefault="003A2806">
      <w:pPr>
        <w:adjustRightInd w:val="0"/>
        <w:snapToGrid w:val="0"/>
        <w:spacing w:line="560" w:lineRule="exact"/>
        <w:ind w:firstLineChars="200" w:firstLine="640"/>
        <w:rPr>
          <w:rFonts w:ascii="仿宋_GB2312" w:eastAsia="仿宋_GB2312" w:hAnsi="黑体"/>
          <w:color w:val="000000"/>
          <w:kern w:val="0"/>
          <w:sz w:val="32"/>
          <w:szCs w:val="32"/>
        </w:rPr>
      </w:pPr>
      <w:r>
        <w:rPr>
          <w:rFonts w:ascii="仿宋_GB2312" w:eastAsia="仿宋_GB2312" w:hAnsi="黑体" w:hint="eastAsia"/>
          <w:color w:val="000000"/>
          <w:kern w:val="0"/>
          <w:sz w:val="32"/>
          <w:szCs w:val="32"/>
        </w:rPr>
        <w:t>设区的市级负责药品监督管理的部门应当加强对产品备案管理自查工作，并于每年1月份向省级药品监督管理部门报送上一年度产品备案工作自查总结报告。</w:t>
      </w:r>
    </w:p>
    <w:p w:rsidR="00806BB0" w:rsidRDefault="003A2806">
      <w:pPr>
        <w:adjustRightInd w:val="0"/>
        <w:snapToGrid w:val="0"/>
        <w:spacing w:line="560" w:lineRule="exact"/>
        <w:ind w:firstLineChars="200" w:firstLine="640"/>
        <w:rPr>
          <w:rFonts w:ascii="仿宋_GB2312" w:eastAsia="仿宋_GB2312" w:hAnsi="黑体"/>
          <w:color w:val="000000"/>
          <w:kern w:val="0"/>
          <w:sz w:val="32"/>
          <w:szCs w:val="32"/>
        </w:rPr>
      </w:pPr>
      <w:r>
        <w:rPr>
          <w:rFonts w:ascii="仿宋_GB2312" w:eastAsia="仿宋_GB2312" w:hAnsi="黑体" w:hint="eastAsia"/>
          <w:color w:val="000000"/>
          <w:kern w:val="0"/>
          <w:sz w:val="32"/>
          <w:szCs w:val="32"/>
        </w:rPr>
        <w:t>设区的市级负责药品监督管理的部门开展备案工作中遇到产品管理类别、备案信息不明确等问题时，应当及时与省级药品监督管理部门沟通，省级药品监督管理部门应当加强对设区的市</w:t>
      </w:r>
      <w:r>
        <w:rPr>
          <w:rFonts w:ascii="仿宋_GB2312" w:eastAsia="仿宋_GB2312" w:hAnsi="黑体" w:hint="eastAsia"/>
          <w:color w:val="000000"/>
          <w:kern w:val="0"/>
          <w:sz w:val="32"/>
          <w:szCs w:val="32"/>
        </w:rPr>
        <w:lastRenderedPageBreak/>
        <w:t>级负责药品监督管理的部门第一类医疗器械备案工作的指导。</w:t>
      </w:r>
    </w:p>
    <w:p w:rsidR="00806BB0" w:rsidRDefault="003A2806">
      <w:pPr>
        <w:adjustRightInd w:val="0"/>
        <w:snapToGrid w:val="0"/>
        <w:spacing w:line="560" w:lineRule="exact"/>
        <w:ind w:firstLineChars="200" w:firstLine="640"/>
        <w:rPr>
          <w:rFonts w:ascii="仿宋_GB2312" w:eastAsia="仿宋_GB2312" w:hAnsi="Times New Roman"/>
          <w:sz w:val="28"/>
          <w:szCs w:val="28"/>
        </w:rPr>
      </w:pPr>
      <w:r>
        <w:rPr>
          <w:rFonts w:ascii="仿宋_GB2312" w:eastAsia="仿宋_GB2312" w:hAnsi="黑体" w:hint="eastAsia"/>
          <w:kern w:val="0"/>
          <w:sz w:val="32"/>
          <w:szCs w:val="32"/>
        </w:rPr>
        <w:t>设区的市级备案部门和设区的市级市场监管部门不是同一个部门时，设区的市级备案部门应当及时将备案信息提供给设区的市级市场监管部门。</w:t>
      </w:r>
    </w:p>
    <w:p w:rsidR="00806BB0" w:rsidRDefault="00806BB0">
      <w:pPr>
        <w:rPr>
          <w:rFonts w:ascii="Times New Roman" w:eastAsia="仿宋_GB2312" w:hAnsi="Times New Roman"/>
          <w:sz w:val="32"/>
          <w:szCs w:val="32"/>
        </w:rPr>
      </w:pPr>
    </w:p>
    <w:p w:rsidR="00806BB0" w:rsidRDefault="00806BB0">
      <w:pPr>
        <w:rPr>
          <w:rFonts w:ascii="Times New Roman" w:eastAsia="仿宋_GB2312" w:hAnsi="Times New Roman"/>
          <w:sz w:val="32"/>
          <w:szCs w:val="32"/>
        </w:rPr>
      </w:pPr>
    </w:p>
    <w:p w:rsidR="00806BB0" w:rsidRDefault="00806BB0">
      <w:pPr>
        <w:rPr>
          <w:rFonts w:ascii="Times New Roman" w:eastAsia="仿宋_GB2312" w:hAnsi="Times New Roman"/>
          <w:sz w:val="32"/>
          <w:szCs w:val="32"/>
        </w:rPr>
      </w:pPr>
    </w:p>
    <w:p w:rsidR="00806BB0" w:rsidRDefault="00806BB0">
      <w:pPr>
        <w:rPr>
          <w:rFonts w:ascii="Times New Roman" w:eastAsia="仿宋_GB2312" w:hAnsi="Times New Roman"/>
          <w:sz w:val="32"/>
          <w:szCs w:val="32"/>
        </w:rPr>
      </w:pPr>
    </w:p>
    <w:p w:rsidR="00806BB0" w:rsidRDefault="00806BB0">
      <w:pPr>
        <w:rPr>
          <w:rFonts w:ascii="Times New Roman" w:eastAsia="仿宋_GB2312" w:hAnsi="Times New Roman"/>
          <w:sz w:val="32"/>
          <w:szCs w:val="32"/>
        </w:rPr>
      </w:pPr>
    </w:p>
    <w:p w:rsidR="00806BB0" w:rsidRDefault="00806BB0">
      <w:pPr>
        <w:rPr>
          <w:rFonts w:ascii="Times New Roman" w:eastAsia="仿宋_GB2312" w:hAnsi="Times New Roman"/>
          <w:sz w:val="32"/>
          <w:szCs w:val="32"/>
        </w:rPr>
      </w:pPr>
    </w:p>
    <w:p w:rsidR="00806BB0" w:rsidRDefault="00806BB0">
      <w:pPr>
        <w:rPr>
          <w:rFonts w:ascii="Times New Roman" w:eastAsia="仿宋_GB2312" w:hAnsi="Times New Roman"/>
          <w:sz w:val="32"/>
          <w:szCs w:val="32"/>
        </w:rPr>
      </w:pPr>
    </w:p>
    <w:p w:rsidR="00806BB0" w:rsidRDefault="00806BB0">
      <w:pPr>
        <w:rPr>
          <w:rFonts w:ascii="Times New Roman" w:eastAsia="仿宋_GB2312" w:hAnsi="Times New Roman"/>
          <w:sz w:val="32"/>
          <w:szCs w:val="32"/>
        </w:rPr>
      </w:pPr>
    </w:p>
    <w:p w:rsidR="00806BB0" w:rsidRDefault="00806BB0">
      <w:pPr>
        <w:rPr>
          <w:rFonts w:ascii="Times New Roman" w:eastAsia="仿宋_GB2312" w:hAnsi="Times New Roman"/>
          <w:sz w:val="32"/>
          <w:szCs w:val="32"/>
        </w:rPr>
      </w:pPr>
    </w:p>
    <w:p w:rsidR="00806BB0" w:rsidRDefault="00806BB0">
      <w:pPr>
        <w:rPr>
          <w:rFonts w:ascii="Times New Roman" w:eastAsia="仿宋_GB2312" w:hAnsi="Times New Roman"/>
          <w:sz w:val="32"/>
          <w:szCs w:val="32"/>
        </w:rPr>
      </w:pPr>
    </w:p>
    <w:p w:rsidR="00806BB0" w:rsidRDefault="00806BB0">
      <w:pPr>
        <w:rPr>
          <w:rFonts w:ascii="Times New Roman" w:eastAsia="仿宋_GB2312" w:hAnsi="Times New Roman"/>
          <w:sz w:val="32"/>
          <w:szCs w:val="32"/>
        </w:rPr>
      </w:pPr>
    </w:p>
    <w:p w:rsidR="00806BB0" w:rsidRDefault="00806BB0">
      <w:pPr>
        <w:rPr>
          <w:rFonts w:ascii="Times New Roman" w:eastAsia="仿宋_GB2312" w:hAnsi="Times New Roman"/>
          <w:sz w:val="32"/>
          <w:szCs w:val="32"/>
        </w:rPr>
      </w:pPr>
    </w:p>
    <w:p w:rsidR="00806BB0" w:rsidRDefault="00806BB0">
      <w:pPr>
        <w:rPr>
          <w:rFonts w:ascii="Times New Roman" w:eastAsia="仿宋_GB2312" w:hAnsi="Times New Roman"/>
          <w:sz w:val="32"/>
          <w:szCs w:val="32"/>
        </w:rPr>
      </w:pPr>
    </w:p>
    <w:p w:rsidR="00806BB0" w:rsidRDefault="00806BB0">
      <w:pPr>
        <w:rPr>
          <w:rFonts w:ascii="Times New Roman" w:eastAsia="仿宋_GB2312" w:hAnsi="Times New Roman"/>
          <w:sz w:val="32"/>
          <w:szCs w:val="32"/>
        </w:rPr>
      </w:pPr>
    </w:p>
    <w:p w:rsidR="00806BB0" w:rsidRDefault="00806BB0">
      <w:pPr>
        <w:rPr>
          <w:rFonts w:ascii="Times New Roman" w:eastAsia="仿宋_GB2312" w:hAnsi="Times New Roman"/>
          <w:sz w:val="32"/>
          <w:szCs w:val="32"/>
        </w:rPr>
      </w:pPr>
    </w:p>
    <w:p w:rsidR="00806BB0" w:rsidRDefault="00806BB0">
      <w:pPr>
        <w:rPr>
          <w:rFonts w:ascii="Times New Roman" w:eastAsia="仿宋_GB2312" w:hAnsi="Times New Roman"/>
          <w:sz w:val="32"/>
          <w:szCs w:val="32"/>
        </w:rPr>
      </w:pPr>
    </w:p>
    <w:p w:rsidR="00806BB0" w:rsidRDefault="00806BB0">
      <w:pPr>
        <w:rPr>
          <w:rFonts w:ascii="Times New Roman" w:eastAsia="仿宋_GB2312" w:hAnsi="Times New Roman" w:hint="eastAsia"/>
          <w:sz w:val="32"/>
          <w:szCs w:val="32"/>
        </w:rPr>
      </w:pPr>
      <w:bookmarkStart w:id="0" w:name="_GoBack"/>
      <w:bookmarkEnd w:id="0"/>
    </w:p>
    <w:sectPr w:rsidR="00806BB0">
      <w:footerReference w:type="even" r:id="rId7"/>
      <w:footerReference w:type="default" r:id="rId8"/>
      <w:pgSz w:w="11906" w:h="16838"/>
      <w:pgMar w:top="1928" w:right="1531" w:bottom="1814" w:left="1531" w:header="851" w:footer="141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2E4" w:rsidRDefault="00C802E4">
      <w:r>
        <w:separator/>
      </w:r>
    </w:p>
  </w:endnote>
  <w:endnote w:type="continuationSeparator" w:id="0">
    <w:p w:rsidR="00C802E4" w:rsidRDefault="00C8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BB0" w:rsidRDefault="00F3356D">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806BB0" w:rsidRDefault="003A2806">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wgwA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t6Ycoz9CoBr+se/PR4KUZos6Wq+itRfFSIi3VDeE0v&#10;pBRDQ0kJ6fnmpnvv6oSjDMh2eC1KiENutLBAYyU7UzuoBgJ0aNPtoTV01KgwIaMgijw4KuBsXpgY&#10;JJmv91Lpl1R0yBgpltB7C092V0pPrrOLicZFztoW9knS8gcbgDntQHC4as5MGradn2Mv3kSbKHTC&#10;YLlxQi/LnIt8HTrL3D9dZC+y9Trzv5i4fpg0rCwpN2Fmafnhn7VuL/JJFAdxKdGy0sCZlJSst+tW&#10;oh0Baef2s0WHk6Ob+zANWy/g8oiSH4TeZRA7+TI6dcI8XDjxqRc5nh9fxksvjMMsf0jpinH675TQ&#10;kOJ4ESygqV0PClS8noR1zP8RTc9+T2mSpGMa5kjLuhSDTOAzTiQxctzw0tqasHay71XFMDlWBTo/&#10;99yK1+h1Uq4etyOgGEVvRXkLMpYCRAaChOEHRiPkJ4wGGCQp5jDpMGpfcXgIZubMhpyN7WwQXsDF&#10;FGuMJnOtp9l000tWN4A7P7ULeCw5szI+5rB/YjAaLIX9GDOz5/7aeh2H7eo3AAAA//8DAFBLAwQU&#10;AAYACAAAACEADErw7tYAAAAFAQAADwAAAGRycy9kb3ducmV2LnhtbEyPQWvDMAyF74P+B6PCbqvT&#10;HraQxSml0Etv68ZgNzdW4zBbDrabJv9+2hhsF6HHE0/fq7eTd2LEmPpACtarAgRSG0xPnYK318ND&#10;CSJlTUa7QKhgxgTbZnFX68qEG73geMqd4BBKlVZgcx4qKVNr0eu0CgMSe5cQvc4sYydN1DcO905u&#10;iuJRet0Tf7B6wL3F9vN09QqepveAQ8I9flzGNtp+Lt1xVup+Oe2eQWSc8t8xfOMzOjTMdA5XMkk4&#10;BVwk/0z2NmXJ8vy7yKaW/+mbLwAAAP//AwBQSwECLQAUAAYACAAAACEAtoM4kv4AAADhAQAAEwAA&#10;AAAAAAAAAAAAAAAAAAAAW0NvbnRlbnRfVHlwZXNdLnhtbFBLAQItABQABgAIAAAAIQA4/SH/1gAA&#10;AJQBAAALAAAAAAAAAAAAAAAAAC8BAABfcmVscy8ucmVsc1BLAQItABQABgAIAAAAIQCNBUwgwAIA&#10;ALQFAAAOAAAAAAAAAAAAAAAAAC4CAABkcnMvZTJvRG9jLnhtbFBLAQItABQABgAIAAAAIQAMSvDu&#10;1gAAAAUBAAAPAAAAAAAAAAAAAAAAABoFAABkcnMvZG93bnJldi54bWxQSwUGAAAAAAQABADzAAAA&#10;HQYAAAAA&#10;" filled="f" stroked="f">
              <v:textbox style="mso-fit-shape-to-text:t" inset="0,0,0,0">
                <w:txbxContent>
                  <w:p w:rsidR="00000000" w:rsidRDefault="003A2806">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BB0" w:rsidRDefault="00F3356D">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2540" r="3175"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806BB0" w:rsidRDefault="003A2806">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37DB2">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QawQIAALkFAAAOAAAAZHJzL2Uyb0RvYy54bWysVMtu1DAU3SPxD5b3aR5NZiZRM1U7mSCk&#10;8pAKH+BJnIlFYke2O0lBbOEPWLFhz3f1O7h2JtNpKyQEZGHd2NfnPs7xPTsf2gbtqFRM8BT7Jx5G&#10;lBeiZHyb4vfvcmeBkdKEl6QRnKb4lip8vnz+7KzvEhqIWjQllQhAuEr6LsW11l3iuqqoaUvUiego&#10;h8NKyJZo+JVbt5SkB/S2cQPPm7m9kGUnRUGVgt1sPMRLi19VtNBvqkpRjZoUQ27artKuG7O6yzOS&#10;bCXpalbs0yB/kUVLGIegB6iMaIJuJHsC1bJCCiUqfVKI1hVVxQpqa4BqfO9RNdc16aitBZqjukOb&#10;1P+DLV7v3krESuAOI05aoOju29e77z/vfnxBgWlP36kEvK478NPDpRiMqylVdVei+KAQF6ua8C29&#10;kFL0NSUlpOebm+7R1RFHGZBN/0qUEIfcaGGBhkq2BhC6gQAdaLo9UEMHjQrYjOeL6DTCqICj4NSL&#10;vMhGIMl0uZNKv6CiRcZIsQTmLTjZXSltkiHJ5GJicZGzprHsN/zBBjiOOxAarpozk4Ql81PsxevF&#10;ehE6YTBbO6GXZc5FvgqdWe7Po+w0W60y/7OJ64dJzcqSchNmEpYf/hlxe4mPkjhIS4mGlQbOpKTk&#10;drNqJNoREHZuv31Djtzch2nYJkAtj0ryg9C7DGInny3mTpiHkRPPvYXj+fFlPPPCOMzyhyVdMU7/&#10;vSTUA6tRYDhtO9Cf4ttRVr8t07Pf0zJJ0jINU6RhbYoXByeSGDGueWlZ1oQ1o33UFVPJfVeA+Ylz&#10;K12j1lG3etgM+0cCYEbWG1HegpalAK2BYGECglEL+RGjHqZJijmMO4yalxxegxk8kyEnYzMZhBdw&#10;McUao9Fc6XFA3XSSbWvAnd7bBbyYnFk13+ewf2cwH2wl+1lmBtDxv/W6n7jLXwAAAP//AwBQSwME&#10;FAAGAAgAAAAhAJLaq4HZAAAABAEAAA8AAABkcnMvZG93bnJldi54bWxMj8FOwzAQRO9I/IO1lbhR&#10;pxRKFeJUqBIXbpQKids23sZR7XVku2ny97hc4LLSaEYzb6vN6KwYKMTOs4LFvABB3Hjdcatg//l2&#10;vwYRE7JG65kUTBRhU9/eVFhqf+EPGnapFbmEY4kKTEp9KWVsDDmMc98TZ+/og8OUZWilDnjJ5c7K&#10;h6JYSYcd5wWDPW0NNafd2Sl4Hr889ZG29H0cmmC6aW3fJ6XuZuPrC4hEY/oLwxU/o0OdmQ7+zDoK&#10;qyA/kn7v1Xt6XIA4KFiuliDrSv6Hr38AAAD//wMAUEsBAi0AFAAGAAgAAAAhALaDOJL+AAAA4QEA&#10;ABMAAAAAAAAAAAAAAAAAAAAAAFtDb250ZW50X1R5cGVzXS54bWxQSwECLQAUAAYACAAAACEAOP0h&#10;/9YAAACUAQAACwAAAAAAAAAAAAAAAAAvAQAAX3JlbHMvLnJlbHNQSwECLQAUAAYACAAAACEAdP4k&#10;GsECAAC5BQAADgAAAAAAAAAAAAAAAAAuAgAAZHJzL2Uyb0RvYy54bWxQSwECLQAUAAYACAAAACEA&#10;ktqrgdkAAAAEAQAADwAAAAAAAAAAAAAAAAAbBQAAZHJzL2Rvd25yZXYueG1sUEsFBgAAAAAEAAQA&#10;8wAAACEGAAAAAA==&#10;" filled="f" stroked="f">
              <v:textbox style="mso-fit-shape-to-text:t" inset="0,0,0,0">
                <w:txbxContent>
                  <w:p w:rsidR="00806BB0" w:rsidRDefault="003A2806">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37DB2">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2E4" w:rsidRDefault="00C802E4">
      <w:r>
        <w:separator/>
      </w:r>
    </w:p>
  </w:footnote>
  <w:footnote w:type="continuationSeparator" w:id="0">
    <w:p w:rsidR="00C802E4" w:rsidRDefault="00C802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BFD9E6"/>
    <w:multiLevelType w:val="singleLevel"/>
    <w:tmpl w:val="FFBFD9E6"/>
    <w:lvl w:ilvl="0">
      <w:start w:val="5"/>
      <w:numFmt w:val="chineseCounting"/>
      <w:suff w:val="nothing"/>
      <w:lvlText w:val="（%1）"/>
      <w:lvlJc w:val="left"/>
      <w:rPr>
        <w:rFonts w:hint="eastAsia"/>
      </w:rPr>
    </w:lvl>
  </w:abstractNum>
  <w:abstractNum w:abstractNumId="1" w15:restartNumberingAfterBreak="0">
    <w:nsid w:val="00000001"/>
    <w:multiLevelType w:val="multilevel"/>
    <w:tmpl w:val="00000001"/>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15:restartNumberingAfterBreak="0">
    <w:nsid w:val="655A6E62"/>
    <w:multiLevelType w:val="multilevel"/>
    <w:tmpl w:val="00000000"/>
    <w:lvl w:ilvl="0">
      <w:start w:val="1"/>
      <w:numFmt w:val="decimal"/>
      <w:lvlText w:val="%1."/>
      <w:lvlJc w:val="left"/>
      <w:pPr>
        <w:tabs>
          <w:tab w:val="num" w:pos="360"/>
        </w:tabs>
        <w:ind w:left="360" w:hanging="36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6D"/>
    <w:rsid w:val="DF2F56E5"/>
    <w:rsid w:val="00266597"/>
    <w:rsid w:val="00350FA1"/>
    <w:rsid w:val="003A2806"/>
    <w:rsid w:val="00426105"/>
    <w:rsid w:val="00474138"/>
    <w:rsid w:val="00737DB2"/>
    <w:rsid w:val="00806BB0"/>
    <w:rsid w:val="008A5100"/>
    <w:rsid w:val="00C802E4"/>
    <w:rsid w:val="00E0656D"/>
    <w:rsid w:val="00F3356D"/>
    <w:rsid w:val="1BF75C10"/>
    <w:rsid w:val="3EAB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BD39DC6-A9E9-4419-BE78-4C6A184A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uiPriority w:val="99"/>
    <w:qFormat/>
    <w:pPr>
      <w:widowControl w:val="0"/>
      <w:tabs>
        <w:tab w:val="center" w:pos="4153"/>
        <w:tab w:val="right" w:pos="8306"/>
      </w:tabs>
      <w:snapToGrid w:val="0"/>
    </w:pPr>
    <w:rPr>
      <w:rFonts w:ascii="Times New Roman" w:hAnsi="Times New Roman"/>
      <w:kern w:val="2"/>
      <w:sz w:val="18"/>
      <w:szCs w:val="18"/>
    </w:rPr>
  </w:style>
  <w:style w:type="paragraph" w:customStyle="1" w:styleId="CharChar">
    <w:name w:val="批注框文本 Char Char"/>
    <w:qFormat/>
    <w:pPr>
      <w:widowControl w:val="0"/>
      <w:spacing w:line="360" w:lineRule="auto"/>
      <w:ind w:firstLineChars="200" w:firstLine="200"/>
      <w:jc w:val="both"/>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cp:lastPrinted>2022-08-11T01:54:00Z</cp:lastPrinted>
  <dcterms:created xsi:type="dcterms:W3CDTF">2022-08-11T09:31:00Z</dcterms:created>
  <dcterms:modified xsi:type="dcterms:W3CDTF">2022-08-11T09:31:00Z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