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93E2C">
      <w:pPr>
        <w:jc w:val="left"/>
        <w:rPr>
          <w:rFonts w:eastAsia="黑体" w:hint="eastAsia"/>
          <w:sz w:val="32"/>
          <w:szCs w:val="32"/>
          <w:lang w:bidi="en-US"/>
        </w:rPr>
      </w:pPr>
      <w:bookmarkStart w:id="0" w:name="_GoBack"/>
      <w:bookmarkEnd w:id="0"/>
      <w:r>
        <w:rPr>
          <w:rFonts w:eastAsia="黑体"/>
          <w:sz w:val="32"/>
          <w:szCs w:val="32"/>
          <w:lang w:bidi="en-US"/>
        </w:rPr>
        <w:t>附件</w:t>
      </w:r>
    </w:p>
    <w:p w:rsidR="00000000" w:rsidRDefault="00E93E2C">
      <w:pPr>
        <w:spacing w:line="560" w:lineRule="exact"/>
        <w:jc w:val="center"/>
        <w:rPr>
          <w:rFonts w:eastAsia="方正小标宋简体"/>
          <w:sz w:val="44"/>
          <w:szCs w:val="44"/>
        </w:rPr>
      </w:pPr>
      <w:r>
        <w:rPr>
          <w:rFonts w:eastAsia="方正小标宋简体"/>
          <w:sz w:val="44"/>
          <w:szCs w:val="44"/>
        </w:rPr>
        <w:t>医疗器械行业标准报送信息表</w:t>
      </w:r>
    </w:p>
    <w:p w:rsidR="00000000" w:rsidRDefault="00E93E2C">
      <w:pPr>
        <w:spacing w:line="560" w:lineRule="exact"/>
        <w:jc w:val="center"/>
        <w:rPr>
          <w:rFonts w:eastAsia="方正小标宋简体"/>
          <w:sz w:val="44"/>
          <w:szCs w:val="44"/>
        </w:rPr>
      </w:pPr>
    </w:p>
    <w:p w:rsidR="00000000" w:rsidRDefault="00E93E2C">
      <w:pPr>
        <w:adjustRightInd w:val="0"/>
        <w:snapToGrid w:val="0"/>
        <w:spacing w:line="300" w:lineRule="exact"/>
        <w:jc w:val="center"/>
        <w:rPr>
          <w:rFonts w:eastAsia="仿宋_GB2312"/>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1891"/>
        <w:gridCol w:w="2125"/>
        <w:gridCol w:w="1131"/>
        <w:gridCol w:w="1278"/>
        <w:gridCol w:w="5105"/>
        <w:gridCol w:w="1964"/>
      </w:tblGrid>
      <w:tr w:rsidR="00000000">
        <w:trPr>
          <w:trHeight w:val="767"/>
          <w:tblHeader/>
          <w:jc w:val="center"/>
        </w:trPr>
        <w:tc>
          <w:tcPr>
            <w:tcW w:w="578" w:type="dxa"/>
            <w:vAlign w:val="center"/>
          </w:tcPr>
          <w:p w:rsidR="00000000" w:rsidRDefault="00E93E2C">
            <w:pPr>
              <w:adjustRightInd w:val="0"/>
              <w:snapToGrid w:val="0"/>
              <w:spacing w:line="240" w:lineRule="atLeast"/>
              <w:jc w:val="center"/>
              <w:rPr>
                <w:rFonts w:eastAsia="仿宋_GB2312"/>
                <w:bCs/>
                <w:sz w:val="24"/>
              </w:rPr>
            </w:pPr>
            <w:r>
              <w:rPr>
                <w:rFonts w:eastAsia="黑体"/>
                <w:bCs/>
                <w:sz w:val="24"/>
              </w:rPr>
              <w:t>序号</w:t>
            </w:r>
          </w:p>
        </w:tc>
        <w:tc>
          <w:tcPr>
            <w:tcW w:w="1891" w:type="dxa"/>
            <w:vAlign w:val="center"/>
          </w:tcPr>
          <w:p w:rsidR="00000000" w:rsidRDefault="00E93E2C">
            <w:pPr>
              <w:adjustRightInd w:val="0"/>
              <w:snapToGrid w:val="0"/>
              <w:spacing w:line="240" w:lineRule="atLeast"/>
              <w:jc w:val="center"/>
              <w:rPr>
                <w:rFonts w:eastAsia="黑体"/>
                <w:bCs/>
                <w:sz w:val="24"/>
              </w:rPr>
            </w:pPr>
            <w:r>
              <w:rPr>
                <w:rFonts w:eastAsia="黑体"/>
                <w:bCs/>
                <w:sz w:val="24"/>
              </w:rPr>
              <w:t>标准编号</w:t>
            </w:r>
          </w:p>
        </w:tc>
        <w:tc>
          <w:tcPr>
            <w:tcW w:w="2125" w:type="dxa"/>
            <w:vAlign w:val="center"/>
          </w:tcPr>
          <w:p w:rsidR="00000000" w:rsidRDefault="00E93E2C">
            <w:pPr>
              <w:adjustRightInd w:val="0"/>
              <w:snapToGrid w:val="0"/>
              <w:spacing w:line="240" w:lineRule="atLeast"/>
              <w:jc w:val="center"/>
              <w:rPr>
                <w:rFonts w:eastAsia="黑体"/>
                <w:bCs/>
                <w:sz w:val="24"/>
              </w:rPr>
            </w:pPr>
            <w:r>
              <w:rPr>
                <w:rFonts w:eastAsia="黑体"/>
                <w:bCs/>
                <w:sz w:val="24"/>
              </w:rPr>
              <w:t>标准名称</w:t>
            </w:r>
          </w:p>
        </w:tc>
        <w:tc>
          <w:tcPr>
            <w:tcW w:w="1131" w:type="dxa"/>
            <w:vAlign w:val="center"/>
          </w:tcPr>
          <w:p w:rsidR="00000000" w:rsidRDefault="00E93E2C">
            <w:pPr>
              <w:adjustRightInd w:val="0"/>
              <w:snapToGrid w:val="0"/>
              <w:spacing w:line="240" w:lineRule="atLeast"/>
              <w:jc w:val="center"/>
              <w:rPr>
                <w:rFonts w:eastAsia="黑体"/>
                <w:bCs/>
                <w:sz w:val="24"/>
              </w:rPr>
            </w:pPr>
            <w:r>
              <w:rPr>
                <w:rFonts w:eastAsia="黑体"/>
                <w:bCs/>
                <w:sz w:val="24"/>
              </w:rPr>
              <w:t>制修订</w:t>
            </w:r>
          </w:p>
        </w:tc>
        <w:tc>
          <w:tcPr>
            <w:tcW w:w="1278" w:type="dxa"/>
            <w:vAlign w:val="center"/>
          </w:tcPr>
          <w:p w:rsidR="00000000" w:rsidRDefault="00E93E2C">
            <w:pPr>
              <w:adjustRightInd w:val="0"/>
              <w:snapToGrid w:val="0"/>
              <w:spacing w:line="240" w:lineRule="atLeast"/>
              <w:jc w:val="center"/>
              <w:rPr>
                <w:rFonts w:eastAsia="黑体"/>
                <w:bCs/>
                <w:sz w:val="24"/>
              </w:rPr>
            </w:pPr>
            <w:r>
              <w:rPr>
                <w:rFonts w:eastAsia="黑体"/>
                <w:bCs/>
                <w:sz w:val="24"/>
              </w:rPr>
              <w:t>替代标准</w:t>
            </w:r>
          </w:p>
        </w:tc>
        <w:tc>
          <w:tcPr>
            <w:tcW w:w="5105" w:type="dxa"/>
            <w:vAlign w:val="center"/>
          </w:tcPr>
          <w:p w:rsidR="00000000" w:rsidRDefault="00E93E2C">
            <w:pPr>
              <w:adjustRightInd w:val="0"/>
              <w:snapToGrid w:val="0"/>
              <w:spacing w:line="240" w:lineRule="atLeast"/>
              <w:jc w:val="center"/>
              <w:rPr>
                <w:rFonts w:eastAsia="黑体"/>
                <w:bCs/>
                <w:sz w:val="24"/>
              </w:rPr>
            </w:pPr>
            <w:r>
              <w:rPr>
                <w:rFonts w:eastAsia="黑体"/>
                <w:bCs/>
                <w:sz w:val="24"/>
              </w:rPr>
              <w:t>适用范围</w:t>
            </w:r>
          </w:p>
        </w:tc>
        <w:tc>
          <w:tcPr>
            <w:tcW w:w="1964" w:type="dxa"/>
            <w:vAlign w:val="center"/>
          </w:tcPr>
          <w:p w:rsidR="00000000" w:rsidRDefault="00E93E2C">
            <w:pPr>
              <w:adjustRightInd w:val="0"/>
              <w:snapToGrid w:val="0"/>
              <w:spacing w:line="240" w:lineRule="atLeast"/>
              <w:jc w:val="center"/>
              <w:rPr>
                <w:rFonts w:eastAsia="黑体"/>
                <w:bCs/>
                <w:sz w:val="24"/>
              </w:rPr>
            </w:pPr>
            <w:r>
              <w:rPr>
                <w:rFonts w:eastAsia="黑体"/>
                <w:bCs/>
                <w:sz w:val="24"/>
              </w:rPr>
              <w:t>实施日期</w:t>
            </w:r>
          </w:p>
        </w:tc>
      </w:tr>
      <w:tr w:rsidR="00000000">
        <w:trPr>
          <w:trHeight w:val="332"/>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0273-2022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牙科学</w:t>
            </w:r>
            <w:r>
              <w:rPr>
                <w:rFonts w:eastAsia="仿宋_GB2312"/>
                <w:bCs/>
                <w:sz w:val="24"/>
              </w:rPr>
              <w:t xml:space="preserve"> </w:t>
            </w:r>
            <w:r>
              <w:rPr>
                <w:rFonts w:eastAsia="仿宋_GB2312"/>
                <w:bCs/>
                <w:sz w:val="24"/>
              </w:rPr>
              <w:t>牙科银汞调合器</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0273-2009</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本文件规定了用于将牙科银合金粉和胶囊中的牙科汞混合，形成牙科银汞合金的电动调合器的要求和试验方法。本文件适用于通过振荡作用混合的牙科银汞调合</w:t>
            </w:r>
            <w:r>
              <w:rPr>
                <w:rFonts w:eastAsia="仿宋_GB2312"/>
                <w:bCs/>
                <w:sz w:val="24"/>
              </w:rPr>
              <w:t>器，这些调合器由制造商销售，用于混合牙科银汞合金，无论调合器是否用于混合任何其他类型的产品。本文件未规定对可拆装式调合胶囊的要求，尽管在许多牙科银汞调合器中可拆装式调合胶囊用于容纳待混合材料，在使用或测试时被视为牙科银汞调合器的一部分。</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2024</w:t>
            </w:r>
            <w:r>
              <w:rPr>
                <w:rFonts w:eastAsia="仿宋_GB2312"/>
                <w:bCs/>
                <w:sz w:val="24"/>
              </w:rPr>
              <w:t>年</w:t>
            </w:r>
            <w:r>
              <w:rPr>
                <w:rFonts w:eastAsia="仿宋_GB2312"/>
                <w:bCs/>
                <w:sz w:val="24"/>
              </w:rPr>
              <w:t>1</w:t>
            </w:r>
            <w:r>
              <w:rPr>
                <w:rFonts w:eastAsia="仿宋_GB2312"/>
                <w:bCs/>
                <w:sz w:val="24"/>
              </w:rPr>
              <w:t>月</w:t>
            </w:r>
            <w:r>
              <w:rPr>
                <w:rFonts w:eastAsia="仿宋_GB2312"/>
                <w:bCs/>
                <w:sz w:val="24"/>
              </w:rPr>
              <w:t>1</w:t>
            </w:r>
            <w:r>
              <w:rPr>
                <w:rFonts w:eastAsia="仿宋_GB2312"/>
                <w:bCs/>
                <w:sz w:val="24"/>
              </w:rPr>
              <w:t>日</w:t>
            </w:r>
          </w:p>
        </w:tc>
      </w:tr>
      <w:tr w:rsidR="00000000">
        <w:trPr>
          <w:trHeight w:val="263"/>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2</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0290.4-2022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眼科光学</w:t>
            </w:r>
            <w:r>
              <w:rPr>
                <w:rFonts w:eastAsia="仿宋_GB2312"/>
                <w:bCs/>
                <w:sz w:val="24"/>
              </w:rPr>
              <w:t xml:space="preserve"> </w:t>
            </w:r>
            <w:r>
              <w:rPr>
                <w:rFonts w:eastAsia="仿宋_GB2312"/>
                <w:bCs/>
                <w:sz w:val="24"/>
              </w:rPr>
              <w:t>人工晶状体</w:t>
            </w:r>
            <w:r>
              <w:rPr>
                <w:rFonts w:eastAsia="仿宋_GB2312"/>
                <w:bCs/>
                <w:sz w:val="24"/>
              </w:rPr>
              <w:t xml:space="preserve"> </w:t>
            </w:r>
            <w:r>
              <w:rPr>
                <w:rFonts w:eastAsia="仿宋_GB2312"/>
                <w:bCs/>
                <w:sz w:val="24"/>
              </w:rPr>
              <w:t>第</w:t>
            </w:r>
            <w:r>
              <w:rPr>
                <w:rFonts w:eastAsia="仿宋_GB2312"/>
                <w:bCs/>
                <w:sz w:val="24"/>
              </w:rPr>
              <w:t>4</w:t>
            </w:r>
            <w:r>
              <w:rPr>
                <w:rFonts w:eastAsia="仿宋_GB2312"/>
                <w:bCs/>
                <w:sz w:val="24"/>
              </w:rPr>
              <w:t>部分：标签和资料</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0290.4-2008</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本文件规定了人工晶状体标签和包装上或包装内所提供资料内容的要求。</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948"/>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3</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0299-2022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医用超声</w:t>
            </w:r>
            <w:r>
              <w:rPr>
                <w:rFonts w:eastAsia="仿宋_GB2312"/>
                <w:bCs/>
                <w:sz w:val="24"/>
              </w:rPr>
              <w:t>耦合剂</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 0299-2016</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本文件规定了医用超声耦合剂的术语和定义、产品分类、技术要求和试验方法。本文件适用于医用超声耦合剂，也适用于医用超声耦合垫。</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w:t>
            </w:r>
            <w:r>
              <w:rPr>
                <w:rFonts w:eastAsia="仿宋_GB2312"/>
                <w:bCs/>
                <w:sz w:val="24"/>
                <w:lang w:val="en"/>
              </w:rPr>
              <w:t>4</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977"/>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lastRenderedPageBreak/>
              <w:t>4</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0482-2022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医用磁共振成像设备</w:t>
            </w:r>
            <w:r>
              <w:rPr>
                <w:rFonts w:eastAsia="仿宋_GB2312"/>
                <w:bCs/>
                <w:sz w:val="24"/>
              </w:rPr>
              <w:t xml:space="preserve"> </w:t>
            </w:r>
            <w:r>
              <w:rPr>
                <w:rFonts w:eastAsia="仿宋_GB2312"/>
                <w:bCs/>
                <w:sz w:val="24"/>
              </w:rPr>
              <w:t>主要图像质量参数的测定</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0482-2010</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用于测定磁共振设备的一些主要图像质量参数的测量程序。本文件适用于在验收试验时进行质量评价以及在稳定性试验时进行质量保证。本文件不适用于在验收试验和稳定性试验时进行性能等级的确定；大于</w:t>
            </w:r>
            <w:r>
              <w:rPr>
                <w:rFonts w:eastAsia="仿宋_GB2312"/>
                <w:bCs/>
                <w:sz w:val="24"/>
              </w:rPr>
              <w:t>8T</w:t>
            </w:r>
            <w:r>
              <w:rPr>
                <w:rFonts w:eastAsia="仿宋_GB2312"/>
                <w:bCs/>
                <w:sz w:val="24"/>
              </w:rPr>
              <w:t>的高场磁共振设</w:t>
            </w:r>
            <w:r>
              <w:rPr>
                <w:rFonts w:eastAsia="仿宋_GB2312"/>
                <w:bCs/>
                <w:sz w:val="24"/>
              </w:rPr>
              <w:t>备的图像质量评价（除非另有说明）；受磁共振兼容性问题影响的图像质量；特殊诊断流程，如血流成像、灌注、扩散、放疗和图像引导治疗的应用；型式试验。</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5</w:t>
            </w:r>
            <w:r>
              <w:rPr>
                <w:rFonts w:eastAsia="仿宋_GB2312"/>
                <w:bCs/>
                <w:sz w:val="24"/>
              </w:rPr>
              <w:t>月</w:t>
            </w:r>
            <w:r>
              <w:rPr>
                <w:rFonts w:eastAsia="仿宋_GB2312"/>
                <w:bCs/>
                <w:sz w:val="24"/>
              </w:rPr>
              <w:t>1</w:t>
            </w:r>
            <w:r>
              <w:rPr>
                <w:rFonts w:eastAsia="仿宋_GB2312"/>
                <w:bCs/>
                <w:sz w:val="24"/>
              </w:rPr>
              <w:t>日</w:t>
            </w:r>
          </w:p>
        </w:tc>
      </w:tr>
      <w:tr w:rsidR="00000000">
        <w:trPr>
          <w:trHeight w:val="263"/>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5</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0519-2022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牙科学</w:t>
            </w:r>
            <w:r>
              <w:rPr>
                <w:rFonts w:eastAsia="仿宋_GB2312"/>
                <w:bCs/>
                <w:sz w:val="24"/>
              </w:rPr>
              <w:t xml:space="preserve"> </w:t>
            </w:r>
            <w:r>
              <w:rPr>
                <w:rFonts w:eastAsia="仿宋_GB2312"/>
                <w:bCs/>
                <w:sz w:val="24"/>
              </w:rPr>
              <w:t>与牙齿结构粘接的测试</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0519-2009</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两类粘接强度（拉伸和剪切）测量试验方法、一种充填物周围边缘间隙测量试验方法、一种微渗漏试验方法和一些测量粘接强度的特定试验方法。本文件适用于指导（粘接）基底物的选择，储存和操作，并给出了用于检测口腔修复材料和牙齿结构（即牙釉质和牙本质</w:t>
            </w:r>
            <w:r>
              <w:rPr>
                <w:rFonts w:eastAsia="仿宋_GB2312"/>
                <w:bCs/>
                <w:sz w:val="24"/>
              </w:rPr>
              <w:t>）间粘接质量的各种试验方法。本文件不适用于对粘接材料及其性能的要求。</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977"/>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6</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0612-2022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一次性使用人体动脉血样采集器</w:t>
            </w:r>
            <w:r>
              <w:rPr>
                <w:rFonts w:eastAsia="仿宋_GB2312"/>
                <w:bCs/>
                <w:sz w:val="24"/>
              </w:rPr>
              <w:t>(</w:t>
            </w:r>
            <w:r>
              <w:rPr>
                <w:rFonts w:eastAsia="仿宋_GB2312"/>
                <w:bCs/>
                <w:sz w:val="24"/>
              </w:rPr>
              <w:t>动脉血气针</w:t>
            </w:r>
            <w:r>
              <w:rPr>
                <w:rFonts w:eastAsia="仿宋_GB2312"/>
                <w:bCs/>
                <w:sz w:val="24"/>
              </w:rPr>
              <w:t>)</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 0612-2007</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本文件规定了血气分析用一次性使用人体动脉血样采集器</w:t>
            </w:r>
            <w:r>
              <w:rPr>
                <w:rFonts w:eastAsia="仿宋_GB2312"/>
                <w:bCs/>
                <w:sz w:val="24"/>
              </w:rPr>
              <w:t>(</w:t>
            </w:r>
            <w:r>
              <w:rPr>
                <w:rFonts w:eastAsia="仿宋_GB2312"/>
                <w:bCs/>
                <w:sz w:val="24"/>
              </w:rPr>
              <w:t>常称</w:t>
            </w:r>
            <w:r>
              <w:rPr>
                <w:rFonts w:eastAsia="仿宋_GB2312"/>
                <w:bCs/>
                <w:sz w:val="24"/>
              </w:rPr>
              <w:t>“</w:t>
            </w:r>
            <w:r>
              <w:rPr>
                <w:rFonts w:eastAsia="仿宋_GB2312"/>
                <w:bCs/>
                <w:sz w:val="24"/>
              </w:rPr>
              <w:t>动脉血气针</w:t>
            </w:r>
            <w:r>
              <w:rPr>
                <w:rFonts w:eastAsia="仿宋_GB2312"/>
                <w:bCs/>
                <w:sz w:val="24"/>
              </w:rPr>
              <w:t>”)</w:t>
            </w:r>
            <w:r>
              <w:rPr>
                <w:rFonts w:eastAsia="仿宋_GB2312"/>
                <w:bCs/>
                <w:sz w:val="24"/>
              </w:rPr>
              <w:t>的物理性能、生物性能、化学性能、添加剂等要求。本文件适用于一次性使用人体动脉血样采集器，包括预设型血样采集器和抽血型血样采集器。本文件不包括静脉血样采集容器和末稍血样采集容器的要求。</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977"/>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lastRenderedPageBreak/>
              <w:t>7</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0634-2022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眼科仪器</w:t>
            </w:r>
            <w:r>
              <w:rPr>
                <w:rFonts w:eastAsia="仿宋_GB2312"/>
                <w:bCs/>
                <w:sz w:val="24"/>
              </w:rPr>
              <w:t xml:space="preserve"> </w:t>
            </w:r>
            <w:r>
              <w:rPr>
                <w:rFonts w:eastAsia="仿宋_GB2312"/>
                <w:bCs/>
                <w:sz w:val="24"/>
              </w:rPr>
              <w:t>眼底照相机</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 0634-2008</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本文件规定了眼底照相机的要求和试验方法。眼底照相机用于观察、拍摄和记录人眼眼底电子图像，以提供用于诊断的图像信息。</w:t>
            </w:r>
            <w:r>
              <w:rPr>
                <w:rFonts w:eastAsia="仿宋_GB2312"/>
                <w:bCs/>
                <w:sz w:val="24"/>
              </w:rPr>
              <w:t>本文件适用于采用照相机成像原理的仪器。</w:t>
            </w:r>
            <w:r>
              <w:rPr>
                <w:rFonts w:eastAsia="仿宋_GB2312"/>
                <w:bCs/>
                <w:sz w:val="24"/>
              </w:rPr>
              <w:t>本文件不适用于以下仪器：在检查过程中接触眼睛的仪器；使用扫描成像技术、自适应光学成像技术、光学相干断层成像技术（</w:t>
            </w:r>
            <w:r>
              <w:rPr>
                <w:rFonts w:eastAsia="仿宋_GB2312"/>
                <w:bCs/>
                <w:sz w:val="24"/>
              </w:rPr>
              <w:t>OCT</w:t>
            </w:r>
            <w:r>
              <w:rPr>
                <w:rFonts w:eastAsia="仿宋_GB2312"/>
                <w:bCs/>
                <w:sz w:val="24"/>
              </w:rPr>
              <w:t>）、多单色光谱成像技术的仪器。</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5135"/>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8</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0793.1-2022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血液透析和相关治疗用液体的制备和质量管理</w:t>
            </w:r>
            <w:r>
              <w:rPr>
                <w:rFonts w:eastAsia="仿宋_GB2312"/>
                <w:bCs/>
                <w:sz w:val="24"/>
              </w:rPr>
              <w:t xml:space="preserve"> </w:t>
            </w:r>
            <w:r>
              <w:rPr>
                <w:rFonts w:eastAsia="仿宋_GB2312"/>
                <w:bCs/>
                <w:sz w:val="24"/>
              </w:rPr>
              <w:t>第</w:t>
            </w:r>
            <w:r>
              <w:rPr>
                <w:rFonts w:eastAsia="仿宋_GB2312"/>
                <w:bCs/>
                <w:sz w:val="24"/>
              </w:rPr>
              <w:t>1</w:t>
            </w:r>
            <w:r>
              <w:rPr>
                <w:rFonts w:eastAsia="仿宋_GB2312"/>
                <w:bCs/>
                <w:sz w:val="24"/>
              </w:rPr>
              <w:t>部分：血液透析和相关治疗用水处理设备</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w:t>
            </w:r>
            <w:r>
              <w:rPr>
                <w:rFonts w:eastAsia="仿宋_GB2312"/>
                <w:bCs/>
                <w:sz w:val="24"/>
              </w:rPr>
              <w:t xml:space="preserve"> 0793.1-2010 </w:t>
            </w:r>
          </w:p>
          <w:p w:rsidR="00000000" w:rsidRDefault="00E93E2C">
            <w:pPr>
              <w:spacing w:line="240" w:lineRule="atLeast"/>
              <w:jc w:val="center"/>
              <w:rPr>
                <w:rFonts w:eastAsia="仿宋_GB2312"/>
                <w:bCs/>
                <w:sz w:val="24"/>
              </w:rPr>
            </w:pPr>
            <w:r>
              <w:rPr>
                <w:rFonts w:eastAsia="仿宋_GB2312"/>
                <w:bCs/>
                <w:sz w:val="24"/>
              </w:rPr>
              <w:t>YY 0793.2-2011</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本文件规定了血液透析和相关治疗用水处理设备的术语和定义、要求、试验方法和标记。</w:t>
            </w:r>
          </w:p>
          <w:p w:rsidR="00000000" w:rsidRDefault="00E93E2C">
            <w:pPr>
              <w:spacing w:line="240" w:lineRule="atLeast"/>
              <w:jc w:val="left"/>
              <w:rPr>
                <w:rFonts w:eastAsia="仿宋_GB2312"/>
                <w:bCs/>
                <w:sz w:val="24"/>
              </w:rPr>
            </w:pPr>
            <w:r>
              <w:rPr>
                <w:rFonts w:eastAsia="仿宋_GB2312"/>
                <w:bCs/>
                <w:sz w:val="24"/>
              </w:rPr>
              <w:t>本文件适用于对生活饮用水进行处理以传输到血液透析和相关治疗中使用的装置。本文件适用于从生活饮用水进入水处理系统的输送点到透析用水使用点之间的所有装置、管路及配件。本文件不适用于透析液供液系统（按比例分配水和浓缩液生产透析液），吸附器透析液再生系统（再生并再循环少量透析液、透析浓缩液）、血液透析滤过系统、血液滤过系统、用于处理可多次使用透析器的系统及腹膜透析系统。本文件也不</w:t>
            </w:r>
            <w:r>
              <w:rPr>
                <w:rFonts w:eastAsia="仿宋_GB2312"/>
                <w:bCs/>
                <w:sz w:val="24"/>
              </w:rPr>
              <w:t>适用于对用于透析液、浓缩液制备或透析器再处理的水纯度的持续监测。</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2024</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3925"/>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lastRenderedPageBreak/>
              <w:t>9</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0793.4-2022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血液透析和相关治疗用液体的制备和质量管理</w:t>
            </w:r>
            <w:r>
              <w:rPr>
                <w:rFonts w:eastAsia="仿宋_GB2312"/>
                <w:bCs/>
                <w:sz w:val="24"/>
              </w:rPr>
              <w:t xml:space="preserve"> </w:t>
            </w:r>
            <w:r>
              <w:rPr>
                <w:rFonts w:eastAsia="仿宋_GB2312"/>
                <w:bCs/>
                <w:sz w:val="24"/>
              </w:rPr>
              <w:t>第</w:t>
            </w:r>
            <w:r>
              <w:rPr>
                <w:rFonts w:eastAsia="仿宋_GB2312"/>
                <w:bCs/>
                <w:sz w:val="24"/>
              </w:rPr>
              <w:t>4</w:t>
            </w:r>
            <w:r>
              <w:rPr>
                <w:rFonts w:eastAsia="仿宋_GB2312"/>
                <w:bCs/>
                <w:sz w:val="24"/>
              </w:rPr>
              <w:t>部分：血液透析和相关治疗用透析液质量</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用于血液透析和相关治疗用透析液的最低质量要求。本文件不适用于透析液制备用水；血液透析及相关治疗用浓缩物；制备透析液所用的设备；基于吸附的透析液再生系统，该系统可再生和再循环少量透析液；采用预包装溶液的连续性血液净化治疗系统；腹膜透析液；腹膜透析设备；在线血液滤过或在线血液透析滤过</w:t>
            </w:r>
            <w:r>
              <w:rPr>
                <w:rFonts w:eastAsia="仿宋_GB2312"/>
                <w:bCs/>
                <w:sz w:val="24"/>
              </w:rPr>
              <w:t>的置换液；非在线配制的血液透析滤过和血液滤过的置换液。</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3600"/>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10</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0821-2022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一次性使用配药用注射器</w:t>
            </w:r>
            <w:r>
              <w:rPr>
                <w:rFonts w:eastAsia="仿宋_GB2312"/>
                <w:bCs/>
                <w:sz w:val="24"/>
              </w:rPr>
              <w:t xml:space="preserve">  </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修订</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0821-2010</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一次性使用配药用注射器（以下简称配药器）的要求。本文件适用于临床抽取或配制药液用的配药器。本文件不适用于抽吸液体后立即注射用的手动注射器、胰岛素注射器、玻璃注射器、永久带针注射器、带有动力驱动注射泵用注射器、自毁型固定剂量疫苗注射器、防止重复使用注射器、由制造厂预装药液的注射器以及与药液配套的注射器等。本文件不涉及注射药</w:t>
            </w:r>
            <w:r>
              <w:rPr>
                <w:rFonts w:eastAsia="仿宋_GB2312"/>
                <w:bCs/>
                <w:sz w:val="24"/>
              </w:rPr>
              <w:t>液用过滤器。</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2514"/>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lastRenderedPageBreak/>
              <w:t>11</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1789.3-2022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体外诊断检验系统</w:t>
            </w:r>
            <w:r>
              <w:rPr>
                <w:rFonts w:eastAsia="仿宋_GB2312"/>
                <w:bCs/>
                <w:sz w:val="24"/>
              </w:rPr>
              <w:t xml:space="preserve"> </w:t>
            </w:r>
            <w:r>
              <w:rPr>
                <w:rFonts w:eastAsia="仿宋_GB2312"/>
                <w:bCs/>
                <w:sz w:val="24"/>
              </w:rPr>
              <w:t>性能评价方法</w:t>
            </w:r>
            <w:r>
              <w:rPr>
                <w:rFonts w:eastAsia="仿宋_GB2312"/>
                <w:bCs/>
                <w:sz w:val="24"/>
              </w:rPr>
              <w:t xml:space="preserve"> </w:t>
            </w:r>
            <w:r>
              <w:rPr>
                <w:rFonts w:eastAsia="仿宋_GB2312"/>
                <w:bCs/>
                <w:sz w:val="24"/>
              </w:rPr>
              <w:t>第</w:t>
            </w:r>
            <w:r>
              <w:rPr>
                <w:rFonts w:eastAsia="仿宋_GB2312"/>
                <w:bCs/>
                <w:sz w:val="24"/>
              </w:rPr>
              <w:t>3</w:t>
            </w:r>
            <w:r>
              <w:rPr>
                <w:rFonts w:eastAsia="仿宋_GB2312"/>
                <w:bCs/>
                <w:sz w:val="24"/>
              </w:rPr>
              <w:t>部分：检出限与定量限</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体外诊断检验系统的检出限与定量限性能评价方法。本文件适用于制造商对定量测定的体外诊断检验系统进行性能评价。本文件不适用于结果报告为名义标度和序数标度的体外诊断检验系统的性能评价，例如用于血细胞鉴定、微生物分型、核酸序列鉴定、尿液颗粒鉴定，结果报告为阴性、阳性或</w:t>
            </w:r>
            <w:r>
              <w:rPr>
                <w:rFonts w:eastAsia="仿宋_GB2312"/>
                <w:bCs/>
                <w:sz w:val="24"/>
              </w:rPr>
              <w:t>1+</w:t>
            </w:r>
            <w:r>
              <w:rPr>
                <w:rFonts w:eastAsia="仿宋_GB2312"/>
                <w:bCs/>
                <w:sz w:val="24"/>
              </w:rPr>
              <w:t>、</w:t>
            </w:r>
            <w:r>
              <w:rPr>
                <w:rFonts w:eastAsia="仿宋_GB2312"/>
                <w:bCs/>
                <w:sz w:val="24"/>
              </w:rPr>
              <w:t>2+</w:t>
            </w:r>
            <w:r>
              <w:rPr>
                <w:rFonts w:eastAsia="仿宋_GB2312"/>
                <w:bCs/>
                <w:sz w:val="24"/>
              </w:rPr>
              <w:t>、</w:t>
            </w:r>
            <w:r>
              <w:rPr>
                <w:rFonts w:eastAsia="仿宋_GB2312"/>
                <w:bCs/>
                <w:sz w:val="24"/>
              </w:rPr>
              <w:t>3+</w:t>
            </w:r>
            <w:r>
              <w:rPr>
                <w:rFonts w:eastAsia="仿宋_GB2312"/>
                <w:bCs/>
                <w:sz w:val="24"/>
              </w:rPr>
              <w:t>的体外诊断检验系统。</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2024</w:t>
            </w:r>
            <w:r>
              <w:rPr>
                <w:rFonts w:eastAsia="仿宋_GB2312"/>
                <w:bCs/>
                <w:sz w:val="24"/>
              </w:rPr>
              <w:t>年</w:t>
            </w:r>
            <w:r>
              <w:rPr>
                <w:rFonts w:eastAsia="仿宋_GB2312"/>
                <w:bCs/>
                <w:sz w:val="24"/>
              </w:rPr>
              <w:t>1</w:t>
            </w:r>
            <w:r>
              <w:rPr>
                <w:rFonts w:eastAsia="仿宋_GB2312"/>
                <w:bCs/>
                <w:sz w:val="24"/>
              </w:rPr>
              <w:t>月</w:t>
            </w:r>
            <w:r>
              <w:rPr>
                <w:rFonts w:eastAsia="仿宋_GB2312"/>
                <w:bCs/>
                <w:sz w:val="24"/>
              </w:rPr>
              <w:t>1</w:t>
            </w:r>
            <w:r>
              <w:rPr>
                <w:rFonts w:eastAsia="仿宋_GB2312"/>
                <w:bCs/>
                <w:sz w:val="24"/>
              </w:rPr>
              <w:t>日</w:t>
            </w:r>
          </w:p>
        </w:tc>
      </w:tr>
      <w:tr w:rsidR="00000000">
        <w:trPr>
          <w:trHeight w:val="3535"/>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12</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1789.4-202</w:t>
            </w:r>
            <w:r>
              <w:rPr>
                <w:rFonts w:eastAsia="仿宋_GB2312"/>
                <w:bCs/>
                <w:sz w:val="24"/>
              </w:rPr>
              <w:t>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体外诊断检验系统</w:t>
            </w:r>
            <w:r>
              <w:rPr>
                <w:rFonts w:eastAsia="仿宋_GB2312"/>
                <w:bCs/>
                <w:sz w:val="24"/>
              </w:rPr>
              <w:t xml:space="preserve"> </w:t>
            </w:r>
            <w:r>
              <w:rPr>
                <w:rFonts w:eastAsia="仿宋_GB2312"/>
                <w:bCs/>
                <w:sz w:val="24"/>
              </w:rPr>
              <w:t>性能评价方法</w:t>
            </w:r>
            <w:r>
              <w:rPr>
                <w:rFonts w:eastAsia="仿宋_GB2312"/>
                <w:bCs/>
                <w:sz w:val="24"/>
              </w:rPr>
              <w:t xml:space="preserve"> </w:t>
            </w:r>
            <w:r>
              <w:rPr>
                <w:rFonts w:eastAsia="仿宋_GB2312"/>
                <w:bCs/>
                <w:sz w:val="24"/>
              </w:rPr>
              <w:t>第</w:t>
            </w:r>
            <w:r>
              <w:rPr>
                <w:rFonts w:eastAsia="仿宋_GB2312"/>
                <w:bCs/>
                <w:sz w:val="24"/>
              </w:rPr>
              <w:t>4</w:t>
            </w:r>
            <w:r>
              <w:rPr>
                <w:rFonts w:eastAsia="仿宋_GB2312"/>
                <w:bCs/>
                <w:sz w:val="24"/>
              </w:rPr>
              <w:t>部分：线性区间与可报告区间</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本文件规定了体外诊断检验系统的线性</w:t>
            </w:r>
          </w:p>
          <w:p w:rsidR="00000000" w:rsidRDefault="00E93E2C">
            <w:pPr>
              <w:spacing w:line="240" w:lineRule="atLeast"/>
              <w:jc w:val="left"/>
              <w:rPr>
                <w:rFonts w:eastAsia="仿宋_GB2312"/>
                <w:bCs/>
                <w:sz w:val="24"/>
              </w:rPr>
            </w:pPr>
            <w:r>
              <w:rPr>
                <w:rFonts w:eastAsia="仿宋_GB2312"/>
                <w:bCs/>
                <w:sz w:val="24"/>
              </w:rPr>
              <w:t>区间和可报告区间性能评价方法。本文件适用于制造商对定量测定的体外诊断检验系统进行性能评价。本文件不适用于结果报告为名义标度和序数标度的体外诊断检验系统的性能评价，例如用于血细胞鉴定、微生物分型、核酸序列鉴定、尿液颗粒鉴定，结果报告为阴性、阳性或</w:t>
            </w:r>
            <w:r>
              <w:rPr>
                <w:rFonts w:eastAsia="仿宋_GB2312"/>
                <w:bCs/>
                <w:sz w:val="24"/>
              </w:rPr>
              <w:t>1+</w:t>
            </w:r>
            <w:r>
              <w:rPr>
                <w:rFonts w:eastAsia="仿宋_GB2312"/>
                <w:bCs/>
                <w:sz w:val="24"/>
              </w:rPr>
              <w:t>、</w:t>
            </w:r>
            <w:r>
              <w:rPr>
                <w:rFonts w:eastAsia="仿宋_GB2312"/>
                <w:bCs/>
                <w:sz w:val="24"/>
              </w:rPr>
              <w:t>2+</w:t>
            </w:r>
            <w:r>
              <w:rPr>
                <w:rFonts w:eastAsia="仿宋_GB2312"/>
                <w:bCs/>
                <w:sz w:val="24"/>
              </w:rPr>
              <w:t>、</w:t>
            </w:r>
            <w:r>
              <w:rPr>
                <w:rFonts w:eastAsia="仿宋_GB2312"/>
                <w:bCs/>
                <w:sz w:val="24"/>
              </w:rPr>
              <w:t>3+</w:t>
            </w:r>
            <w:r>
              <w:rPr>
                <w:rFonts w:eastAsia="仿宋_GB2312"/>
                <w:bCs/>
                <w:sz w:val="24"/>
              </w:rPr>
              <w:t>的体外诊断检验系统。</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2024</w:t>
            </w:r>
            <w:r>
              <w:rPr>
                <w:rFonts w:eastAsia="仿宋_GB2312"/>
                <w:bCs/>
                <w:sz w:val="24"/>
              </w:rPr>
              <w:t>年</w:t>
            </w:r>
            <w:r>
              <w:rPr>
                <w:rFonts w:eastAsia="仿宋_GB2312"/>
                <w:bCs/>
                <w:sz w:val="24"/>
              </w:rPr>
              <w:t>1</w:t>
            </w:r>
            <w:r>
              <w:rPr>
                <w:rFonts w:eastAsia="仿宋_GB2312"/>
                <w:bCs/>
                <w:sz w:val="24"/>
              </w:rPr>
              <w:t>月</w:t>
            </w:r>
            <w:r>
              <w:rPr>
                <w:rFonts w:eastAsia="仿宋_GB2312"/>
                <w:bCs/>
                <w:sz w:val="24"/>
              </w:rPr>
              <w:t>1</w:t>
            </w:r>
            <w:r>
              <w:rPr>
                <w:rFonts w:eastAsia="仿宋_GB2312"/>
                <w:bCs/>
                <w:sz w:val="24"/>
              </w:rPr>
              <w:t>日</w:t>
            </w:r>
          </w:p>
        </w:tc>
      </w:tr>
      <w:tr w:rsidR="00000000">
        <w:trPr>
          <w:trHeight w:val="79"/>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13</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1810-2022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组织工程医疗产品</w:t>
            </w:r>
            <w:r>
              <w:rPr>
                <w:rFonts w:eastAsia="仿宋_GB2312"/>
                <w:bCs/>
                <w:sz w:val="24"/>
              </w:rPr>
              <w:t xml:space="preserve"> </w:t>
            </w:r>
            <w:r>
              <w:rPr>
                <w:rFonts w:eastAsia="仿宋_GB2312"/>
                <w:bCs/>
                <w:sz w:val="24"/>
              </w:rPr>
              <w:t>用以评价软骨形成的硫酸糖胺聚糖</w:t>
            </w:r>
            <w:r>
              <w:rPr>
                <w:rFonts w:eastAsia="仿宋_GB2312"/>
                <w:bCs/>
                <w:sz w:val="24"/>
              </w:rPr>
              <w:t>(sGAG</w:t>
            </w:r>
            <w:r>
              <w:rPr>
                <w:rFonts w:eastAsia="仿宋_GB2312"/>
                <w:bCs/>
                <w:sz w:val="24"/>
              </w:rPr>
              <w:t>)</w:t>
            </w:r>
            <w:r>
              <w:rPr>
                <w:rFonts w:eastAsia="仿宋_GB2312"/>
                <w:bCs/>
                <w:sz w:val="24"/>
              </w:rPr>
              <w:t>的定量检测</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本文件给出了硫酸糖胺聚糖（</w:t>
            </w:r>
            <w:r>
              <w:rPr>
                <w:rFonts w:eastAsia="仿宋_GB2312"/>
                <w:bCs/>
                <w:sz w:val="24"/>
              </w:rPr>
              <w:t>sulfated glycisaminoglycans</w:t>
            </w:r>
            <w:r>
              <w:rPr>
                <w:rFonts w:eastAsia="仿宋_GB2312"/>
                <w:bCs/>
                <w:sz w:val="24"/>
              </w:rPr>
              <w:t>，</w:t>
            </w:r>
            <w:r>
              <w:rPr>
                <w:rFonts w:eastAsia="仿宋_GB2312"/>
                <w:bCs/>
                <w:sz w:val="24"/>
              </w:rPr>
              <w:t>sGAG</w:t>
            </w:r>
            <w:r>
              <w:rPr>
                <w:rFonts w:eastAsia="仿宋_GB2312"/>
                <w:bCs/>
                <w:sz w:val="24"/>
              </w:rPr>
              <w:t>）的定量检测方法。本文件适用于关节软骨、半月板、弹性软骨、组织工程软骨的细胞外基质中</w:t>
            </w:r>
            <w:r>
              <w:rPr>
                <w:rFonts w:eastAsia="仿宋_GB2312"/>
                <w:bCs/>
                <w:sz w:val="24"/>
              </w:rPr>
              <w:t>sGAG</w:t>
            </w:r>
            <w:r>
              <w:rPr>
                <w:rFonts w:eastAsia="仿宋_GB2312"/>
                <w:bCs/>
                <w:sz w:val="24"/>
              </w:rPr>
              <w:t>含量检测。</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1057"/>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lastRenderedPageBreak/>
              <w:t>14</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1833.1-2022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pacing w:val="-11"/>
                <w:sz w:val="24"/>
              </w:rPr>
              <w:t>人工智能医疗器械</w:t>
            </w:r>
            <w:r>
              <w:rPr>
                <w:rFonts w:eastAsia="仿宋_GB2312"/>
                <w:bCs/>
                <w:spacing w:val="-11"/>
                <w:sz w:val="24"/>
              </w:rPr>
              <w:t xml:space="preserve"> </w:t>
            </w:r>
            <w:r>
              <w:rPr>
                <w:rFonts w:eastAsia="仿宋_GB2312"/>
                <w:bCs/>
                <w:spacing w:val="-11"/>
                <w:sz w:val="24"/>
              </w:rPr>
              <w:t>质量要求和评价</w:t>
            </w:r>
            <w:r>
              <w:rPr>
                <w:rFonts w:eastAsia="仿宋_GB2312"/>
                <w:bCs/>
                <w:spacing w:val="-11"/>
                <w:sz w:val="24"/>
              </w:rPr>
              <w:t xml:space="preserve"> </w:t>
            </w:r>
            <w:r>
              <w:rPr>
                <w:rFonts w:eastAsia="仿宋_GB2312"/>
                <w:bCs/>
                <w:spacing w:val="-11"/>
                <w:sz w:val="24"/>
              </w:rPr>
              <w:t>第</w:t>
            </w:r>
            <w:r>
              <w:rPr>
                <w:rFonts w:eastAsia="仿宋_GB2312"/>
                <w:bCs/>
                <w:spacing w:val="-11"/>
                <w:sz w:val="24"/>
              </w:rPr>
              <w:t>1</w:t>
            </w:r>
            <w:r>
              <w:rPr>
                <w:rFonts w:eastAsia="仿宋_GB2312"/>
                <w:bCs/>
                <w:spacing w:val="-11"/>
                <w:sz w:val="24"/>
              </w:rPr>
              <w:t>部分：术语</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本文件界定了人工智能医疗器械质量要求和评价使用的术语和定义。</w:t>
            </w:r>
            <w:r>
              <w:rPr>
                <w:rFonts w:eastAsia="仿宋_GB2312"/>
                <w:bCs/>
                <w:sz w:val="24"/>
              </w:rPr>
              <w:t>本文件适用于人工智能医疗器械。</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79"/>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15</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1833.2-2022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人工智能医疗器械</w:t>
            </w:r>
            <w:r>
              <w:rPr>
                <w:rFonts w:eastAsia="仿宋_GB2312"/>
                <w:bCs/>
                <w:sz w:val="24"/>
              </w:rPr>
              <w:t xml:space="preserve"> </w:t>
            </w:r>
            <w:r>
              <w:rPr>
                <w:rFonts w:eastAsia="仿宋_GB2312"/>
                <w:bCs/>
                <w:sz w:val="24"/>
              </w:rPr>
              <w:t>质量要求和评价</w:t>
            </w:r>
            <w:r>
              <w:rPr>
                <w:rFonts w:eastAsia="仿宋_GB2312"/>
                <w:bCs/>
                <w:sz w:val="24"/>
              </w:rPr>
              <w:t xml:space="preserve"> </w:t>
            </w:r>
            <w:r>
              <w:rPr>
                <w:rFonts w:eastAsia="仿宋_GB2312"/>
                <w:bCs/>
                <w:sz w:val="24"/>
              </w:rPr>
              <w:t>第</w:t>
            </w:r>
            <w:r>
              <w:rPr>
                <w:rFonts w:eastAsia="仿宋_GB2312"/>
                <w:bCs/>
                <w:sz w:val="24"/>
              </w:rPr>
              <w:t>2</w:t>
            </w:r>
            <w:r>
              <w:rPr>
                <w:rFonts w:eastAsia="仿宋_GB2312"/>
                <w:bCs/>
                <w:sz w:val="24"/>
              </w:rPr>
              <w:t>部分：数据集通用要求</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本文件规定了人工智能医疗器械全生命周期使用的数据集的通用质量要求和评价方法。</w:t>
            </w:r>
            <w:r>
              <w:rPr>
                <w:rFonts w:eastAsia="仿宋_GB2312"/>
                <w:bCs/>
                <w:sz w:val="24"/>
              </w:rPr>
              <w:t>本文件适用于人工智能医疗器械研发、生产、测试、质控等环节使用的数据集的开发和评价。</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79"/>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16</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1835-2022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乳腺正电子发射断层成像装置性能和试验方法</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本文件规定了乳腺正电子发射断层成像装置的术语、性能和试验方法。本文件适用于乳腺正电子发射断层成像装置，不适用于人体全身成像的正电子发射断层成像装置。</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2024</w:t>
            </w:r>
            <w:r>
              <w:rPr>
                <w:rFonts w:eastAsia="仿宋_GB2312"/>
                <w:bCs/>
                <w:sz w:val="24"/>
              </w:rPr>
              <w:t>年</w:t>
            </w:r>
            <w:r>
              <w:rPr>
                <w:rFonts w:eastAsia="仿宋_GB2312"/>
                <w:bCs/>
                <w:sz w:val="24"/>
              </w:rPr>
              <w:t>1</w:t>
            </w:r>
            <w:r>
              <w:rPr>
                <w:rFonts w:eastAsia="仿宋_GB2312"/>
                <w:bCs/>
                <w:sz w:val="24"/>
              </w:rPr>
              <w:t>月</w:t>
            </w:r>
            <w:r>
              <w:rPr>
                <w:rFonts w:eastAsia="仿宋_GB2312"/>
                <w:bCs/>
                <w:sz w:val="24"/>
              </w:rPr>
              <w:t>1</w:t>
            </w:r>
            <w:r>
              <w:rPr>
                <w:rFonts w:eastAsia="仿宋_GB2312"/>
                <w:bCs/>
                <w:sz w:val="24"/>
              </w:rPr>
              <w:t>日</w:t>
            </w:r>
          </w:p>
        </w:tc>
      </w:tr>
      <w:tr w:rsidR="00000000">
        <w:trPr>
          <w:trHeight w:val="79"/>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17</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w:t>
            </w:r>
            <w:r>
              <w:rPr>
                <w:rFonts w:eastAsia="仿宋_GB2312"/>
                <w:bCs/>
                <w:sz w:val="24"/>
              </w:rPr>
              <w:t>845-2022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矫形外科用手术导板通用要求</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本文件规定了矫形外科用手术导板的通用要求，包括要求、设计、制造、灭菌、制造商提供的信息。本文件适用于矫形外科用手术导板，该类导板主要由高分子材料及金属材料通过</w:t>
            </w:r>
            <w:r>
              <w:rPr>
                <w:rFonts w:eastAsia="仿宋_GB2312"/>
                <w:bCs/>
                <w:sz w:val="24"/>
              </w:rPr>
              <w:t>3D</w:t>
            </w:r>
            <w:r>
              <w:rPr>
                <w:rFonts w:eastAsia="仿宋_GB2312"/>
                <w:bCs/>
                <w:sz w:val="24"/>
              </w:rPr>
              <w:t>打印制造，其它加工方式制造的导板可参考本文件相关条款。</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r w:rsidR="00000000">
        <w:trPr>
          <w:trHeight w:val="405"/>
          <w:jc w:val="center"/>
        </w:trPr>
        <w:tc>
          <w:tcPr>
            <w:tcW w:w="578" w:type="dxa"/>
            <w:tcBorders>
              <w:top w:val="single" w:sz="4" w:space="0" w:color="auto"/>
              <w:left w:val="single" w:sz="4" w:space="0" w:color="auto"/>
              <w:bottom w:val="single" w:sz="4" w:space="0" w:color="auto"/>
              <w:right w:val="single" w:sz="4" w:space="0" w:color="auto"/>
            </w:tcBorders>
            <w:vAlign w:val="center"/>
          </w:tcPr>
          <w:p w:rsidR="00000000" w:rsidRDefault="00E93E2C">
            <w:pPr>
              <w:adjustRightInd w:val="0"/>
              <w:snapToGrid w:val="0"/>
              <w:spacing w:line="240" w:lineRule="atLeast"/>
              <w:jc w:val="center"/>
              <w:rPr>
                <w:rFonts w:eastAsia="仿宋_GB2312"/>
                <w:bCs/>
                <w:sz w:val="24"/>
              </w:rPr>
            </w:pPr>
            <w:r>
              <w:rPr>
                <w:rFonts w:eastAsia="仿宋_GB2312"/>
                <w:bCs/>
                <w:sz w:val="24"/>
              </w:rPr>
              <w:t>18</w:t>
            </w:r>
          </w:p>
        </w:tc>
        <w:tc>
          <w:tcPr>
            <w:tcW w:w="189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YY/T 1848-2022</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一次性使用输尿管封堵导管</w:t>
            </w:r>
          </w:p>
        </w:tc>
        <w:tc>
          <w:tcPr>
            <w:tcW w:w="1131"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制定</w:t>
            </w:r>
          </w:p>
        </w:tc>
        <w:tc>
          <w:tcPr>
            <w:tcW w:w="1278"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w:t>
            </w:r>
          </w:p>
        </w:tc>
        <w:tc>
          <w:tcPr>
            <w:tcW w:w="5105"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left"/>
              <w:rPr>
                <w:rFonts w:eastAsia="仿宋_GB2312"/>
                <w:bCs/>
                <w:sz w:val="24"/>
              </w:rPr>
            </w:pPr>
            <w:r>
              <w:rPr>
                <w:rFonts w:eastAsia="仿宋_GB2312"/>
                <w:bCs/>
                <w:sz w:val="24"/>
              </w:rPr>
              <w:t>本文件规定了一次性使用输尿管封堵导管（以下简称导管）的结构、材料、要求、试验方法、生物相容性、型式检验、标签、说明书和包装。本文件适用于经内窥镜</w:t>
            </w:r>
            <w:r>
              <w:rPr>
                <w:rFonts w:eastAsia="仿宋_GB2312"/>
                <w:bCs/>
                <w:sz w:val="24"/>
              </w:rPr>
              <w:t>工作通道进入输尿管，形成临时封堵结构，防止结石漂移，辅助抓取、移除泌尿系统中的结石及其它异物的一次性使用导管。</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E93E2C">
            <w:pPr>
              <w:spacing w:line="240" w:lineRule="atLeast"/>
              <w:jc w:val="center"/>
              <w:rPr>
                <w:rFonts w:eastAsia="仿宋_GB2312"/>
                <w:bCs/>
                <w:sz w:val="24"/>
              </w:rPr>
            </w:pPr>
            <w:r>
              <w:rPr>
                <w:rFonts w:eastAsia="仿宋_GB2312"/>
                <w:bCs/>
                <w:sz w:val="24"/>
              </w:rPr>
              <w:t>2023</w:t>
            </w:r>
            <w:r>
              <w:rPr>
                <w:rFonts w:eastAsia="仿宋_GB2312"/>
                <w:bCs/>
                <w:sz w:val="24"/>
              </w:rPr>
              <w:t>年</w:t>
            </w:r>
            <w:r>
              <w:rPr>
                <w:rFonts w:eastAsia="仿宋_GB2312"/>
                <w:bCs/>
                <w:sz w:val="24"/>
              </w:rPr>
              <w:t>7</w:t>
            </w:r>
            <w:r>
              <w:rPr>
                <w:rFonts w:eastAsia="仿宋_GB2312"/>
                <w:bCs/>
                <w:sz w:val="24"/>
              </w:rPr>
              <w:t>月</w:t>
            </w:r>
            <w:r>
              <w:rPr>
                <w:rFonts w:eastAsia="仿宋_GB2312"/>
                <w:bCs/>
                <w:sz w:val="24"/>
              </w:rPr>
              <w:t>1</w:t>
            </w:r>
            <w:r>
              <w:rPr>
                <w:rFonts w:eastAsia="仿宋_GB2312"/>
                <w:bCs/>
                <w:sz w:val="24"/>
              </w:rPr>
              <w:t>日</w:t>
            </w:r>
          </w:p>
        </w:tc>
      </w:tr>
    </w:tbl>
    <w:p w:rsidR="00000000" w:rsidRDefault="00E93E2C">
      <w:pPr>
        <w:spacing w:line="20" w:lineRule="exact"/>
        <w:rPr>
          <w:rFonts w:eastAsia="仿宋_GB2312" w:hint="eastAsia"/>
          <w:szCs w:val="21"/>
        </w:rPr>
        <w:sectPr w:rsidR="00000000">
          <w:footerReference w:type="even" r:id="rId6"/>
          <w:footerReference w:type="default" r:id="rId7"/>
          <w:pgSz w:w="16838" w:h="11906" w:orient="landscape"/>
          <w:pgMar w:top="1531" w:right="1701" w:bottom="1531" w:left="1701" w:header="851" w:footer="1134" w:gutter="0"/>
          <w:cols w:space="720"/>
          <w:docGrid w:type="linesAndChars" w:linePitch="315"/>
        </w:sectPr>
      </w:pPr>
    </w:p>
    <w:p w:rsidR="00E93E2C" w:rsidRDefault="00E93E2C" w:rsidP="00D1413F">
      <w:pPr>
        <w:rPr>
          <w:rFonts w:hint="eastAsia"/>
        </w:rPr>
      </w:pPr>
    </w:p>
    <w:sectPr w:rsidR="00E93E2C" w:rsidSect="00D1413F">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2C" w:rsidRDefault="00E93E2C">
      <w:r>
        <w:separator/>
      </w:r>
    </w:p>
  </w:endnote>
  <w:endnote w:type="continuationSeparator" w:id="0">
    <w:p w:rsidR="00E93E2C" w:rsidRDefault="00E9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93E2C">
    <w:pPr>
      <w:pStyle w:val="a3"/>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000000" w:rsidRDefault="00E93E2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93E2C">
    <w:pPr>
      <w:pStyle w:val="a3"/>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1413F" w:rsidRPr="00D1413F">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2C" w:rsidRDefault="00E93E2C">
      <w:r>
        <w:separator/>
      </w:r>
    </w:p>
  </w:footnote>
  <w:footnote w:type="continuationSeparator" w:id="0">
    <w:p w:rsidR="00E93E2C" w:rsidRDefault="00E9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67ADEB5"/>
    <w:rsid w:val="F67ADEB5"/>
    <w:rsid w:val="00490508"/>
    <w:rsid w:val="00872E4A"/>
    <w:rsid w:val="00D1413F"/>
    <w:rsid w:val="00E9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634B58-35E4-4BA8-A382-84ABD252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tianjx</dc:creator>
  <cp:keywords/>
  <cp:lastModifiedBy>pc</cp:lastModifiedBy>
  <cp:revision>2</cp:revision>
  <dcterms:created xsi:type="dcterms:W3CDTF">2022-07-06T02:52:00Z</dcterms:created>
  <dcterms:modified xsi:type="dcterms:W3CDTF">2022-07-06T02:52:00Z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