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912BE">
      <w:pPr>
        <w:spacing w:before="0" w:beforeAutospacing="0" w:line="580" w:lineRule="exact"/>
        <w:rPr>
          <w:rFonts w:hint="eastAsia" w:ascii="黑体" w:hAnsi="黑体" w:eastAsia="黑体"/>
          <w:vanish w:val="0"/>
          <w:kern w:val="2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bCs w:val="0"/>
          <w:vanish w:val="0"/>
          <w:spacing w:val="-1"/>
          <w:kern w:val="2"/>
          <w:sz w:val="30"/>
          <w:szCs w:val="30"/>
        </w:rPr>
        <w:t>附件</w:t>
      </w:r>
    </w:p>
    <w:p w14:paraId="54B7A5FB">
      <w:pPr>
        <w:spacing w:line="580" w:lineRule="exact"/>
        <w:rPr>
          <w:rFonts w:ascii="Arial" w:hAnsi="Calibri" w:eastAsia="宋体" w:cs="Times New Roman"/>
          <w:vanish w:val="0"/>
          <w:kern w:val="2"/>
          <w:sz w:val="21"/>
          <w:szCs w:val="21"/>
        </w:rPr>
      </w:pPr>
    </w:p>
    <w:p w14:paraId="778342D3">
      <w:pPr>
        <w:spacing w:line="580" w:lineRule="exact"/>
        <w:rPr>
          <w:rFonts w:ascii="Arial" w:hAnsi="Calibri" w:eastAsia="宋体" w:cs="Times New Roman"/>
          <w:vanish w:val="0"/>
          <w:kern w:val="2"/>
          <w:sz w:val="21"/>
          <w:szCs w:val="21"/>
        </w:rPr>
      </w:pPr>
    </w:p>
    <w:p w14:paraId="5380C48E">
      <w:pPr>
        <w:spacing w:before="0" w:beforeAutospacing="0" w:line="580" w:lineRule="exact"/>
        <w:ind w:left="1511"/>
        <w:jc w:val="center"/>
        <w:rPr>
          <w:rFonts w:hint="eastAsia" w:ascii="方正大标宋简体" w:eastAsia="方正大标宋简体"/>
          <w:b w:val="0"/>
          <w:bCs w:val="0"/>
          <w:vanish w:val="0"/>
          <w:spacing w:val="1"/>
          <w:kern w:val="2"/>
          <w:sz w:val="38"/>
          <w:szCs w:val="38"/>
        </w:rPr>
      </w:pPr>
    </w:p>
    <w:p w14:paraId="55DF0120">
      <w:pPr>
        <w:spacing w:before="0" w:beforeAutospacing="0" w:line="580" w:lineRule="exact"/>
        <w:ind w:left="0" w:firstLine="1146" w:firstLineChars="300"/>
        <w:rPr>
          <w:rFonts w:hint="eastAsia" w:ascii="方正小标宋简体" w:hAnsi="方正小标宋简体" w:eastAsia="方正小标宋简体" w:cs="方正小标宋简体"/>
          <w:b w:val="0"/>
          <w:bCs w:val="0"/>
          <w:vanish w:val="0"/>
          <w:kern w:val="2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vanish w:val="0"/>
          <w:spacing w:val="1"/>
          <w:kern w:val="2"/>
          <w:sz w:val="38"/>
          <w:szCs w:val="38"/>
        </w:rPr>
        <w:t>宁夏回族自治区长期护理保险服务项目目录</w:t>
      </w:r>
    </w:p>
    <w:p w14:paraId="757B27CD">
      <w:pPr>
        <w:spacing w:before="0" w:beforeAutospacing="0" w:line="580" w:lineRule="exact"/>
        <w:ind w:left="3960" w:firstLine="688" w:firstLineChars="200"/>
        <w:rPr>
          <w:rFonts w:hint="eastAsia" w:ascii="方正小标宋简体" w:hAnsi="方正小标宋简体" w:eastAsia="方正小标宋简体" w:cs="方正小标宋简体"/>
          <w:b w:val="0"/>
          <w:bCs w:val="0"/>
          <w:vanish w:val="0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vanish w:val="0"/>
          <w:spacing w:val="12"/>
          <w:kern w:val="2"/>
          <w:sz w:val="32"/>
          <w:szCs w:val="32"/>
        </w:rPr>
        <w:t>(试行)</w:t>
      </w:r>
    </w:p>
    <w:p w14:paraId="0137ADA0">
      <w:pPr>
        <w:spacing w:line="580" w:lineRule="exact"/>
        <w:rPr>
          <w:rFonts w:ascii="Arial" w:hAnsi="Calibri" w:eastAsia="宋体" w:cs="Times New Roman"/>
          <w:vanish w:val="0"/>
          <w:kern w:val="2"/>
          <w:sz w:val="21"/>
          <w:szCs w:val="21"/>
        </w:rPr>
      </w:pPr>
    </w:p>
    <w:p w14:paraId="73D5BB03">
      <w:pPr>
        <w:spacing w:line="580" w:lineRule="exact"/>
        <w:rPr>
          <w:rFonts w:ascii="Arial" w:hAnsi="Calibri" w:eastAsia="宋体" w:cs="Times New Roman"/>
          <w:vanish w:val="0"/>
          <w:kern w:val="2"/>
          <w:sz w:val="21"/>
          <w:szCs w:val="21"/>
        </w:rPr>
      </w:pPr>
    </w:p>
    <w:p w14:paraId="62E1E07A">
      <w:pPr>
        <w:spacing w:line="580" w:lineRule="exact"/>
        <w:rPr>
          <w:rFonts w:ascii="Arial" w:hAnsi="Calibri" w:eastAsia="宋体" w:cs="Times New Roman"/>
          <w:vanish w:val="0"/>
          <w:kern w:val="2"/>
          <w:sz w:val="21"/>
          <w:szCs w:val="21"/>
        </w:rPr>
      </w:pPr>
    </w:p>
    <w:p w14:paraId="6F49D18F">
      <w:pPr>
        <w:spacing w:before="0" w:beforeAutospacing="0" w:line="580" w:lineRule="exact"/>
        <w:ind w:left="615" w:firstLine="730" w:firstLineChars="250"/>
        <w:rPr>
          <w:rFonts w:hint="eastAsia" w:ascii="仿宋_GB2312" w:eastAsia="仿宋_GB2312"/>
          <w:vanish w:val="0"/>
          <w:kern w:val="2"/>
          <w:sz w:val="32"/>
          <w:szCs w:val="32"/>
        </w:rPr>
      </w:pPr>
      <w:r>
        <w:rPr>
          <w:rFonts w:hint="eastAsia" w:ascii="仿宋_GB2312" w:eastAsia="仿宋_GB2312"/>
          <w:vanish w:val="0"/>
          <w:spacing w:val="-14"/>
          <w:kern w:val="2"/>
          <w:sz w:val="32"/>
          <w:szCs w:val="32"/>
        </w:rPr>
        <w:t>一</w:t>
      </w:r>
      <w:r>
        <w:rPr>
          <w:rFonts w:hint="eastAsia" w:ascii="仿宋_GB2312" w:eastAsia="仿宋_GB2312"/>
          <w:vanish w:val="0"/>
          <w:spacing w:val="-68"/>
          <w:kern w:val="2"/>
          <w:sz w:val="32"/>
          <w:szCs w:val="32"/>
        </w:rPr>
        <w:t xml:space="preserve"> </w:t>
      </w:r>
      <w:r>
        <w:rPr>
          <w:rFonts w:hint="eastAsia" w:ascii="仿宋_GB2312" w:eastAsia="仿宋_GB2312"/>
          <w:vanish w:val="0"/>
          <w:spacing w:val="-14"/>
          <w:kern w:val="2"/>
          <w:sz w:val="32"/>
          <w:szCs w:val="32"/>
        </w:rPr>
        <w:t>、凡例</w:t>
      </w:r>
    </w:p>
    <w:p w14:paraId="3A9F3201">
      <w:pPr>
        <w:spacing w:before="0" w:beforeAutospacing="0" w:line="580" w:lineRule="exact"/>
        <w:ind w:left="615" w:firstLine="676" w:firstLineChars="200"/>
        <w:rPr>
          <w:rFonts w:hint="eastAsia" w:ascii="仿宋_GB2312" w:eastAsia="仿宋_GB2312"/>
          <w:vanish w:val="0"/>
          <w:kern w:val="2"/>
          <w:sz w:val="32"/>
          <w:szCs w:val="32"/>
        </w:rPr>
      </w:pPr>
      <w:r>
        <w:rPr>
          <w:rFonts w:hint="eastAsia" w:ascii="仿宋_GB2312" w:eastAsia="仿宋_GB2312"/>
          <w:vanish w:val="0"/>
          <w:spacing w:val="9"/>
          <w:kern w:val="2"/>
          <w:sz w:val="32"/>
          <w:szCs w:val="32"/>
        </w:rPr>
        <w:t>二、生活照护类项目</w:t>
      </w:r>
    </w:p>
    <w:p w14:paraId="09A37AB6">
      <w:pPr>
        <w:spacing w:before="0" w:beforeAutospacing="0" w:line="580" w:lineRule="exact"/>
        <w:ind w:left="615" w:firstLine="648" w:firstLineChars="200"/>
        <w:rPr>
          <w:rFonts w:ascii="仿宋_GB2312" w:eastAsia="仿宋_GB2312"/>
          <w:vanish w:val="0"/>
          <w:kern w:val="2"/>
          <w:sz w:val="32"/>
          <w:szCs w:val="32"/>
        </w:rPr>
      </w:pPr>
      <w:r>
        <w:rPr>
          <w:rFonts w:hint="eastAsia" w:ascii="仿宋_GB2312" w:eastAsia="仿宋_GB2312"/>
          <w:vanish w:val="0"/>
          <w:spacing w:val="2"/>
          <w:kern w:val="2"/>
          <w:sz w:val="32"/>
          <w:szCs w:val="32"/>
        </w:rPr>
        <w:t>三</w:t>
      </w:r>
      <w:r>
        <w:rPr>
          <w:rFonts w:hint="eastAsia" w:ascii="仿宋_GB2312" w:eastAsia="仿宋_GB2312"/>
          <w:vanish w:val="0"/>
          <w:spacing w:val="-64"/>
          <w:kern w:val="2"/>
          <w:sz w:val="32"/>
          <w:szCs w:val="32"/>
        </w:rPr>
        <w:t xml:space="preserve"> </w:t>
      </w:r>
      <w:r>
        <w:rPr>
          <w:rFonts w:hint="eastAsia" w:ascii="仿宋_GB2312" w:eastAsia="仿宋_GB2312"/>
          <w:vanish w:val="0"/>
          <w:spacing w:val="2"/>
          <w:kern w:val="2"/>
          <w:sz w:val="32"/>
          <w:szCs w:val="32"/>
        </w:rPr>
        <w:t>、医疗护理类项目</w:t>
      </w:r>
    </w:p>
    <w:p w14:paraId="3934C0CA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2F7EA70F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279F2B40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71148749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7CCA45C4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2E602F26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4708205D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3483E77A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7D9EA2CB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39C28E9A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027EB3BA">
      <w:pPr>
        <w:spacing w:before="0" w:beforeAutospacing="0" w:line="580" w:lineRule="exact"/>
        <w:ind w:left="615" w:firstLine="640" w:firstLineChars="200"/>
        <w:rPr>
          <w:rFonts w:ascii="仿宋_GB2312" w:eastAsia="仿宋_GB2312"/>
          <w:vanish w:val="0"/>
          <w:kern w:val="2"/>
          <w:sz w:val="32"/>
          <w:szCs w:val="32"/>
        </w:rPr>
      </w:pPr>
    </w:p>
    <w:p w14:paraId="3D2F9E57">
      <w:pPr>
        <w:tabs>
          <w:tab w:val="left" w:pos="4483"/>
        </w:tabs>
        <w:spacing w:before="0" w:beforeAutospacing="0" w:line="580" w:lineRule="exact"/>
        <w:ind w:left="615" w:firstLine="640" w:firstLineChars="200"/>
        <w:rPr>
          <w:rFonts w:hint="eastAsia" w:ascii="仿宋_GB2312" w:eastAsia="仿宋_GB2312"/>
          <w:vanish w:val="0"/>
          <w:kern w:val="2"/>
          <w:sz w:val="32"/>
          <w:szCs w:val="32"/>
          <w:lang w:eastAsia="zh-CN"/>
        </w:rPr>
      </w:pPr>
    </w:p>
    <w:p w14:paraId="6539F7B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0" w:beforeAutospacing="0" w:line="580" w:lineRule="exact"/>
        <w:ind w:left="3815"/>
        <w:rPr>
          <w:rFonts w:hint="eastAsia" w:ascii="宋体" w:hAnsi="宋体" w:eastAsia="宋体"/>
          <w:vanish w:val="0"/>
          <w:kern w:val="2"/>
          <w:sz w:val="41"/>
          <w:szCs w:val="41"/>
        </w:rPr>
      </w:pPr>
      <w:r>
        <w:rPr>
          <w:rFonts w:hint="eastAsia" w:ascii="宋体" w:hAnsi="宋体" w:eastAsia="宋体"/>
          <w:b/>
          <w:bCs/>
          <w:vanish w:val="0"/>
          <w:spacing w:val="-17"/>
          <w:kern w:val="2"/>
          <w:sz w:val="41"/>
          <w:szCs w:val="41"/>
        </w:rPr>
        <w:t>凡</w:t>
      </w:r>
      <w:r>
        <w:rPr>
          <w:rFonts w:hint="eastAsia" w:ascii="宋体" w:hAnsi="宋体" w:eastAsia="宋体"/>
          <w:vanish w:val="0"/>
          <w:spacing w:val="12"/>
          <w:kern w:val="2"/>
          <w:sz w:val="41"/>
          <w:szCs w:val="41"/>
        </w:rPr>
        <w:t xml:space="preserve">  </w:t>
      </w:r>
      <w:r>
        <w:rPr>
          <w:rFonts w:hint="eastAsia" w:ascii="宋体" w:hAnsi="宋体" w:eastAsia="宋体"/>
          <w:b/>
          <w:bCs/>
          <w:vanish w:val="0"/>
          <w:spacing w:val="-17"/>
          <w:kern w:val="2"/>
          <w:sz w:val="41"/>
          <w:szCs w:val="41"/>
        </w:rPr>
        <w:t>例</w:t>
      </w:r>
    </w:p>
    <w:p w14:paraId="2BB4A82F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580" w:lineRule="exact"/>
        <w:rPr>
          <w:rFonts w:ascii="Arial" w:hAnsi="Calibri" w:eastAsia="宋体" w:cs="Times New Roman"/>
          <w:vanish w:val="0"/>
          <w:kern w:val="2"/>
          <w:sz w:val="21"/>
          <w:szCs w:val="21"/>
        </w:rPr>
      </w:pPr>
    </w:p>
    <w:p w14:paraId="698A0BFB">
      <w:pPr>
        <w:pStyle w:val="9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0" w:beforeAutospacing="0" w:line="580" w:lineRule="exact"/>
        <w:ind w:left="0" w:leftChars="0" w:firstLine="640" w:firstLineChars="200"/>
        <w:rPr>
          <w:rFonts w:hint="eastAsia" w:ascii="仿宋_GB2312" w:eastAsia="仿宋_GB2312"/>
          <w:vanish w:val="0"/>
          <w:kern w:val="2"/>
          <w:sz w:val="32"/>
          <w:szCs w:val="32"/>
        </w:rPr>
      </w:pPr>
      <w:r>
        <w:rPr>
          <w:rFonts w:hint="eastAsia" w:ascii="仿宋_GB2312" w:eastAsia="仿宋_GB2312"/>
          <w:vanish w:val="0"/>
          <w:spacing w:val="0"/>
          <w:kern w:val="2"/>
          <w:sz w:val="32"/>
          <w:szCs w:val="32"/>
        </w:rPr>
        <w:t>《宁夏回族自治区长期护理保险服务项目目录》(以下简称《宁夏</w:t>
      </w:r>
      <w:r>
        <w:rPr>
          <w:rFonts w:ascii="仿宋_GB2312" w:eastAsia="仿宋_GB2312"/>
          <w:vanish w:val="0"/>
          <w:spacing w:val="0"/>
          <w:kern w:val="2"/>
          <w:sz w:val="32"/>
          <w:szCs w:val="32"/>
        </w:rPr>
        <w:t>长护项目</w:t>
      </w:r>
      <w:r>
        <w:rPr>
          <w:rFonts w:hint="eastAsia" w:ascii="仿宋_GB2312" w:eastAsia="仿宋_GB2312"/>
          <w:vanish w:val="0"/>
          <w:spacing w:val="0"/>
          <w:kern w:val="2"/>
          <w:sz w:val="32"/>
          <w:szCs w:val="32"/>
        </w:rPr>
        <w:t>目录》)是长期护理保险基金支付长期护理服务项目范围的依据。《宁夏</w:t>
      </w:r>
      <w:r>
        <w:rPr>
          <w:rFonts w:ascii="仿宋_GB2312" w:eastAsia="仿宋_GB2312"/>
          <w:vanish w:val="0"/>
          <w:spacing w:val="0"/>
          <w:kern w:val="2"/>
          <w:sz w:val="32"/>
          <w:szCs w:val="32"/>
        </w:rPr>
        <w:t>长护项目</w:t>
      </w:r>
      <w:r>
        <w:rPr>
          <w:rFonts w:hint="eastAsia" w:ascii="仿宋_GB2312" w:eastAsia="仿宋_GB2312"/>
          <w:vanish w:val="0"/>
          <w:spacing w:val="0"/>
          <w:kern w:val="2"/>
          <w:sz w:val="32"/>
          <w:szCs w:val="32"/>
        </w:rPr>
        <w:t>目录》坚持以人为本，以长期护理需求为导向，在广泛调研论证的基础上研究制定。定点长护服务机构可根据参保人员需求提供《宁夏</w:t>
      </w:r>
      <w:r>
        <w:rPr>
          <w:rFonts w:ascii="仿宋_GB2312" w:eastAsia="仿宋_GB2312"/>
          <w:vanish w:val="0"/>
          <w:spacing w:val="0"/>
          <w:kern w:val="2"/>
          <w:sz w:val="32"/>
          <w:szCs w:val="32"/>
        </w:rPr>
        <w:t>长护项目</w:t>
      </w:r>
      <w:r>
        <w:rPr>
          <w:rFonts w:hint="eastAsia" w:ascii="仿宋_GB2312" w:eastAsia="仿宋_GB2312"/>
          <w:vanish w:val="0"/>
          <w:spacing w:val="0"/>
          <w:kern w:val="2"/>
          <w:sz w:val="32"/>
          <w:szCs w:val="32"/>
        </w:rPr>
        <w:t>目录》以外的多样、合理、科学的护理服务，超出《宁夏</w:t>
      </w:r>
      <w:r>
        <w:rPr>
          <w:rFonts w:ascii="仿宋_GB2312" w:eastAsia="仿宋_GB2312"/>
          <w:vanish w:val="0"/>
          <w:spacing w:val="0"/>
          <w:kern w:val="2"/>
          <w:sz w:val="32"/>
          <w:szCs w:val="32"/>
        </w:rPr>
        <w:t>长护项目</w:t>
      </w:r>
      <w:r>
        <w:rPr>
          <w:rFonts w:hint="eastAsia" w:ascii="仿宋_GB2312" w:eastAsia="仿宋_GB2312"/>
          <w:vanish w:val="0"/>
          <w:spacing w:val="0"/>
          <w:kern w:val="2"/>
          <w:sz w:val="32"/>
          <w:szCs w:val="32"/>
        </w:rPr>
        <w:t>目录》范围的护理服务长护险基金不予支付。</w:t>
      </w:r>
    </w:p>
    <w:p w14:paraId="071AFA82">
      <w:pPr>
        <w:pStyle w:val="9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0" w:beforeAutospacing="0" w:line="580" w:lineRule="exact"/>
        <w:ind w:left="0" w:leftChars="0" w:right="130" w:firstLine="640" w:firstLineChars="200"/>
        <w:rPr>
          <w:rFonts w:hint="eastAsia" w:ascii="仿宋_GB2312" w:eastAsia="仿宋_GB2312"/>
          <w:vanish w:val="0"/>
          <w:kern w:val="2"/>
          <w:sz w:val="32"/>
          <w:szCs w:val="32"/>
        </w:rPr>
      </w:pPr>
      <w:r>
        <w:rPr>
          <w:rFonts w:hint="eastAsia" w:ascii="仿宋_GB2312" w:eastAsia="仿宋_GB2312"/>
          <w:vanish w:val="0"/>
          <w:spacing w:val="0"/>
          <w:kern w:val="2"/>
          <w:sz w:val="32"/>
          <w:szCs w:val="32"/>
        </w:rPr>
        <w:t>凡例是对目录的解释，属于目录的组成部分，其内容与目录正文具有同等政策约束力。</w:t>
      </w:r>
    </w:p>
    <w:p w14:paraId="493A8965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0" w:beforeAutospacing="0" w:line="580" w:lineRule="exact"/>
        <w:ind w:firstLine="640" w:firstLineChars="200"/>
        <w:outlineLvl w:val="2"/>
        <w:rPr>
          <w:rFonts w:hint="eastAsia" w:ascii="方正黑体_GBK" w:eastAsia="方正黑体_GBK"/>
          <w:b w:val="0"/>
          <w:bCs w:val="0"/>
          <w:vanish w:val="0"/>
          <w:kern w:val="2"/>
          <w:sz w:val="32"/>
          <w:szCs w:val="32"/>
        </w:rPr>
      </w:pPr>
      <w:r>
        <w:rPr>
          <w:rFonts w:hint="eastAsia" w:ascii="方正黑体_GBK" w:eastAsia="方正黑体_GBK"/>
          <w:b w:val="0"/>
          <w:bCs w:val="0"/>
          <w:vanish w:val="0"/>
          <w:spacing w:val="0"/>
          <w:kern w:val="2"/>
          <w:sz w:val="32"/>
          <w:szCs w:val="32"/>
        </w:rPr>
        <w:t>一、目录构成</w:t>
      </w:r>
    </w:p>
    <w:p w14:paraId="479623EC">
      <w:pPr>
        <w:pStyle w:val="9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0" w:beforeAutospacing="0" w:line="580" w:lineRule="exact"/>
        <w:ind w:left="0" w:leftChars="0" w:right="20" w:firstLine="640" w:firstLineChars="200"/>
        <w:rPr>
          <w:rFonts w:hint="eastAsia" w:ascii="仿宋_GB2312" w:eastAsia="仿宋_GB2312"/>
          <w:vanish w:val="0"/>
          <w:kern w:val="2"/>
          <w:sz w:val="32"/>
          <w:szCs w:val="32"/>
        </w:rPr>
      </w:pPr>
      <w:r>
        <w:rPr>
          <w:rFonts w:hint="eastAsia" w:ascii="仿宋_GB2312" w:eastAsia="仿宋_GB2312"/>
          <w:vanish w:val="0"/>
          <w:spacing w:val="0"/>
          <w:kern w:val="2"/>
          <w:sz w:val="32"/>
          <w:szCs w:val="32"/>
        </w:rPr>
        <w:t>《宁夏回族自治区长护服务项目目录》包含生活照护类项目(20项)、医疗护理类项目(16项)两部分，共包含36项长期护理保险服务项目。</w:t>
      </w:r>
    </w:p>
    <w:p w14:paraId="10A38B7D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0" w:beforeAutospacing="0" w:line="580" w:lineRule="exact"/>
        <w:ind w:firstLine="640" w:firstLineChars="200"/>
        <w:outlineLvl w:val="2"/>
        <w:rPr>
          <w:rFonts w:hint="eastAsia" w:ascii="方正黑体_GBK" w:eastAsia="方正黑体_GBK"/>
          <w:b w:val="0"/>
          <w:bCs w:val="0"/>
          <w:vanish w:val="0"/>
          <w:kern w:val="2"/>
          <w:sz w:val="32"/>
          <w:szCs w:val="32"/>
        </w:rPr>
      </w:pPr>
      <w:r>
        <w:rPr>
          <w:rFonts w:hint="eastAsia" w:ascii="方正黑体_GBK" w:eastAsia="方正黑体_GBK"/>
          <w:b w:val="0"/>
          <w:bCs w:val="0"/>
          <w:vanish w:val="0"/>
          <w:spacing w:val="0"/>
          <w:kern w:val="2"/>
          <w:sz w:val="32"/>
          <w:szCs w:val="32"/>
        </w:rPr>
        <w:t>二、目录编排</w:t>
      </w:r>
    </w:p>
    <w:p w14:paraId="2C626BC0">
      <w:pPr>
        <w:pStyle w:val="9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0" w:beforeAutospacing="0" w:line="580" w:lineRule="exact"/>
        <w:ind w:left="0" w:leftChars="0" w:right="150" w:firstLine="640" w:firstLineChars="200"/>
        <w:rPr>
          <w:rFonts w:hint="eastAsia" w:ascii="仿宋_GB2312" w:eastAsia="仿宋_GB2312"/>
          <w:vanish w:val="0"/>
          <w:kern w:val="2"/>
          <w:sz w:val="32"/>
          <w:szCs w:val="32"/>
        </w:rPr>
      </w:pPr>
      <w:r>
        <w:rPr>
          <w:rFonts w:hint="eastAsia" w:ascii="仿宋_GB2312" w:eastAsia="仿宋_GB2312"/>
          <w:vanish w:val="0"/>
          <w:spacing w:val="0"/>
          <w:kern w:val="2"/>
          <w:sz w:val="32"/>
          <w:szCs w:val="32"/>
        </w:rPr>
        <w:t>《宁夏回族自治区长护服务项目目录》包含序号、项目代码、项目类别、项目名称、项目内涵、服务要点等。</w:t>
      </w:r>
    </w:p>
    <w:p w14:paraId="17140FE1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0" w:beforeAutospacing="0" w:line="580" w:lineRule="exact"/>
        <w:ind w:firstLine="640" w:firstLineChars="200"/>
        <w:outlineLvl w:val="2"/>
        <w:rPr>
          <w:rFonts w:hint="eastAsia" w:ascii="方正黑体_GBK" w:eastAsia="方正黑体_GBK"/>
          <w:b w:val="0"/>
          <w:bCs w:val="0"/>
          <w:vanish w:val="0"/>
          <w:kern w:val="2"/>
          <w:sz w:val="32"/>
          <w:szCs w:val="32"/>
        </w:rPr>
      </w:pPr>
      <w:r>
        <w:rPr>
          <w:rFonts w:hint="eastAsia" w:ascii="方正黑体_GBK" w:eastAsia="方正黑体_GBK"/>
          <w:b w:val="0"/>
          <w:bCs w:val="0"/>
          <w:vanish w:val="0"/>
          <w:spacing w:val="0"/>
          <w:kern w:val="2"/>
          <w:sz w:val="32"/>
          <w:szCs w:val="32"/>
        </w:rPr>
        <w:t>三、管理原则</w:t>
      </w:r>
    </w:p>
    <w:p w14:paraId="4EE0A8DA">
      <w:pPr>
        <w:pStyle w:val="9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0" w:beforeAutospacing="0" w:line="580" w:lineRule="exact"/>
        <w:ind w:left="0" w:leftChars="0" w:right="122" w:firstLine="640" w:firstLineChars="200"/>
        <w:rPr>
          <w:rFonts w:hint="eastAsia" w:ascii="仿宋_GB2312" w:eastAsia="仿宋_GB2312"/>
          <w:vanish w:val="0"/>
          <w:kern w:val="2"/>
          <w:sz w:val="32"/>
          <w:szCs w:val="32"/>
        </w:rPr>
      </w:pPr>
      <w:r>
        <w:rPr>
          <w:rFonts w:hint="eastAsia" w:ascii="仿宋_GB2312" w:eastAsia="仿宋_GB2312"/>
          <w:vanish w:val="0"/>
          <w:spacing w:val="0"/>
          <w:kern w:val="2"/>
          <w:sz w:val="32"/>
          <w:szCs w:val="32"/>
        </w:rPr>
        <w:t>《宁夏回族自治区长护服务项目目录》实行准入法管理，使用国家统一的长期护理服务项目代码，未列入目录的服务项目基金不予支付。</w:t>
      </w:r>
    </w:p>
    <w:p w14:paraId="3348130E">
      <w:pPr>
        <w:sectPr>
          <w:headerReference r:id="rId3" w:type="default"/>
          <w:footerReference r:id="rId4" w:type="default"/>
          <w:pgSz w:w="11900" w:h="16830"/>
          <w:pgMar w:top="1430" w:right="1505" w:bottom="1319" w:left="1575" w:header="0" w:footer="928" w:gutter="0"/>
          <w:pgNumType w:start="5"/>
          <w:cols w:space="425" w:num="1"/>
          <w:docGrid w:linePitch="285" w:charSpace="0"/>
        </w:sectPr>
      </w:pPr>
    </w:p>
    <w:p w14:paraId="23B1DF79">
      <w:pPr>
        <w:spacing w:line="580" w:lineRule="exact"/>
        <w:rPr>
          <w:rFonts w:ascii="Arial" w:hAnsi="Calibri" w:eastAsia="宋体" w:cs="Times New Roman"/>
          <w:vanish w:val="0"/>
          <w:kern w:val="2"/>
          <w:sz w:val="21"/>
          <w:szCs w:val="21"/>
        </w:rPr>
      </w:pPr>
    </w:p>
    <w:p w14:paraId="57BAA74D">
      <w:pPr>
        <w:spacing w:before="170" w:beforeAutospacing="0"/>
        <w:ind w:left="2653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vanish w:val="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vanish w:val="0"/>
          <w:spacing w:val="12"/>
          <w:kern w:val="2"/>
          <w:sz w:val="36"/>
          <w:szCs w:val="36"/>
        </w:rPr>
        <w:t>宁夏回族自治区长期护理保险服务项目目录(生活照护类)</w:t>
      </w:r>
    </w:p>
    <w:p w14:paraId="65372E17">
      <w:pPr>
        <w:spacing w:before="4" w:beforeAutospacing="0"/>
        <w:rPr>
          <w:rFonts w:ascii="Calibri" w:hAnsi="Calibri" w:eastAsia="宋体" w:cs="Times New Roman"/>
          <w:vanish w:val="0"/>
          <w:kern w:val="2"/>
          <w:sz w:val="21"/>
          <w:szCs w:val="21"/>
        </w:rPr>
      </w:pPr>
    </w:p>
    <w:p w14:paraId="1CD8CBE0">
      <w:pPr>
        <w:spacing w:before="3" w:beforeAutospacing="0"/>
        <w:rPr>
          <w:rFonts w:ascii="Calibri" w:hAnsi="Calibri" w:eastAsia="宋体" w:cs="Times New Roman"/>
          <w:vanish w:val="0"/>
          <w:kern w:val="2"/>
          <w:sz w:val="21"/>
          <w:szCs w:val="21"/>
        </w:rPr>
      </w:pPr>
    </w:p>
    <w:tbl>
      <w:tblPr>
        <w:tblStyle w:val="11"/>
        <w:tblW w:w="12972" w:type="dxa"/>
        <w:tblInd w:w="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1673"/>
        <w:gridCol w:w="1139"/>
        <w:gridCol w:w="1382"/>
        <w:gridCol w:w="1990"/>
        <w:gridCol w:w="6258"/>
      </w:tblGrid>
      <w:tr w14:paraId="0B21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hidden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0A944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E3C83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9F1F6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74A65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54CB5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6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5D3F8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306CF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atLeast"/>
          <w:hidden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92BFA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1D786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EE936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1F4E4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CF6C0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843ADC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8D435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C8068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52B24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02269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77DBB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C4D4FA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L0000101010010000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62109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3902E3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DE7A1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37824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CE0DD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E0737F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52"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1.饮食照护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2F987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D36B6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B4253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675069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</w:pPr>
          </w:p>
          <w:p w14:paraId="17A5DD0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协助进食/水及指导(含管饲饮食)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01CA5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7" w:lineRule="auto"/>
              <w:ind w:left="0" w:right="0"/>
              <w:jc w:val="both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086C3C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7" w:lineRule="auto"/>
              <w:ind w:left="0" w:right="0"/>
              <w:jc w:val="both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421BA4C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/>
                <w:b w:val="0"/>
                <w:bCs w:val="0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根据照护对象的进食/水能力，对不能自行进食/水的照护对象协助进食/水，做好照护对象及家属的安全教育，提高自我防范意识，指导噎呛、误吸的预防及简易应急处理方法。</w:t>
            </w:r>
          </w:p>
        </w:tc>
        <w:tc>
          <w:tcPr>
            <w:tcW w:w="6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85E5A9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8" w:beforeAutospacing="0"/>
              <w:ind w:left="28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相关服务要求：</w:t>
            </w:r>
          </w:p>
          <w:p w14:paraId="47B9C23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用餐前洗手，照护对象和照护者须手部清洁；</w:t>
            </w:r>
          </w:p>
          <w:p w14:paraId="75FB78D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对有咀嚼和吞咽困难的照护对象，要将食物切碎、搅拌；</w:t>
            </w:r>
          </w:p>
          <w:p w14:paraId="34E3E25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用餐时关注和纠正照护对象的进食姿势，检查食物温度，保证温度适宜；</w:t>
            </w:r>
          </w:p>
          <w:p w14:paraId="62878F5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45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协助进食/水时，防止照护对象误吸、呛咳；协助照护对象充分咀嚼吞服，防止呛噎；</w:t>
            </w:r>
          </w:p>
          <w:p w14:paraId="1CF4D25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进食完毕后帮助维持进食体位20-30分钟；</w:t>
            </w:r>
          </w:p>
          <w:p w14:paraId="31C8D96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(6)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记录照护对象的进食/水情况，观察照护对象进餐过程中有无不适反应；</w:t>
            </w:r>
          </w:p>
          <w:p w14:paraId="7BA71E5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45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(7)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如照护对象有鼻胃管置管，遵医嘱为照护对象经鼻胃管提供适宜的流质食物/水，确认胃管位置，并维持管道固定位置正确、通畅与清洁。</w:t>
            </w:r>
          </w:p>
          <w:p w14:paraId="7F433E4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" w:beforeAutospacing="0"/>
              <w:ind w:left="28" w:right="1791" w:firstLine="0"/>
              <w:jc w:val="both"/>
              <w:textAlignment w:val="auto"/>
              <w:rPr>
                <w:rFonts w:hint="eastAsia" w:ascii="宋体" w:hAnsi="宋体" w:eastAsia="宋体"/>
                <w:b w:val="0"/>
                <w:bCs w:val="0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长期照护师及具备相关资质人员</w:t>
            </w:r>
          </w:p>
          <w:p w14:paraId="2A6ACF8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beforeAutospacing="0"/>
              <w:ind w:left="28" w:right="0"/>
              <w:textAlignment w:val="auto"/>
              <w:rPr>
                <w:rFonts w:hint="eastAsia" w:ascii="宋体" w:hAnsi="宋体" w:eastAsia="宋体"/>
                <w:b w:val="0"/>
                <w:bCs w:val="0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15-30分钟</w:t>
            </w:r>
          </w:p>
        </w:tc>
      </w:tr>
      <w:tr w14:paraId="472E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  <w:hidden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54B802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0AED531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A5A9A81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1F35A8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127EEE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CD764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44567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EEB95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6A670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71208A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L0000102010010000</w:t>
            </w:r>
          </w:p>
        </w:tc>
        <w:tc>
          <w:tcPr>
            <w:tcW w:w="113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5548E0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BF3C3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40A218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8D2AC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1FA89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0D143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D9255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8BFE5E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52"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2.排泄照护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14341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91D7A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637A8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819BCE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协助排泄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A2B81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7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18CEF7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根据照护对象行动能力和排泄需求，选择合适的助行工具，协助照护对象如厕(包括会阴清洁),或帮助其在床上使用便器、药物干预排泄，并及时更换尿垫或纸尿裤。</w:t>
            </w:r>
          </w:p>
        </w:tc>
        <w:tc>
          <w:tcPr>
            <w:tcW w:w="6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1E2EC4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3FD6A22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对行动不便的照护对象辅助如厕或协助使用便器；</w:t>
            </w:r>
          </w:p>
          <w:p w14:paraId="49D2746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31" w:leftChars="15" w:right="21" w:rightChars="10"/>
              <w:jc w:val="left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及时更换照护对象尿垫或纸尿裤，保持皮肤清洁干爽，无污迹；排泄后按需及时做好照护对象会阴部或肛周清洁；</w:t>
            </w:r>
          </w:p>
          <w:p w14:paraId="611CBE5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对排泄异常的照护对象观察大小便的性状、颜色、排量及频次，作好记录；</w:t>
            </w:r>
          </w:p>
          <w:p w14:paraId="192809A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便器使用后及时倾倒和清洗消毒，及时处理污染尿垫；</w:t>
            </w:r>
          </w:p>
          <w:p w14:paraId="271A8CA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保护照护对象隐私，尊重心理需要。</w:t>
            </w:r>
          </w:p>
          <w:p w14:paraId="4E6707F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长期照护师及具备相关资质人员</w:t>
            </w:r>
          </w:p>
          <w:p w14:paraId="5A88E4B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10-30分钟</w:t>
            </w:r>
          </w:p>
        </w:tc>
      </w:tr>
      <w:tr w14:paraId="43506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  <w:hidden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5C5F3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  <w:r>
              <w:rPr>
                <w:rFonts w:ascii="Calibri" w:hAnsi="Times New Roman" w:eastAsia="宋体" w:cs="Times New Roman"/>
                <w:vanish w:val="0"/>
                <w:kern w:val="2"/>
                <w:sz w:val="21"/>
                <w:szCs w:val="21"/>
              </w:rPr>
              <w:drawing>
                <wp:inline distT="0" distB="0" distL="85725" distR="85725">
                  <wp:extent cx="676275" cy="552450"/>
                  <wp:effectExtent l="0" t="0" r="0" b="0"/>
                  <wp:docPr id="8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55245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F446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36A9E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8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FF6A0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8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EF8BE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8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90B0A7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L0000102020010000</w:t>
            </w:r>
          </w:p>
        </w:tc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01E4900"/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085BA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58BC8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175F3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287C77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人工取便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DA90F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344B48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</w:pPr>
          </w:p>
          <w:p w14:paraId="347BB8D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根据照护对象便秘情况，人工取出照护对象嵌顿在直肠内的粪便。</w:t>
            </w:r>
          </w:p>
        </w:tc>
        <w:tc>
          <w:tcPr>
            <w:tcW w:w="6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850108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3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6BC42BE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了解照护对象的健康及便秘情况，按照正确的操作程序，完成人工取便；</w:t>
            </w:r>
          </w:p>
          <w:p w14:paraId="3FB7640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取便后及时做好照护对象肛周清洁；</w:t>
            </w:r>
          </w:p>
          <w:p w14:paraId="6270825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便器使用后及时倾倒和清洗消毒，及时处理污染尿垫；</w:t>
            </w:r>
          </w:p>
          <w:p w14:paraId="343139E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保护照护对象隐私，尊重心理需要。</w:t>
            </w:r>
          </w:p>
          <w:p w14:paraId="3C6C0C6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/>
              <w:ind w:left="29" w:leftChars="14" w:right="0" w:firstLine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长期照护师(中、高级)及具备相关资质人员</w:t>
            </w:r>
          </w:p>
          <w:p w14:paraId="0CB5FCC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20-30分钟</w:t>
            </w:r>
          </w:p>
        </w:tc>
      </w:tr>
    </w:tbl>
    <w:p w14:paraId="700B034F">
      <w:pPr>
        <w:rPr>
          <w:rFonts w:ascii="Arial" w:hAnsi="Calibri" w:eastAsia="宋体" w:cs="Times New Roman"/>
          <w:kern w:val="2"/>
          <w:sz w:val="21"/>
          <w:szCs w:val="21"/>
        </w:rPr>
      </w:pPr>
    </w:p>
    <w:p w14:paraId="5FEC696C">
      <w:pPr>
        <w:spacing w:before="51" w:beforeAutospacing="0"/>
        <w:rPr>
          <w:rFonts w:ascii="Calibri" w:hAnsi="Calibri" w:eastAsia="宋体" w:cs="Times New Roman"/>
          <w:vanish w:val="0"/>
          <w:kern w:val="2"/>
          <w:sz w:val="21"/>
          <w:szCs w:val="21"/>
        </w:rPr>
      </w:pPr>
      <w:r>
        <w:rPr>
          <w:vanish w:val="0"/>
        </w:rPr>
        <w:drawing>
          <wp:inline distT="0" distB="0" distL="85725" distR="85725">
            <wp:extent cx="161925" cy="180975"/>
            <wp:effectExtent l="0" t="0" r="0" b="0"/>
            <wp:docPr id="9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tbl>
      <w:tblPr>
        <w:tblStyle w:val="11"/>
        <w:tblW w:w="13148" w:type="dxa"/>
        <w:tblInd w:w="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674"/>
        <w:gridCol w:w="1093"/>
        <w:gridCol w:w="1413"/>
        <w:gridCol w:w="2005"/>
        <w:gridCol w:w="6419"/>
      </w:tblGrid>
      <w:tr w14:paraId="5A69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hidden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ACF4EC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D427B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F0071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A452D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69824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6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D3643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0CDB4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  <w:hidden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5B68B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C29D3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20998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EC106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4A58F9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2AB5E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E986C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65266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B2EEC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56B8FE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L0000102030010000</w:t>
            </w:r>
          </w:p>
        </w:tc>
        <w:tc>
          <w:tcPr>
            <w:tcW w:w="1093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3CD0FB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AC4D2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6FBCB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7837C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1D71CF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656DE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AF998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65BD8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00920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23E5A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43851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A6BFB8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41"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2.排泄照护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926F9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635D1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A4401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19698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90DB12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失禁照护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AE0E9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00837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F1FB65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根据照护对象失禁情况，为大小便失禁的照护对象进行护理，用温水清洗会阴部，及时更换衣物、尿垫、纸尿裤或尿袋等，保持局部皮肤的清洁、干爽、无异味。</w:t>
            </w:r>
          </w:p>
        </w:tc>
        <w:tc>
          <w:tcPr>
            <w:tcW w:w="6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B37F8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56E3A3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050B9BE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保持局部皮肤的清洁；</w:t>
            </w:r>
          </w:p>
          <w:p w14:paraId="401C680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及时更换衣物、尿垫、纸尿裤或尿袋等，保持床单位的清洁、干燥；</w:t>
            </w:r>
          </w:p>
          <w:p w14:paraId="5FA4FB1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指导有一定认知能力的照护对象养成定时排尿、排便的习惯；</w:t>
            </w:r>
          </w:p>
          <w:p w14:paraId="16B6729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对留置尿管的照护对象定期消毒尿道口；</w:t>
            </w:r>
          </w:p>
          <w:p w14:paraId="621EACE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保护照护对象隐私，尊重心理需要。</w:t>
            </w:r>
          </w:p>
          <w:p w14:paraId="1ECCDF9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长期照护师及具备相关资质人员</w:t>
            </w:r>
          </w:p>
          <w:p w14:paraId="291E31B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/>
              </w:rPr>
              <w:t>10-20分钟</w:t>
            </w:r>
          </w:p>
        </w:tc>
      </w:tr>
      <w:tr w14:paraId="30D3C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6" w:hRule="atLeast"/>
          <w:hidden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A4FFD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FBF95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E3DD8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21977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F1569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4814B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913FBC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CEC12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EA875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0FD86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1778D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05A87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E8F4C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A43673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L0000102040010000</w:t>
            </w:r>
          </w:p>
        </w:tc>
        <w:tc>
          <w:tcPr>
            <w:tcW w:w="109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72CA7A05"/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56251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8931B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43D3A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78FED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2F904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5FC47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0A28C7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人工肛门/便袋清洁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E7F42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614A7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096B1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7C757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719E08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根据照护对象造口情况，为直肠、结肠或回肠肛门改道造瘘术后的照护对象提供人工肛门便袋护理，包括肛门便袋的使用、倒放粪便、冲洗更换肛门袋、局部皮肤护理等。</w:t>
            </w:r>
          </w:p>
        </w:tc>
        <w:tc>
          <w:tcPr>
            <w:tcW w:w="6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BD870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53D608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54A8357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了解照护对象造口大小及周围皮肤情况，向照护对象做好解释，以取得合作；</w:t>
            </w:r>
          </w:p>
          <w:p w14:paraId="742CDF2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当便袋有渗漏或便袋内容物超过三分之一时，应将便袋取下，替换另一便袋；</w:t>
            </w:r>
          </w:p>
          <w:p w14:paraId="7437D42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协助照护对象取平卧位、半坐卧位或坐位，采用适宜方式揭去原有的便袋，避</w:t>
            </w:r>
          </w:p>
          <w:p w14:paraId="29CF4A4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免扯伤皮肤；</w:t>
            </w:r>
          </w:p>
          <w:p w14:paraId="3B74B0C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更换便袋前先用温水清洁造口及周围皮肤，不要使用酒精等刺激性强的外用药</w:t>
            </w:r>
          </w:p>
          <w:p w14:paraId="12745EB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擦洗，用软纸轻轻擦干，确保皮肤干爽；</w:t>
            </w:r>
          </w:p>
          <w:p w14:paraId="6421C6A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粘贴便袋时，先除去便袋胶片外面的粘纸贴于造口位置，轻压便袋胶片环及其</w:t>
            </w:r>
          </w:p>
          <w:p w14:paraId="5319FFC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周围，使其与皮肤充分接触紧贴，防止渗漏；</w:t>
            </w:r>
          </w:p>
          <w:p w14:paraId="060C903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(6)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 xml:space="preserve">更换便袋后将便袋两旁的扣洞用腰带扣上，固定于照护对象腰间。 </w:t>
            </w:r>
          </w:p>
          <w:p w14:paraId="2120756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21" w:leftChars="10" w:right="748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1EEB60A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10-15分钟</w:t>
            </w:r>
          </w:p>
        </w:tc>
      </w:tr>
      <w:tr w14:paraId="32064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3" w:hRule="atLeast"/>
          <w:hidden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6F6C9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A8F63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E2E8E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BC3BC0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B97C7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93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C8A77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93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DB7C0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9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6D95E0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L0000103010010000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839DF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8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A4FE2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323EE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4339A7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41"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3.清洁照护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305A3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8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8FA56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C27A1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6FF8AF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洗发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D884D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C66682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42" w:leftChars="20" w:right="42" w:rightChars="2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根据照护对象头发、头皮的情况，协助照护对象选择舒适体位，帮助照护对象清洗头发。</w:t>
            </w:r>
          </w:p>
        </w:tc>
        <w:tc>
          <w:tcPr>
            <w:tcW w:w="6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9CD05C7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68EF37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60009CC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协助照护对象取适宜的体位，调节适宜水温；</w:t>
            </w:r>
          </w:p>
          <w:p w14:paraId="04F2BB6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去除污垢和头屑，保持照护对象清洁、舒适，无异味；</w:t>
            </w:r>
          </w:p>
          <w:p w14:paraId="1565A33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 xml:space="preserve">洗发后吹干头发并梳理，预防头虱及头皮感染。 </w:t>
            </w:r>
          </w:p>
          <w:p w14:paraId="60CF121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4DCB110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10-15分钟</w:t>
            </w:r>
          </w:p>
        </w:tc>
      </w:tr>
    </w:tbl>
    <w:p w14:paraId="3A2FBF35">
      <w:pPr>
        <w:rPr>
          <w:rFonts w:ascii="Arial" w:hAnsi="Calibri" w:eastAsia="宋体" w:cs="Times New Roman"/>
          <w:kern w:val="2"/>
          <w:sz w:val="21"/>
          <w:szCs w:val="21"/>
        </w:rPr>
      </w:pPr>
    </w:p>
    <w:p w14:paraId="539EDA08">
      <w:pPr>
        <w:sectPr>
          <w:footerReference r:id="rId5" w:type="default"/>
          <w:pgSz w:w="16830" w:h="11900"/>
          <w:pgMar w:top="1011" w:right="2049" w:bottom="809" w:left="1013" w:header="0" w:footer="0" w:gutter="0"/>
          <w:cols w:space="425" w:num="1"/>
          <w:docGrid w:linePitch="285" w:charSpace="0"/>
        </w:sectPr>
      </w:pPr>
    </w:p>
    <w:p w14:paraId="7A0B6C4C">
      <w:pPr>
        <w:spacing w:line="43" w:lineRule="exact"/>
        <w:rPr>
          <w:rFonts w:ascii="Calibri" w:hAnsi="Calibri" w:eastAsia="宋体" w:cs="Times New Roman"/>
          <w:vanish w:val="0"/>
          <w:kern w:val="2"/>
          <w:sz w:val="21"/>
          <w:szCs w:val="21"/>
        </w:rPr>
      </w:pPr>
      <w:r>
        <w:rPr>
          <w:vanish w:val="0"/>
        </w:rPr>
        <w:drawing>
          <wp:inline distT="0" distB="0" distL="85725" distR="85725">
            <wp:extent cx="333375" cy="371475"/>
            <wp:effectExtent l="0" t="0" r="0" b="0"/>
            <wp:docPr id="10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7147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tbl>
      <w:tblPr>
        <w:tblStyle w:val="11"/>
        <w:tblW w:w="12911" w:type="dxa"/>
        <w:tblInd w:w="9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640"/>
        <w:gridCol w:w="1125"/>
        <w:gridCol w:w="1397"/>
        <w:gridCol w:w="1990"/>
        <w:gridCol w:w="6197"/>
      </w:tblGrid>
      <w:tr w14:paraId="7572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hidden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3422E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9D2FB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35428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CB67F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BBD28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6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DAEAD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0603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6" w:hRule="atLeast"/>
          <w:hidden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8417A7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923B1C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E5A45E2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1262798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1EF574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19CA3FF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A26E13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7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0F808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D33F1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62A97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9A7A5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5ECA7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8C7EA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90F5D6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L0000103020010000</w:t>
            </w:r>
          </w:p>
        </w:tc>
        <w:tc>
          <w:tcPr>
            <w:tcW w:w="1125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4C7FD0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361CB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C05B6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9F51E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60324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FE12B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766BE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05779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BF0DF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6404C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3CCBF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8ADDC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673EE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D0E7A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AA839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D20A2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90D24E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44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3.清洁照护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E143D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4D838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AAA4E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73EED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2D5C7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4766B4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理发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63E991C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F83FA2C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3CBD18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1E6F83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9B4C158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22277E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根据照护对象头发修剪的情况，为照护对象进行头发修剪、清洗，保持美观、舒适。</w:t>
            </w:r>
          </w:p>
        </w:tc>
        <w:tc>
          <w:tcPr>
            <w:tcW w:w="6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A66FB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9388F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ACE33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949D9A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10" w:leftChars="5" w:right="0" w:firstLine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7BD24E2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修剪头发后使头发长短适宜，整齐美观；</w:t>
            </w:r>
          </w:p>
          <w:p w14:paraId="5DCB3B5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头皮无损伤；</w:t>
            </w:r>
          </w:p>
          <w:p w14:paraId="522D172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皮肤无碎发；</w:t>
            </w:r>
          </w:p>
          <w:p w14:paraId="6BC4F26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清洗后保持头发清洁、无异味。</w:t>
            </w:r>
          </w:p>
          <w:p w14:paraId="6BBB4A2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ind w:left="10" w:leftChars="5" w:right="0" w:firstLine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2B78A56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Autospacing="0"/>
              <w:ind w:left="10" w:leftChars="5" w:right="0" w:firstLine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：20-30分钟</w:t>
            </w:r>
          </w:p>
        </w:tc>
      </w:tr>
      <w:tr w14:paraId="28C70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7" w:hRule="atLeast"/>
          <w:hidden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4D75E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8A1B1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C08AA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3846F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9FDED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9CB86F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E7CE9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60B77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5607D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E756B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51D40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990DF0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L0000103030010000</w:t>
            </w:r>
          </w:p>
        </w:tc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6B686E4E"/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E4BA2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8C8E5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F1C19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663EB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746430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口腔清洁(包括义齿)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7BB03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2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DE9EB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2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5CBA7C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根据照护对象的生活自理能力，鼓励并协助有自理能力或上肢功能良好的半自理照护对象采用漱口、自行刷牙的方法清洁口腔；协助不能自理的照护对象清洁口腔(包括义齿)。</w:t>
            </w:r>
          </w:p>
        </w:tc>
        <w:tc>
          <w:tcPr>
            <w:tcW w:w="6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0609D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2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58623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2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225134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2E04CA4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清除牙齿表面的食物残渣；</w:t>
            </w:r>
          </w:p>
          <w:p w14:paraId="2AF9A66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避免误吸、口腔粘膜损伤、义齿损坏；</w:t>
            </w:r>
          </w:p>
          <w:p w14:paraId="5902398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口腔内无残渣、无异味。</w:t>
            </w:r>
          </w:p>
          <w:p w14:paraId="001D19F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beforeAutospacing="0"/>
              <w:ind w:left="10" w:leftChars="5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推荐服务人员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：长期照护师及具备相关资质人员</w:t>
            </w:r>
          </w:p>
          <w:p w14:paraId="6926463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beforeAutospacing="0"/>
              <w:ind w:left="10" w:leftChars="5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10-15分钟</w:t>
            </w:r>
          </w:p>
        </w:tc>
      </w:tr>
      <w:tr w14:paraId="0F5DB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  <w:hidden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3C65E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13D8F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04C96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E0036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9CB1E6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9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46D8E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E63B3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77F94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1FF1A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DBF7FE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L0000103040010000</w:t>
            </w:r>
          </w:p>
        </w:tc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905C40E"/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9094A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6FD56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C3A90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584D6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379E43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指/趾甲清洁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D8DF0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0C674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A67AE2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根据照护对象的病情、意识、生活自理能力以及个人卫生习惯，选择合适的工具对指/趾甲进行护理。</w:t>
            </w:r>
          </w:p>
        </w:tc>
        <w:tc>
          <w:tcPr>
            <w:tcW w:w="6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6552C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A8A89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A99A59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10" w:leftChars="5" w:right="0" w:firstLine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30B57ED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修剪指/趾甲，留存长度适宜，边缘应光滑、无毛刺；</w:t>
            </w:r>
          </w:p>
          <w:p w14:paraId="5E9B318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手指处如有倒刺用指甲刀剪除，不损伤手指皮肤。</w:t>
            </w:r>
          </w:p>
          <w:p w14:paraId="14EA9A6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beforeAutospacing="0"/>
              <w:ind w:left="10" w:leftChars="5" w:right="2001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790379B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beforeAutospacing="0"/>
              <w:ind w:left="10" w:leftChars="5" w:right="0" w:firstLine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10-15分钟</w:t>
            </w:r>
          </w:p>
        </w:tc>
      </w:tr>
    </w:tbl>
    <w:p w14:paraId="0F817F8E">
      <w:pPr>
        <w:rPr>
          <w:rFonts w:ascii="Arial" w:hAnsi="Calibri" w:eastAsia="宋体" w:cs="Times New Roman"/>
          <w:kern w:val="2"/>
          <w:sz w:val="21"/>
          <w:szCs w:val="21"/>
        </w:rPr>
      </w:pPr>
    </w:p>
    <w:p w14:paraId="33647430">
      <w:pPr>
        <w:sectPr>
          <w:pgSz w:w="16830" w:h="11900"/>
          <w:pgMar w:top="1011" w:right="1955" w:bottom="1229" w:left="1083" w:header="0" w:footer="0" w:gutter="0"/>
          <w:cols w:space="425" w:num="1"/>
          <w:docGrid w:linePitch="285" w:charSpace="0"/>
        </w:sectPr>
      </w:pPr>
    </w:p>
    <w:p w14:paraId="1137808E">
      <w:pPr>
        <w:spacing w:before="10" w:beforeAutospacing="0"/>
        <w:rPr>
          <w:rFonts w:ascii="Calibri" w:hAnsi="Calibri" w:eastAsia="宋体" w:cs="Times New Roman"/>
          <w:vanish w:val="0"/>
          <w:kern w:val="2"/>
          <w:sz w:val="21"/>
          <w:szCs w:val="21"/>
        </w:rPr>
      </w:pPr>
    </w:p>
    <w:p w14:paraId="1A671A11">
      <w:pPr>
        <w:spacing w:before="10" w:beforeAutospacing="0"/>
        <w:rPr>
          <w:rFonts w:ascii="Calibri" w:hAnsi="Calibri" w:eastAsia="宋体" w:cs="Times New Roman"/>
          <w:vanish w:val="0"/>
          <w:kern w:val="2"/>
          <w:sz w:val="21"/>
          <w:szCs w:val="21"/>
        </w:rPr>
      </w:pPr>
    </w:p>
    <w:tbl>
      <w:tblPr>
        <w:tblStyle w:val="11"/>
        <w:tblW w:w="12894" w:type="dxa"/>
        <w:tblInd w:w="10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1618"/>
        <w:gridCol w:w="1155"/>
        <w:gridCol w:w="1412"/>
        <w:gridCol w:w="2005"/>
        <w:gridCol w:w="6135"/>
      </w:tblGrid>
      <w:tr w14:paraId="25A74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hidden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785CA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6CC5C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7FE89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D1AE8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7795E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6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D1D9D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1BF78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6" w:hRule="atLeast"/>
          <w:hidden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84D6F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690B5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B1CD7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61443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C4E8C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17B339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742E1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249EA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83BE3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63DA8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82FAC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9C55D9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L0000103050010000</w:t>
            </w:r>
          </w:p>
        </w:tc>
        <w:tc>
          <w:tcPr>
            <w:tcW w:w="1155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460AFE2B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7D9E95C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F47EB78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B0701EB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4C557D4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583CFD0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40D1C96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B3A5D41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B3234B1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44F72DFB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38BBE466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1C25536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6B1EBD9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39A61239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2E28F75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98C87E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41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3.清洁照护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C5F96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56879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A06AA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1A74D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C5B6D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7AB3F7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擦浴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C8FCA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2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5415D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2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7B4E3B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根据照护对象身体状况、生活自理能力及皮肤完整性等，选择适宜方式对照护对象进行局部擦浴(面部/手足部清洁、梳头、剃须等)或全身擦浴，根据需要涂抹护肤用品。</w:t>
            </w:r>
          </w:p>
        </w:tc>
        <w:tc>
          <w:tcPr>
            <w:tcW w:w="6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F0FBC4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433CEFD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调节室温至适宜温度；</w:t>
            </w:r>
          </w:p>
          <w:p w14:paraId="5BE5864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如有管路的照护对象需固定管路，确保安全；</w:t>
            </w:r>
          </w:p>
          <w:p w14:paraId="3EFF54F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采用擦浴方式清除照护对象身上的污垢、汗渍；</w:t>
            </w:r>
          </w:p>
          <w:p w14:paraId="77FAE7B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保持照护对象身体皮肤的清洁及滋润，提高照护对象的舒适度；</w:t>
            </w:r>
          </w:p>
          <w:p w14:paraId="32DBBB2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清洁皮肤褶皱处和敏感区域，避免摩擦造成的皮肤损伤；</w:t>
            </w:r>
          </w:p>
          <w:p w14:paraId="675B13E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(6)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保障照护对象安全、舒适，防受凉，防烫伤；</w:t>
            </w:r>
          </w:p>
          <w:p w14:paraId="2A20E54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(7)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保护照护对象隐私，尊重心理需要。</w:t>
            </w:r>
          </w:p>
          <w:p w14:paraId="28E1A0F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52DEA01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10-15分钟(局部);15-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30分钟(全身)</w:t>
            </w:r>
          </w:p>
        </w:tc>
      </w:tr>
      <w:tr w14:paraId="47DA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  <w:hidden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ED8B1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9AF37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FD9E3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49631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CA543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67B566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7D526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1E91C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B5286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5430A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57C8C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E49E94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L0000103060010000</w:t>
            </w:r>
          </w:p>
        </w:tc>
        <w:tc>
          <w:tcPr>
            <w:tcW w:w="115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3F73F7CC"/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0F625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1CD20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30835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2D02B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BA566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52DD62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沐浴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4444D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920D4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54BCA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28E4B7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根据照护对象身体状况(如血压水平等)、生活自理能力及皮肤完整性等，选择适宜的沐浴方式，为其提供洗澡照护，根据需要涂抹护肤用品。</w:t>
            </w:r>
          </w:p>
        </w:tc>
        <w:tc>
          <w:tcPr>
            <w:tcW w:w="6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56BF7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48578F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10" w:leftChars="5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5DA9206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了解照护对象过往病史及健康状况，是否需要如厕；</w:t>
            </w:r>
          </w:p>
          <w:p w14:paraId="2B4C2F3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将照护对象移至洗浴设施；</w:t>
            </w:r>
          </w:p>
          <w:p w14:paraId="3CBE8F0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调节适宜水温；</w:t>
            </w:r>
          </w:p>
          <w:p w14:paraId="440514F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帮助照护对象脱衣裤，沐浴，擦干，穿衣裤；</w:t>
            </w:r>
          </w:p>
          <w:p w14:paraId="644620E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确保照护对象安全，防跌倒、防受凉、防烫伤；</w:t>
            </w:r>
          </w:p>
          <w:p w14:paraId="50222DD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(6)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保护照护对象隐私，尊重心理需要。</w:t>
            </w:r>
          </w:p>
          <w:p w14:paraId="6C5E04A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beforeAutospacing="0"/>
              <w:ind w:left="31" w:leftChars="15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068956A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" w:beforeAutospacing="0"/>
              <w:ind w:left="31" w:leftChars="15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30-60分钟</w:t>
            </w:r>
          </w:p>
        </w:tc>
      </w:tr>
      <w:tr w14:paraId="276DC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  <w:hidden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ACD44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0E320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0EDE9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BD9ECD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12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D0F5B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98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97235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98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CE1F0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98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AA0C40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L0000103070010000</w:t>
            </w:r>
          </w:p>
        </w:tc>
        <w:tc>
          <w:tcPr>
            <w:tcW w:w="11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DA6C89B"/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B8EAA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9B358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E6DCA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8577A2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整理床单位(床铺)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97154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85A0D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DCCFE1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选择适宜的方法为照护对象整理床单位，包括更换床单、被褥，清除杂物，保持床单整洁、干爽。</w:t>
            </w:r>
          </w:p>
        </w:tc>
        <w:tc>
          <w:tcPr>
            <w:tcW w:w="6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14963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8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2B4540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22BAB6D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定期更换床单、被套，保持床单位的清洁、干燥、平整、柔软，使照护对</w:t>
            </w:r>
          </w:p>
          <w:p w14:paraId="3629B8A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象舒适；</w:t>
            </w:r>
          </w:p>
          <w:p w14:paraId="20D2651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 xml:space="preserve">对大小便失禁的照护对象应随时更换污染的床单、被套等用品。 </w:t>
            </w:r>
          </w:p>
          <w:p w14:paraId="5CAFDEE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5AE884B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10-15分钟</w:t>
            </w:r>
          </w:p>
        </w:tc>
      </w:tr>
    </w:tbl>
    <w:p w14:paraId="0A8292A6">
      <w:pPr>
        <w:rPr>
          <w:rFonts w:ascii="Arial" w:hAnsi="Calibri" w:eastAsia="宋体" w:cs="Times New Roman"/>
          <w:kern w:val="2"/>
          <w:sz w:val="21"/>
          <w:szCs w:val="21"/>
        </w:rPr>
      </w:pPr>
    </w:p>
    <w:p w14:paraId="1E71927B">
      <w:pPr>
        <w:sectPr>
          <w:pgSz w:w="16830" w:h="11900"/>
          <w:pgMar w:top="1011" w:right="2054" w:bottom="400" w:left="976" w:header="0" w:footer="0" w:gutter="0"/>
          <w:cols w:space="425" w:num="1"/>
          <w:docGrid w:linePitch="285" w:charSpace="0"/>
        </w:sectPr>
      </w:pPr>
    </w:p>
    <w:tbl>
      <w:tblPr>
        <w:tblStyle w:val="11"/>
        <w:tblW w:w="12894" w:type="dxa"/>
        <w:tblInd w:w="10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1636"/>
        <w:gridCol w:w="1189"/>
        <w:gridCol w:w="1428"/>
        <w:gridCol w:w="1990"/>
        <w:gridCol w:w="6119"/>
      </w:tblGrid>
      <w:tr w14:paraId="2BA49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hidden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1ECCB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51B33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0034C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279EB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CB716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6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2EF9C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6B51D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7" w:hRule="atLeast"/>
          <w:hidden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F9E29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A5CC1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41BC2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5425A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45B29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273049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13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FA2E2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5768A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60A2B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8D1BA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43B54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1EFC5B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L0000104010010000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357EBA0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AE10EF6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45FC5D5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2B5FB82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DD13FF9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0F5C45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41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4.穿脱衣物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691FF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9E4E0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ADF04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4E0B1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0D7756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协助更衣及指导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F9DC5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09D24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F3732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A488B6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根据照护对象的病情、意识、肌力、活动和合作程度、有无肢体偏瘫及手术、引流管等情况，选择适合的更衣顺序为照护对象穿脱衣物。</w:t>
            </w:r>
          </w:p>
        </w:tc>
        <w:tc>
          <w:tcPr>
            <w:tcW w:w="6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58B4F0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8" w:beforeAutospacing="0"/>
              <w:ind w:left="28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相关服务要求：</w:t>
            </w:r>
          </w:p>
          <w:p w14:paraId="09827E0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调节室温至适宜温度；</w:t>
            </w:r>
          </w:p>
          <w:p w14:paraId="5B09CC0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了解照护对象的肢体功能，选择合适的穿脱衣顺序(脱衣顺序：无肢体活</w:t>
            </w:r>
          </w:p>
          <w:p w14:paraId="2D34095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9" w:leftChars="14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动障碍时，先近侧，后远侧；一侧肢体活动障碍时，先健侧，后患侧。穿衣顺序：无肢体活动障碍时，先远侧，后近侧；一侧肢体活动障碍时，先患侧，后健侧)；</w:t>
            </w:r>
          </w:p>
          <w:p w14:paraId="724FC5F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保持肢体在功能位范围内活动，防止牵拉受损，防跌倒、坠地；</w:t>
            </w:r>
          </w:p>
          <w:p w14:paraId="353CE3B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指导家属了解更衣顺序；</w:t>
            </w:r>
          </w:p>
          <w:p w14:paraId="10A5930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保护照护对象隐私，尊重心理需要。</w:t>
            </w:r>
          </w:p>
          <w:p w14:paraId="6540091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32A5929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10-15分钟</w:t>
            </w:r>
          </w:p>
        </w:tc>
      </w:tr>
      <w:tr w14:paraId="1CB3E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 w:hRule="atLeast"/>
          <w:hidden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52C95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DB06F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AB52C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BC67C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763EC2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14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94808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5C111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8F8D3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05D14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872353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L0000105010010000</w:t>
            </w:r>
          </w:p>
        </w:tc>
        <w:tc>
          <w:tcPr>
            <w:tcW w:w="118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5E9AA1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F3B2C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110F0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EBA9B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E9E82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D00E1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0E83F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60E41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C53C0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BB0B0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B40810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4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5.功能维护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881F3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83623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0E3CD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97A2A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A3AD3D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体位管理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0B417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64399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9C8A22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根据照护对象病情，肢体活动能力等，协助其在床上适度移动和体位变换，或借助器具开展室内/户外活动，指导使用方法、注意事项及安全教育。</w:t>
            </w:r>
          </w:p>
        </w:tc>
        <w:tc>
          <w:tcPr>
            <w:tcW w:w="6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ACD1AB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69" w:beforeAutospacing="0"/>
              <w:ind w:left="27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5102CAE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right="0" w:firstLine="90" w:firstLineChars="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根据照护对象的病情、肢体活动能力、年龄、体重，有无约束、伤口、引</w:t>
            </w:r>
          </w:p>
          <w:p w14:paraId="40E0D37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流管、骨折和牵引等情况，协助照护对象在床上适度移动或进行体位变换，或协助使用手杖、拐杖、助行器、轮椅等不同的移动工具，借助器具开展室内/户外活动；</w:t>
            </w:r>
          </w:p>
          <w:p w14:paraId="5AF6548D">
            <w:pPr>
              <w:pStyle w:val="1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right="0" w:rightChars="0" w:firstLine="90" w:firstLineChars="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</w:t>
            </w:r>
            <w:r>
              <w:rPr>
                <w:rFonts w:hint="eastAsia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如有管路的照护对象，在移动的过程中，妥善处理各种管路，保持各种管</w:t>
            </w:r>
          </w:p>
          <w:p w14:paraId="43225E2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道通畅，无扭曲、脱落、受压；</w:t>
            </w:r>
          </w:p>
          <w:p w14:paraId="092E5F9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right="0" w:firstLine="90" w:firstLineChars="50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做好安全保护措施，避免拖拉拽，保护局部皮肤无擦伤。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 xml:space="preserve"> </w:t>
            </w:r>
          </w:p>
          <w:p w14:paraId="698B436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" w:beforeAutospacing="0"/>
              <w:ind w:left="21" w:leftChars="10" w:right="1423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64E9279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10-15分钟</w:t>
            </w:r>
          </w:p>
        </w:tc>
      </w:tr>
      <w:tr w14:paraId="6ECB6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2" w:hRule="atLeast"/>
          <w:hidden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C2358DC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F3F5917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D0EA571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8441F28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6C8A713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C0D1205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1E7346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15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258D6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D8D7D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77990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9B7FA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3800C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D856B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636F51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L0000105020010000</w:t>
            </w:r>
          </w:p>
        </w:tc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06D8962"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CD608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9B2C4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5F4A9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F7903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DF91E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420498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生活功能训练及指导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2F1B4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87771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3D8A1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1AA11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F8CC8B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训练照护对象进食方法、个人卫生、穿脱衣裤鞋袜、床椅转移、肢体活动等日常生活自理能力，提高生活质量。</w:t>
            </w:r>
          </w:p>
        </w:tc>
        <w:tc>
          <w:tcPr>
            <w:tcW w:w="6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1ACAA1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92" w:beforeAutospacing="0"/>
              <w:ind w:left="27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64144E7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了解照护对象的日常生活自理能力；</w:t>
            </w:r>
          </w:p>
          <w:p w14:paraId="394A210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合理布置环境，将床、椅和其他生活用品放到适当的位置；</w:t>
            </w:r>
          </w:p>
          <w:p w14:paraId="3AAD215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协助照护对象完成进食、个人卫生、穿脱衣裤鞋袜、翻身、如厕等日常生</w:t>
            </w:r>
          </w:p>
          <w:p w14:paraId="3FBF0C6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活自理能力训练，提高生活质量；</w:t>
            </w:r>
          </w:p>
          <w:p w14:paraId="2F5B710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训练时让照护对象处于舒适的位置，护理人员处于可以清楚观察照护对象</w:t>
            </w:r>
          </w:p>
          <w:p w14:paraId="3811F99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活动全过程的位置；</w:t>
            </w:r>
          </w:p>
          <w:p w14:paraId="29BCFE5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训练时发布指令需缓慢、耐心，逐步讲解过程，强调要点，及时纠正错误</w:t>
            </w:r>
          </w:p>
          <w:p w14:paraId="21CAEEF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动作。活动量应逐渐增加，掌握时间，不宜过度疲劳；</w:t>
            </w:r>
          </w:p>
          <w:p w14:paraId="2CE9902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(6)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指导家属了解生活功能训练的内容和作用。</w:t>
            </w:r>
          </w:p>
          <w:p w14:paraId="35EA47C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1C7920E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20-30分钟</w:t>
            </w:r>
          </w:p>
        </w:tc>
      </w:tr>
    </w:tbl>
    <w:p w14:paraId="5B2CE810">
      <w:pPr>
        <w:rPr>
          <w:rFonts w:ascii="Arial" w:hAnsi="Calibri" w:eastAsia="宋体" w:cs="Times New Roman"/>
          <w:kern w:val="2"/>
          <w:sz w:val="21"/>
          <w:szCs w:val="21"/>
        </w:rPr>
      </w:pPr>
    </w:p>
    <w:p w14:paraId="7484F63D">
      <w:pPr>
        <w:sectPr>
          <w:pgSz w:w="16830" w:h="11900"/>
          <w:pgMar w:top="964" w:right="2054" w:bottom="400" w:left="966" w:header="0" w:footer="0" w:gutter="0"/>
          <w:cols w:space="425" w:num="1"/>
          <w:docGrid w:linePitch="285" w:charSpace="0"/>
        </w:sectPr>
      </w:pPr>
    </w:p>
    <w:p w14:paraId="56CB9BE3">
      <w:pPr>
        <w:spacing w:line="213" w:lineRule="exact"/>
        <w:rPr>
          <w:rFonts w:ascii="Calibri" w:hAnsi="Calibri" w:eastAsia="宋体" w:cs="Times New Roman"/>
          <w:vanish w:val="0"/>
          <w:kern w:val="2"/>
          <w:sz w:val="21"/>
          <w:szCs w:val="21"/>
        </w:rPr>
      </w:pPr>
    </w:p>
    <w:tbl>
      <w:tblPr>
        <w:tblStyle w:val="11"/>
        <w:tblW w:w="12972" w:type="dxa"/>
        <w:tblInd w:w="9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636"/>
        <w:gridCol w:w="1189"/>
        <w:gridCol w:w="1397"/>
        <w:gridCol w:w="2066"/>
        <w:gridCol w:w="6137"/>
      </w:tblGrid>
      <w:tr w14:paraId="1FBF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hidden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B1B6C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335A0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89B0D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35239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932AB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6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69991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49ED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6" w:hRule="atLeast"/>
          <w:hidden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5D3A3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0994E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9B79E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7E07A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C0864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5FCA6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5DC4B2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16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D161D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C3CD9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8FDD5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9FB79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8757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C107D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0921C9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L0000106010010000</w:t>
            </w:r>
          </w:p>
        </w:tc>
        <w:tc>
          <w:tcPr>
            <w:tcW w:w="118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2CFA2B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F65E7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DEF00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14046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F25D1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1A15A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56247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41138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79B4D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3E9AD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7FB4F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1CB0F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F7FA8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D21A6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23416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EB813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46AEF4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51" w:right="0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6.对症护理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40ABE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9B44B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82F89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D2A92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350F2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jc w:val="left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14DD9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jc w:val="left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协助翻身叩背排痰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B6A9E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5937A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B0AA5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E6902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636372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 w:firstLine="0"/>
              <w:jc w:val="left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根据照护对象的病情、有无手术、引流管、骨折和牵引等，选择合适的翻身频次、体位、方式帮助照护对象翻身拍背，促进排痰。</w:t>
            </w:r>
          </w:p>
        </w:tc>
        <w:tc>
          <w:tcPr>
            <w:tcW w:w="6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D754D1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45" w:beforeAutospacing="0"/>
              <w:ind w:left="27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1C8AC9C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根据照护对象不同的身体状况及护理需求，是否存在禁忌症(如活动性内</w:t>
            </w:r>
          </w:p>
          <w:p w14:paraId="5A0FD04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9" w:leftChars="14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出血、肋骨骨折等),确定翻身的频次、体位、方式；</w:t>
            </w:r>
          </w:p>
          <w:p w14:paraId="688EC53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叩背原则：从下至上、从外至内，背部从第十肋间隙、胸部从第六肋间隙</w:t>
            </w:r>
          </w:p>
          <w:p w14:paraId="5ADF0DA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9" w:leftChars="14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开始向上叩击至肩部，注意避开肾区、脊柱等突出部位，力度适宜，进行排痰扣背时，手指应稍作屈曲，将手背隆起，使整个手掌呈空心状，类似杯状，叩击时发出空而深的“啪、啪”声响，密切观察照护对象，及时清除口腔分泌物。在移动的过程中，避免拖拉拽，妥善处理各种管路；</w:t>
            </w:r>
          </w:p>
          <w:p w14:paraId="6C7D80C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通过叩背帮助照护对象排出痰液；</w:t>
            </w:r>
          </w:p>
          <w:p w14:paraId="587682F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有活动性内出血、咯血、气胸、肋骨骨折、肺水肿、低气压、严重骨质疏</w:t>
            </w:r>
          </w:p>
          <w:p w14:paraId="75C352D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9" w:leftChars="14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松等，禁止背部叩击。</w:t>
            </w:r>
          </w:p>
          <w:p w14:paraId="5D05E56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长期照护师(中、高级)及具备相关资质人员</w:t>
            </w:r>
          </w:p>
          <w:p w14:paraId="6B0DBB5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10-15分钟</w:t>
            </w:r>
          </w:p>
          <w:p w14:paraId="4CD6572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7" w:beforeAutospacing="0"/>
              <w:ind w:right="0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</w:pPr>
          </w:p>
        </w:tc>
      </w:tr>
      <w:tr w14:paraId="753A0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 w:hRule="atLeast"/>
          <w:hidden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F7FBE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A2F0D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E7AA6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A38AC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F0EB78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17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7D839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AF953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B77F7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7A2D6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011D68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L0000106020010000</w:t>
            </w:r>
          </w:p>
        </w:tc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2C6F4EB3"/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B2849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7D92D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4D06D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01156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jc w:val="left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压疮预防照护及指导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835F7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8A5DE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ED2BC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541583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42" w:leftChars="20" w:right="42" w:rightChars="2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对易发生压疮的照护对象采取定时翻身、气垫减压等方法预防压疮的发生。</w:t>
            </w:r>
          </w:p>
        </w:tc>
        <w:tc>
          <w:tcPr>
            <w:tcW w:w="6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66DA61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68" w:beforeAutospacing="0"/>
              <w:ind w:left="27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3F7AC38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了解和确认照护对象压疮发生风险；</w:t>
            </w:r>
          </w:p>
          <w:p w14:paraId="3D4572B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根据照护对象风险提供预防压疮服务：定时翻身，选择合适的皮肤减压用</w:t>
            </w:r>
          </w:p>
          <w:p w14:paraId="493247E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9" w:leftChars="14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具</w:t>
            </w:r>
            <w:r>
              <w:rPr>
                <w:rFonts w:hint="eastAsia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特殊情况根据需要可适当增加翻身频次，掌握不同的翻身姿势；</w:t>
            </w:r>
          </w:p>
          <w:p w14:paraId="29393A3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保持照护对象皮肤清洁干爽，床单位整洁；</w:t>
            </w:r>
          </w:p>
          <w:p w14:paraId="2B7DAD2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与照护对象及家属沟通，提供心理支持及压疮预防护理的健康指导。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 xml:space="preserve"> </w:t>
            </w:r>
          </w:p>
          <w:p w14:paraId="46A9A0E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长期照护师(中、高级)及具备相关资质人员</w:t>
            </w:r>
          </w:p>
          <w:p w14:paraId="06E2F91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10-20分钟</w:t>
            </w:r>
          </w:p>
        </w:tc>
      </w:tr>
      <w:tr w14:paraId="67C6E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2" w:hRule="atLeast"/>
          <w:hidden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C373B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64002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30832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D5E6E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322037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18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B59B8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A8808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CE877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C191D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F6A015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L0000106030010000</w:t>
            </w:r>
          </w:p>
        </w:tc>
        <w:tc>
          <w:tcPr>
            <w:tcW w:w="11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775B476"/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04BBF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63FA9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B3DA4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9C0C8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6D329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协助给药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B38BC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7283D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A3473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DA784E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8" w:beforeAutospacing="0" w:line="240" w:lineRule="auto"/>
              <w:ind w:left="48" w:leftChars="23" w:right="48" w:rightChars="23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遵医嘱，协助照护对象使用药物(含中药贴敷制剂)。</w:t>
            </w:r>
          </w:p>
        </w:tc>
        <w:tc>
          <w:tcPr>
            <w:tcW w:w="6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B2D12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CC8EC9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7302B91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了解照护对象病情、合作程度、意识状态。评估环境温度，注意保暖、保</w:t>
            </w:r>
          </w:p>
          <w:p w14:paraId="7ACCBED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9" w:leftChars="14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护隐私；</w:t>
            </w:r>
          </w:p>
          <w:p w14:paraId="000D4E2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使用药品时应核对医嘱并向家属确认照护对象所用的药品名称、剂量、途</w:t>
            </w:r>
          </w:p>
          <w:p w14:paraId="41B83A5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9" w:leftChars="14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径、时间等信息，遵医嘱给药(含外用药)；</w:t>
            </w:r>
          </w:p>
          <w:p w14:paraId="0BC35F9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观察照护对象的用药反应，做好记录。</w:t>
            </w:r>
          </w:p>
          <w:p w14:paraId="216261A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长期照护师(高级)及具备相关资质人员</w:t>
            </w:r>
          </w:p>
          <w:p w14:paraId="60F603A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5-10分钟</w:t>
            </w:r>
          </w:p>
        </w:tc>
      </w:tr>
    </w:tbl>
    <w:p w14:paraId="32825D69">
      <w:pPr>
        <w:rPr>
          <w:rFonts w:ascii="Arial" w:hAnsi="Calibri" w:eastAsia="宋体" w:cs="Times New Roman"/>
          <w:kern w:val="2"/>
          <w:sz w:val="21"/>
          <w:szCs w:val="21"/>
        </w:rPr>
      </w:pPr>
    </w:p>
    <w:p w14:paraId="33D73D01">
      <w:pPr>
        <w:sectPr>
          <w:pgSz w:w="16830" w:h="11900"/>
          <w:pgMar w:top="1011" w:right="1991" w:bottom="400" w:left="1015" w:header="0" w:footer="0" w:gutter="0"/>
          <w:cols w:space="425" w:num="1"/>
          <w:docGrid w:linePitch="285" w:charSpace="0"/>
        </w:sectPr>
      </w:pPr>
    </w:p>
    <w:p w14:paraId="53E66585">
      <w:pPr>
        <w:spacing w:before="31" w:beforeAutospacing="0"/>
        <w:ind w:left="218" w:leftChars="104" w:firstLine="0"/>
        <w:rPr>
          <w:rFonts w:ascii="Calibri" w:hAnsi="Calibri" w:eastAsia="宋体" w:cs="Times New Roman"/>
          <w:vanish w:val="0"/>
          <w:kern w:val="2"/>
          <w:sz w:val="21"/>
          <w:szCs w:val="21"/>
        </w:rPr>
      </w:pPr>
    </w:p>
    <w:tbl>
      <w:tblPr>
        <w:tblStyle w:val="11"/>
        <w:tblW w:w="12968" w:type="dxa"/>
        <w:tblInd w:w="9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1685"/>
        <w:gridCol w:w="1171"/>
        <w:gridCol w:w="1367"/>
        <w:gridCol w:w="2081"/>
        <w:gridCol w:w="6148"/>
      </w:tblGrid>
      <w:tr w14:paraId="17195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hidden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8F847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6555D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项自代码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7F865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FBB67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58FC8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6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C584B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2283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 w:hRule="atLeast"/>
          <w:hidden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BD410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EAC9B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577F1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DE6569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19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0E415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8A895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50823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B08432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ascii="宋体" w:hAnsi="宋体" w:eastAsia="宋体"/>
                <w:vanish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L0000107010010000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67E7F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46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AF0F0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48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443168B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51" w:right="0"/>
              <w:jc w:val="left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7.</w:t>
            </w: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生命体征监测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CB1A0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70F44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552E7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781C3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生命体征测量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105D9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4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4E38E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48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7E2417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测量照护对象体温、脉搏、呼吸、血压并记录。</w:t>
            </w:r>
          </w:p>
        </w:tc>
        <w:tc>
          <w:tcPr>
            <w:tcW w:w="6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6FD267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6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5D2A486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调整照护对象至正确体位，测量部位正确；</w:t>
            </w:r>
          </w:p>
          <w:p w14:paraId="60BC56B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为照护对象准确测量体温、脉搏、呼吸、血压等，并做好记录；</w:t>
            </w:r>
          </w:p>
          <w:p w14:paraId="453AFA8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测量发现异常及时报告。</w:t>
            </w:r>
          </w:p>
          <w:p w14:paraId="3F46877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长期照护师及具备相关资质人员</w:t>
            </w:r>
          </w:p>
          <w:p w14:paraId="56D6EE3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5-10分钟</w:t>
            </w:r>
          </w:p>
        </w:tc>
      </w:tr>
      <w:tr w14:paraId="3BDC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0" w:hRule="atLeast"/>
          <w:hidden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BEAF1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B03F4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FDA39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C5918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2FD331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20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5FC1F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E99CA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1EBEA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CE2FD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F91113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0"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L0000108010010000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F99B2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D30C6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322B7F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307343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6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1B52103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"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8.安全护理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8676F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3DC2E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76F97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1471C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8" w:lineRule="auto"/>
              <w:ind w:left="0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安全防护及指导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D4A9E5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C7C15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3CDC7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3A4D44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57" w:right="21" w:rightChars="1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根据照护对象的病情、意识、 活动能力、生理机能、家庭环境等，对照护对象及其家属进行安全方面的防护和指导。</w:t>
            </w:r>
          </w:p>
        </w:tc>
        <w:tc>
          <w:tcPr>
            <w:tcW w:w="6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DDE73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DBD37C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6D44551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根据病情、意识、活动能力、生理机能、家庭环境等，做好照护对象及家</w:t>
            </w:r>
          </w:p>
          <w:p w14:paraId="438AAAB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9" w:leftChars="14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属应对意外发生的应急预案指导；</w:t>
            </w:r>
          </w:p>
          <w:p w14:paraId="20EF6E5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指导照护对象学习跌倒、坠床、噎呛、误吸、窒息、烫伤、误食、错服药</w:t>
            </w:r>
          </w:p>
          <w:p w14:paraId="60F944F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9" w:leftChars="14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物等意外相关防护知识及应急处理方法；</w:t>
            </w:r>
          </w:p>
          <w:p w14:paraId="5599001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  <w:t>指导照护对象或其家属使用合适的安全保护用具。</w:t>
            </w:r>
          </w:p>
          <w:p w14:paraId="3332154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  <w:t>长期照护师(中、高级)及具备相关资质人员</w:t>
            </w:r>
          </w:p>
          <w:p w14:paraId="1A7593F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beforeAutospacing="0"/>
              <w:ind w:left="21" w:leftChars="10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  <w:t>10-20分钟</w:t>
            </w:r>
          </w:p>
        </w:tc>
      </w:tr>
    </w:tbl>
    <w:p w14:paraId="7B7EFA29">
      <w:pPr>
        <w:rPr>
          <w:rFonts w:ascii="Arial" w:hAnsi="Calibri" w:eastAsia="宋体" w:cs="Times New Roman"/>
          <w:kern w:val="2"/>
          <w:sz w:val="21"/>
          <w:szCs w:val="21"/>
        </w:rPr>
      </w:pPr>
    </w:p>
    <w:p w14:paraId="2E30D40D">
      <w:pPr>
        <w:sectPr>
          <w:pgSz w:w="16830" w:h="11900"/>
          <w:pgMar w:top="1011" w:right="1990" w:bottom="400" w:left="1015" w:header="0" w:footer="0" w:gutter="0"/>
          <w:cols w:space="425" w:num="1"/>
          <w:docGrid w:linePitch="285" w:charSpace="0"/>
        </w:sectPr>
      </w:pPr>
    </w:p>
    <w:p w14:paraId="58A1162F">
      <w:pPr>
        <w:spacing w:line="281" w:lineRule="auto"/>
        <w:rPr>
          <w:rFonts w:ascii="Arial" w:hAnsi="Calibri" w:eastAsia="宋体" w:cs="Times New Roman"/>
          <w:vanish w:val="0"/>
          <w:kern w:val="2"/>
          <w:sz w:val="21"/>
          <w:szCs w:val="21"/>
        </w:rPr>
      </w:pPr>
    </w:p>
    <w:p w14:paraId="471A798B">
      <w:pPr>
        <w:spacing w:before="143" w:beforeAutospacing="0"/>
        <w:ind w:left="2769"/>
        <w:rPr>
          <w:rFonts w:hint="eastAsia" w:ascii="方正小标宋简体" w:hAnsi="方正小标宋简体" w:eastAsia="方正小标宋简体" w:cs="方正小标宋简体"/>
          <w:b w:val="0"/>
          <w:bCs w:val="0"/>
          <w:vanish w:val="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vanish w:val="0"/>
          <w:spacing w:val="12"/>
          <w:kern w:val="2"/>
          <w:sz w:val="36"/>
          <w:szCs w:val="36"/>
        </w:rPr>
        <w:t>宁夏回族自治区长期护理保险服务项目目录(医疗护理类)</w:t>
      </w:r>
    </w:p>
    <w:p w14:paraId="2BE365A4">
      <w:pPr>
        <w:spacing w:before="14" w:beforeAutospacing="0"/>
        <w:rPr>
          <w:rFonts w:ascii="Calibri" w:hAnsi="Calibri" w:eastAsia="宋体" w:cs="Times New Roman"/>
          <w:vanish w:val="0"/>
          <w:kern w:val="2"/>
          <w:sz w:val="21"/>
          <w:szCs w:val="21"/>
        </w:rPr>
      </w:pPr>
    </w:p>
    <w:tbl>
      <w:tblPr>
        <w:tblStyle w:val="11"/>
        <w:tblpPr w:leftFromText="180" w:rightFromText="180" w:vertAnchor="text" w:horzAnchor="page" w:tblpX="1987" w:tblpY="182"/>
        <w:tblOverlap w:val="never"/>
        <w:tblW w:w="12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1577"/>
        <w:gridCol w:w="1306"/>
        <w:gridCol w:w="1315"/>
        <w:gridCol w:w="2108"/>
        <w:gridCol w:w="6071"/>
      </w:tblGrid>
      <w:tr w14:paraId="0175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hidden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41EDE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6D799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519A4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F0EA5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FBDED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6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4F673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23" w:right="0" w:firstLine="3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38EB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  <w:hidden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FF2ED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C4446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9C10F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1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EECA1B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0937A6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37EC72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3B2A2E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83C893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L0000201010010000</w:t>
            </w:r>
          </w:p>
        </w:tc>
        <w:tc>
          <w:tcPr>
            <w:tcW w:w="1306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7AF18A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3763C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E078B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6AE5E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C02DB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16705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2F594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F79C8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367675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147957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BBCCC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4A5E7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BA38F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jc w:val="left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C40096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28" w:right="0"/>
              <w:jc w:val="left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1.一般检查护理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66827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A6D4D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3B106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8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9D88C8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32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吸痰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86C0B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5" w:lineRule="auto"/>
              <w:ind w:left="0" w:right="0"/>
              <w:jc w:val="center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5174FE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通过导管吸出照护对象气   道及口腔的分泌物或异物， 达到保持呼吸道通畅的目  的。包括核对信息、连接、 调节、抽吸、清洗、观察、 记录、处理用物等。</w:t>
            </w:r>
          </w:p>
        </w:tc>
        <w:tc>
          <w:tcPr>
            <w:tcW w:w="6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53E2C5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8" w:beforeAutospacing="0"/>
              <w:ind w:left="28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相关服务要求：</w:t>
            </w:r>
          </w:p>
          <w:p w14:paraId="08E45C2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吸痰前做好核对和解释工作，检查吸痰设备，确保设备处于良好状态；</w:t>
            </w:r>
          </w:p>
          <w:p w14:paraId="147982C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按照吸痰操作规范执行，清除气道及口腔分泌物；</w:t>
            </w:r>
          </w:p>
          <w:p w14:paraId="7E01D39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吸痰过程中，注意观察照护对象的反应，避免过度吸引引起不适或损伤；</w:t>
            </w:r>
          </w:p>
          <w:p w14:paraId="4CD50A0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吸痰后使用生理盐水清洁吸痰管，防止分泌物残留和管道堵塞；</w:t>
            </w:r>
          </w:p>
          <w:p w14:paraId="1F80471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 xml:space="preserve">对长期需要吸痰的照护对象，进行定期的口腔护理。 </w:t>
            </w:r>
          </w:p>
          <w:p w14:paraId="41C4864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长期照护师及具备相关资质人员</w:t>
            </w:r>
          </w:p>
          <w:p w14:paraId="442E8CD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具体时间根据照护对象实际情况</w:t>
            </w:r>
          </w:p>
        </w:tc>
      </w:tr>
      <w:tr w14:paraId="4F2F3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  <w:hidden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054EB3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74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9136B5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74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0FD80C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74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F00B3E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E5C1B1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0D4DD8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B457BC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885E6E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L0000201020010000</w:t>
            </w:r>
          </w:p>
        </w:tc>
        <w:tc>
          <w:tcPr>
            <w:tcW w:w="130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54A90BCA"/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C439E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BC50A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6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55C64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8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948A5D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32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氧气吸入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90B94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231B5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35D82A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遵医嘱通过吸入氧气，达到改善组织缺氧的目的。包括核对信息、连接、调节、固定、观察、记录、处理用物等。</w:t>
            </w:r>
          </w:p>
        </w:tc>
        <w:tc>
          <w:tcPr>
            <w:tcW w:w="6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12389F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98" w:beforeAutospacing="0"/>
              <w:ind w:left="29" w:leftChars="14" w:right="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0E953939">
            <w:pPr>
              <w:pStyle w:val="19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帮助照护对象正确佩戴鼻导管或面罩，根据医嘱调整氧气流量和浓度，达</w:t>
            </w:r>
          </w:p>
          <w:p w14:paraId="2DAAD27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45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到改善组织缺氧的目的；</w:t>
            </w:r>
          </w:p>
          <w:p w14:paraId="27C2B8E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在氧疗过程中监测照护对象的生命体征和血氧饱和度，及时调整氧气流量；</w:t>
            </w:r>
          </w:p>
          <w:p w14:paraId="4B274AA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记录每次吸氧时间、流量和照护对象反应；</w:t>
            </w:r>
          </w:p>
          <w:p w14:paraId="613D845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 xml:space="preserve">为使用鼻导管的照护对象提供定期的口腔和鼻腔护理。 </w:t>
            </w:r>
          </w:p>
          <w:p w14:paraId="65CF9E9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长期照护师及具备相关资质人员</w:t>
            </w:r>
          </w:p>
          <w:p w14:paraId="3026DB3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beforeAutospacing="0"/>
              <w:ind w:left="29" w:leftChars="14" w:right="0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具体时间根据照护对象实际情况</w:t>
            </w:r>
          </w:p>
        </w:tc>
      </w:tr>
      <w:tr w14:paraId="1BE8C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  <w:hidden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E48FAD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74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4F3A7D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74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3575FD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74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1D934A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74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E2DA1D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74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F5B27B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F02C3D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0F9422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CDCEE2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6E7938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EB9EA7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C8DC74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L0000201030010000</w:t>
            </w:r>
          </w:p>
        </w:tc>
        <w:tc>
          <w:tcPr>
            <w:tcW w:w="13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9E1B191"/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CD96B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26B34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892E8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2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D50CE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778E2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4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1BA6A9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32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常规换药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AA05ED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通过对常规有创伤口(指符 合下列任一情况者：清洁或 污染伤口、缝合10针以内伤口拆线、慢性创面直径或长度2厘米-5厘米(含5厘米) 伤口拆线、单个压疮、深静脉置管伤口、有引流管的伤口等)进行处理，达到预防和控制感染、促进伤口愈合的目的。包括检查伤口、清洁、消毒、更换敷料、包扎固定，必要时拆线等。</w:t>
            </w:r>
          </w:p>
        </w:tc>
        <w:tc>
          <w:tcPr>
            <w:tcW w:w="6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10A8D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57F16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A08FE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FC58F0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28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08452AB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45" w:right="0" w:firstLine="88" w:firstLineChars="5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</w:t>
            </w:r>
            <w:r>
              <w:rPr>
                <w:rFonts w:hint="eastAsia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" w:bidi="ar-SA"/>
              </w:rPr>
              <w:t>1</w:t>
            </w: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遵医嘱选择合适的敷料及清创消毒溶液，严格执行无菌操作为照护对象完成拆线、伤口外敷药、换药等；</w:t>
            </w:r>
          </w:p>
          <w:p w14:paraId="1B8C459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right="0" w:firstLine="88" w:firstLineChars="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 xml:space="preserve">换药区域顺序依次为：清洁伤口、污染伤口，最后为感染伤口。 </w:t>
            </w:r>
          </w:p>
          <w:p w14:paraId="6AD263E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长期照护师(高级)及具备相关资质人员</w:t>
            </w:r>
          </w:p>
          <w:p w14:paraId="506BCCE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20-30分钟</w:t>
            </w:r>
          </w:p>
        </w:tc>
      </w:tr>
    </w:tbl>
    <w:p w14:paraId="403F2CF6">
      <w:pPr>
        <w:spacing w:before="13" w:beforeAutospacing="0"/>
        <w:rPr>
          <w:rFonts w:ascii="Calibri" w:hAnsi="Calibri" w:eastAsia="宋体" w:cs="Times New Roman"/>
          <w:vanish w:val="0"/>
          <w:kern w:val="2"/>
          <w:sz w:val="21"/>
          <w:szCs w:val="21"/>
        </w:rPr>
      </w:pPr>
    </w:p>
    <w:p w14:paraId="2CCBE298">
      <w:pPr>
        <w:rPr>
          <w:rFonts w:ascii="Arial" w:hAnsi="Calibri" w:eastAsia="宋体" w:cs="Times New Roman"/>
          <w:kern w:val="2"/>
          <w:sz w:val="21"/>
          <w:szCs w:val="21"/>
        </w:rPr>
      </w:pPr>
    </w:p>
    <w:p w14:paraId="789ACC56">
      <w:pPr>
        <w:sectPr>
          <w:pgSz w:w="16830" w:h="11900"/>
          <w:pgMar w:top="1011" w:right="1990" w:bottom="400" w:left="1016" w:header="0" w:footer="0" w:gutter="0"/>
          <w:cols w:space="425" w:num="1"/>
          <w:docGrid w:linePitch="285" w:charSpace="0"/>
        </w:sectPr>
      </w:pPr>
    </w:p>
    <w:p w14:paraId="34C3A6EB">
      <w:pPr>
        <w:spacing w:line="23" w:lineRule="exact"/>
        <w:rPr>
          <w:rFonts w:ascii="Calibri" w:hAnsi="Calibri" w:eastAsia="宋体" w:cs="Times New Roman"/>
          <w:vanish w:val="0"/>
          <w:kern w:val="2"/>
          <w:sz w:val="21"/>
          <w:szCs w:val="21"/>
        </w:rPr>
      </w:pPr>
    </w:p>
    <w:tbl>
      <w:tblPr>
        <w:tblStyle w:val="11"/>
        <w:tblW w:w="12878" w:type="dxa"/>
        <w:tblInd w:w="1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3"/>
        <w:gridCol w:w="1576"/>
        <w:gridCol w:w="1318"/>
        <w:gridCol w:w="1317"/>
        <w:gridCol w:w="2106"/>
        <w:gridCol w:w="6078"/>
      </w:tblGrid>
      <w:tr w14:paraId="6068F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hidden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4C6409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3" w:beforeAutospacing="0"/>
              <w:ind w:left="44" w:right="0"/>
              <w:jc w:val="both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E0015A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3" w:beforeAutospacing="0"/>
              <w:ind w:left="44" w:right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041576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3" w:beforeAutospacing="0"/>
              <w:ind w:left="44" w:right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7A986A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3" w:beforeAutospacing="0"/>
              <w:ind w:left="44" w:right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EB8F47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3" w:beforeAutospacing="0"/>
              <w:ind w:left="44" w:right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6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5A489D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3" w:beforeAutospacing="0"/>
              <w:ind w:left="44" w:right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586A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6" w:hRule="atLeast"/>
          <w:hidden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E01B73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5B09A8D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C99F2C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076BC07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F439A11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E08DDA0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E44642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15EC1E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75A91F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76E2EE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FFF86D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AC3D59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489B9F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L0000201040010000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42B1BD57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8055E23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D4B96D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700D665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60B685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72836F5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5DB1A38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C23F05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B9A36AB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607B81B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B4689BD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2D1CD69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4131675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3EDE0C5F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4236A74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ACD3DA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325C79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31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1.一般检查护理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96854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6D689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D03D5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324AC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CC073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86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236B67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3" w:beforeAutospacing="0"/>
              <w:ind w:left="44" w:right="0"/>
              <w:jc w:val="both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雾化吸入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9028F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2C64A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018C4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2483CE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遵医嘱通过各种雾化装置   将药物以气雾状喷出，吸入  气道，达到稀化痰液、消炎祛痰的目的。包括核对信息、配制药物、连接、调节、 吸入、观察、记录、处理用物等。</w:t>
            </w:r>
          </w:p>
        </w:tc>
        <w:tc>
          <w:tcPr>
            <w:tcW w:w="6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D5034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6BE80F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35"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相关服务要求：</w:t>
            </w:r>
          </w:p>
          <w:p w14:paraId="7D8D24A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遵医嘱，了解照护对象病情及呼吸系统状况，根据疾病、用药及减轻不良反</w:t>
            </w:r>
          </w:p>
          <w:p w14:paraId="06F599E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595" w:right="0" w:hanging="55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应的要求选择适宜的雾化设备，并告知照护对象雾化吸入治疗的整个流程，缓</w:t>
            </w:r>
          </w:p>
          <w:p w14:paraId="2593263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595" w:right="0" w:hanging="55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解照护对象的紧张情绪；</w:t>
            </w:r>
          </w:p>
          <w:p w14:paraId="1CB60E9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每次雾化用量遵医嘱，控制一次雾化时间在15-20分钟。用无菌注射器配制</w:t>
            </w:r>
          </w:p>
          <w:p w14:paraId="7BECB26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595" w:right="0" w:hanging="55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药物，注入各种雾化装置，连接雾化设备与雾化装置和管路，定时调节雾量，</w:t>
            </w:r>
          </w:p>
          <w:p w14:paraId="14090D5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595" w:right="0" w:hanging="55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嘱其用口慢而深地吸气，正常呼气；</w:t>
            </w:r>
          </w:p>
          <w:p w14:paraId="3B798B7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雾化装置专人专用，雾化后嘱其漱口，避免引起口腔霉菌的感染；</w:t>
            </w:r>
          </w:p>
          <w:p w14:paraId="331B1A9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 xml:space="preserve">协助照护对象排痰，处理用物，评价雾化效果并记录。 </w:t>
            </w:r>
          </w:p>
          <w:p w14:paraId="16A581C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长期照护师及具备相关资质人员</w:t>
            </w:r>
          </w:p>
          <w:p w14:paraId="51B7DB7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15-20分钟</w:t>
            </w:r>
          </w:p>
        </w:tc>
      </w:tr>
      <w:tr w14:paraId="3E632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 w:hRule="atLeast"/>
          <w:hidden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830F5C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B2BC27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3E5ED7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206DD5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0ACB79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F7BCCB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53D446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A54951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A830D5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C9256D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L0000201050010000</w:t>
            </w: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6E955168"/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3AD2D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56349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D6911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3B17E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F1E573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33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灌肠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481F9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93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9B171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93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CBC037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灌入灌肠液，达到解除便秘等目的。包括核对信息、体位摆放、润滑、插入、注入、拔出、观察、记录、处理用物等。</w:t>
            </w:r>
          </w:p>
        </w:tc>
        <w:tc>
          <w:tcPr>
            <w:tcW w:w="6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AD5A3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48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4E15336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7602914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了解照护对象病情及腹胀程度等，排空膀胱；</w:t>
            </w:r>
          </w:p>
          <w:p w14:paraId="2640531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hanging="550"/>
              <w:rPr>
                <w:rFonts w:ascii="宋体" w:hAnsi="宋体" w:eastAsia="宋体" w:cs="宋体"/>
                <w:vanish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遵医嘱，备灌肠装置，润滑肛管前端，嘱照护对象深呼吸，插入肛管适宜深</w:t>
            </w:r>
          </w:p>
          <w:p w14:paraId="3660FC6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beforeAutospacing="0" w:line="180" w:lineRule="exact"/>
              <w:ind w:left="21" w:leftChars="1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度，并固定；</w:t>
            </w:r>
          </w:p>
          <w:p w14:paraId="64F3FB1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 xml:space="preserve">嘱照护对象按规定时间排便，协助照护对象恢复舒适体位。 </w:t>
            </w:r>
          </w:p>
          <w:p w14:paraId="34A4623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达到相应技能要求的照护人员</w:t>
            </w:r>
          </w:p>
          <w:p w14:paraId="236BDC9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20-30分钟</w:t>
            </w:r>
          </w:p>
        </w:tc>
      </w:tr>
      <w:tr w14:paraId="6DCB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2" w:hRule="atLeast"/>
          <w:hidden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339EE9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BF38C1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CA0D72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73FD04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0B536E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D2D889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E35668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7E0774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63DB7E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8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74D8EC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L0000201060010000</w:t>
            </w: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F35987B"/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216FE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1C0D1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81939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66F90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2E20EE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33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置管(胃管)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66ED3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A098C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9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29FC442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通过人体自然腔道，插至胃 内，完成胃管的置入。包括  核对信息、清洁腔道、测量、 润滑、置管、定位、固定、 标记等。</w:t>
            </w:r>
          </w:p>
        </w:tc>
        <w:tc>
          <w:tcPr>
            <w:tcW w:w="6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ACF4A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90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85B8FF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130DB87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置管前做好核对和解释工作，了解照护对象病情及合作程度；</w:t>
            </w:r>
          </w:p>
          <w:p w14:paraId="15C7ABA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hanging="550"/>
              <w:rPr>
                <w:rFonts w:ascii="宋体" w:hAnsi="宋体" w:eastAsia="宋体" w:cs="宋体"/>
                <w:vanish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遵医嘱，取适当体位，选择并清洁口/鼻腔，测量插入深度，润滑胃管前端，</w:t>
            </w:r>
          </w:p>
          <w:p w14:paraId="4E3AFBA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beforeAutospacing="0" w:line="180" w:lineRule="exact"/>
              <w:ind w:left="21" w:leftChars="1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插入胃管，检查照护对象口/鼻腔情况，确认胃管位置，固定并作标记；</w:t>
            </w:r>
          </w:p>
          <w:p w14:paraId="6C47574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hanging="550"/>
              <w:rPr>
                <w:rFonts w:ascii="宋体" w:hAnsi="宋体" w:eastAsia="宋体" w:cs="宋体"/>
                <w:vanish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协助照护对象采取舒适体位，观察照护对象反应，处理用物，洗手，记录，</w:t>
            </w:r>
          </w:p>
          <w:p w14:paraId="6E491B9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beforeAutospacing="0" w:line="180" w:lineRule="exact"/>
              <w:ind w:left="21" w:leftChars="1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做好健康教育及心理护理。</w:t>
            </w:r>
          </w:p>
          <w:p w14:paraId="5FDC9B8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达到相应技能要求的照护人员</w:t>
            </w:r>
          </w:p>
          <w:p w14:paraId="758B6D0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10-15分钟</w:t>
            </w:r>
          </w:p>
        </w:tc>
      </w:tr>
    </w:tbl>
    <w:p w14:paraId="7DF3E0DB">
      <w:pPr>
        <w:rPr>
          <w:rFonts w:ascii="Arial" w:hAnsi="Calibri" w:eastAsia="宋体" w:cs="Times New Roman"/>
          <w:kern w:val="2"/>
          <w:sz w:val="21"/>
          <w:szCs w:val="21"/>
        </w:rPr>
      </w:pPr>
    </w:p>
    <w:p w14:paraId="7163861A">
      <w:pPr>
        <w:sectPr>
          <w:pgSz w:w="16830" w:h="11900"/>
          <w:pgMar w:top="1011" w:right="2054" w:bottom="400" w:left="998" w:header="0" w:footer="0" w:gutter="0"/>
          <w:cols w:space="425" w:num="1"/>
          <w:docGrid w:linePitch="285" w:charSpace="0"/>
        </w:sectPr>
      </w:pPr>
    </w:p>
    <w:tbl>
      <w:tblPr>
        <w:tblStyle w:val="11"/>
        <w:tblpPr w:leftFromText="180" w:rightFromText="180" w:vertAnchor="text" w:horzAnchor="page" w:tblpX="2023" w:tblpY="132"/>
        <w:tblOverlap w:val="never"/>
        <w:tblW w:w="127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1565"/>
        <w:gridCol w:w="1341"/>
        <w:gridCol w:w="1283"/>
        <w:gridCol w:w="2094"/>
        <w:gridCol w:w="5953"/>
      </w:tblGrid>
      <w:tr w14:paraId="2F58E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hidden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FC4D48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3" w:beforeAutospacing="0"/>
              <w:ind w:left="44" w:right="0"/>
              <w:jc w:val="both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6E30D7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2" w:beforeAutospacing="0"/>
              <w:ind w:left="421" w:right="0"/>
              <w:jc w:val="both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DB5FBD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2" w:beforeAutospacing="0"/>
              <w:ind w:left="302" w:right="0"/>
              <w:jc w:val="both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C250EE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3" w:beforeAutospacing="0"/>
              <w:ind w:left="293" w:right="0"/>
              <w:jc w:val="both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D99DE0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22" w:beforeAutospacing="0"/>
              <w:ind w:left="713" w:right="0"/>
              <w:jc w:val="both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03A05A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18" w:beforeAutospacing="0"/>
              <w:ind w:left="558" w:right="0"/>
              <w:jc w:val="both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3F34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3" w:hRule="atLeast"/>
          <w:hidden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97DC10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FAA4DD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B1DC11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E11B01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1D478D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7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5969C6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972C57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56D777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86096F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422EF2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L0000201070010000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E4CA8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2A389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760FE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EECAF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8B0F6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4658FCD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1.一般检查护理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291C4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6496E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5F070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2225D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AFCA9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D75B63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0" w:right="0"/>
              <w:jc w:val="right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导尿(留置导尿)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EFF24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5E308B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E290D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02" w:lineRule="auto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F72EC3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通过临床操作，达到引流尿液或检查膀胱功能的目的。包括核对信息、消毒、润滑、导尿管插入、固定、引流(含留取标本)、观察、记录、处理用物等。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BBD1CD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beforeAutospacing="0"/>
              <w:ind w:left="21" w:leftChars="10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相关服务要求：</w:t>
            </w:r>
          </w:p>
          <w:p w14:paraId="7A143CC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核对医嘱，确定照护对象的基本情况，选择采取间歇性导尿或留置性导尿；</w:t>
            </w:r>
          </w:p>
          <w:p w14:paraId="3BDE3B7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导尿全程严格无菌，避免感染，使用合适的操作体位和润滑剂，减轻照护</w:t>
            </w:r>
          </w:p>
          <w:p w14:paraId="511DC5C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1" w:leftChars="1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对象的不适感；</w:t>
            </w:r>
          </w:p>
          <w:p w14:paraId="325C10D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定期检查导尿管和尿袋，确保无泄漏、堵塞或感染迹象，并定期更换耗材。</w:t>
            </w:r>
          </w:p>
          <w:p w14:paraId="546FEA8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1" w:leftChars="1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间歇性导尿需确定操作间隔，做好尿道口护理和与照护对象的沟通；</w:t>
            </w:r>
          </w:p>
          <w:p w14:paraId="1F5A665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操作结束后，做好清洁工作；</w:t>
            </w:r>
          </w:p>
          <w:p w14:paraId="342C717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留置导尿时，指导家属在尿袋内尿液量达到2/3满时及时放出尿液。排空</w:t>
            </w:r>
          </w:p>
          <w:p w14:paraId="6EA3D37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1" w:leftChars="1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尿袋前，需仔细观察尿液颜色及透明度，若发现尿液异常，如颜色过深、浑浊、有沉淀或结晶等，应及时上报；</w:t>
            </w:r>
          </w:p>
          <w:p w14:paraId="1C938CF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(6)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 xml:space="preserve">根据病情需要，还应准确记录每次排出的尿量。 </w:t>
            </w:r>
          </w:p>
          <w:p w14:paraId="4D21F9C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达到相应技能要求的照护人员</w:t>
            </w:r>
          </w:p>
          <w:p w14:paraId="6437207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15-20分钟</w:t>
            </w:r>
          </w:p>
        </w:tc>
      </w:tr>
      <w:tr w14:paraId="3D35D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  <w:hidden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737970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C8ED44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0418FB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E89090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C8898C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DCBAA4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L0000202010010000</w:t>
            </w:r>
          </w:p>
        </w:tc>
        <w:tc>
          <w:tcPr>
            <w:tcW w:w="1341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5BCFC2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0A676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1D2D88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454C78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F6206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325041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583C3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751E0A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8C265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47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7BE1B5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1"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2.基础护理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AF487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1BA51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6D318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69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CC3ED3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快速血糖测定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E35EA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4C867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74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645C6DD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jc w:val="left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核对照护对象信息，采集指血</w:t>
            </w:r>
            <w:r>
              <w:rPr>
                <w:rFonts w:hint="eastAsia" w:cs="宋体"/>
                <w:vanish w:val="0"/>
                <w:spacing w:val="0"/>
                <w:w w:val="98"/>
                <w:kern w:val="2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用血糖仪测结果，按规定处理废物。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9D535A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beforeAutospacing="0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268597B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快速、方便地测量血糖；</w:t>
            </w:r>
          </w:p>
          <w:p w14:paraId="76B1B7E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将结果告知照护对象或家属，记录血糖数值；</w:t>
            </w:r>
          </w:p>
          <w:p w14:paraId="62C90CD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对需要长期监测血糖的照护对象，应轮换采血部位，并指导照护对象血糖</w:t>
            </w:r>
          </w:p>
          <w:p w14:paraId="48B612A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1" w:leftChars="1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监测的方法。</w:t>
            </w:r>
          </w:p>
          <w:p w14:paraId="4AF6951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10" w:leftChars="5" w:right="1225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长期照护师及具备相关资质人员</w:t>
            </w:r>
          </w:p>
          <w:p w14:paraId="116E4CF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10" w:leftChars="5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3-5分钟</w:t>
            </w:r>
          </w:p>
        </w:tc>
      </w:tr>
      <w:tr w14:paraId="1090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2" w:hRule="atLeast"/>
          <w:hidden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5148D2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67554C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72A39B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4FB841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41F69E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9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4C6043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865BE4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D282A6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DB7093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0F4642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L0000202020010000</w:t>
            </w:r>
          </w:p>
        </w:tc>
        <w:tc>
          <w:tcPr>
            <w:tcW w:w="13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DC95BE0"/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5D246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39E77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318C0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CA22A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E982B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7" w:lineRule="auto"/>
              <w:ind w:left="0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E1D36B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13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一般物理降温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2B2BB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0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72FE9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310" w:lineRule="auto"/>
              <w:ind w:left="0" w:right="0"/>
              <w:jc w:val="left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117C67D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right="0"/>
              <w:jc w:val="left"/>
              <w:rPr>
                <w:rFonts w:hint="eastAsia" w:ascii="宋体" w:hAnsi="宋体" w:eastAsia="宋体" w:cs="宋体"/>
                <w:vanish w:val="0"/>
                <w:kern w:val="2"/>
                <w:sz w:val="18"/>
                <w:szCs w:val="18"/>
              </w:rPr>
            </w:pPr>
          </w:p>
          <w:p w14:paraId="77DBF8B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jc w:val="left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通过物理方法，达到降温目的。包括核对信息、放置用品或局部皮肤擦拭、观察、记录、处理用物等。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743A92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71" w:beforeAutospacing="0"/>
              <w:ind w:left="28" w:right="0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7AEA317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根据照护对象情况选择适合的物理降温方式；</w:t>
            </w:r>
          </w:p>
          <w:p w14:paraId="2E9B4CE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观察局部血液循环和体温变化情况。重点观察照护对象皮肤状况，如照护</w:t>
            </w:r>
          </w:p>
          <w:p w14:paraId="29AD6BB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1" w:leftChars="10" w:right="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对象发生皮肤苍白、青紫或者有麻木感时，应立即停止使用，防止冻伤发生；</w:t>
            </w:r>
          </w:p>
          <w:p w14:paraId="6A89DA4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物理降温时，应当避开照护对象的枕后、耳廓、心前区、腹部、阴囊(男</w:t>
            </w:r>
          </w:p>
          <w:p w14:paraId="3BB9DA7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1" w:leftChars="1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性)及足底部位；</w:t>
            </w:r>
          </w:p>
          <w:p w14:paraId="17C8839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指导家属掌握物理降温方法，观察降温效果；</w:t>
            </w:r>
          </w:p>
          <w:p w14:paraId="1B9299D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对于机构照护，及时记录体温和病情的变化，告知家属，必要时与医师沟</w:t>
            </w:r>
          </w:p>
          <w:p w14:paraId="3B21B65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21" w:leftChars="1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通。</w:t>
            </w:r>
          </w:p>
          <w:p w14:paraId="6276BA0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10" w:leftChars="5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长期照护师及具备相关资质人员</w:t>
            </w:r>
          </w:p>
          <w:p w14:paraId="7D25F04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10" w:leftChars="5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10-20分钟</w:t>
            </w:r>
          </w:p>
        </w:tc>
      </w:tr>
    </w:tbl>
    <w:p w14:paraId="22BE2F79">
      <w:pPr>
        <w:sectPr>
          <w:pgSz w:w="16830" w:h="11900"/>
          <w:pgMar w:top="1576" w:right="1972" w:bottom="1786" w:left="1321" w:header="0" w:footer="0" w:gutter="0"/>
          <w:cols w:space="425" w:num="1"/>
          <w:docGrid w:linePitch="285" w:charSpace="0"/>
        </w:sectPr>
      </w:pPr>
    </w:p>
    <w:tbl>
      <w:tblPr>
        <w:tblStyle w:val="11"/>
        <w:tblW w:w="12730" w:type="dxa"/>
        <w:tblInd w:w="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1569"/>
        <w:gridCol w:w="1339"/>
        <w:gridCol w:w="1289"/>
        <w:gridCol w:w="2118"/>
        <w:gridCol w:w="5950"/>
      </w:tblGrid>
      <w:tr w14:paraId="275B4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hidden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EE6165B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456AB4C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B6F1C00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EA09747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E5E9841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4104209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032AD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  <w:hidden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9A05A5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D9DB65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36A985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1951AB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01501F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71964E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L0000203010010000</w:t>
            </w:r>
          </w:p>
        </w:tc>
        <w:tc>
          <w:tcPr>
            <w:tcW w:w="133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7D7C47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D8A22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072774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DB95C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1E4B0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50D67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8531E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6A6909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3DC27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47FFF6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96E1A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3A0E08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2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50FE675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0"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3.专项护理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A65C9F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EAB593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59BA68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造口(造瘘)扩理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2241BF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afterAutospacing="0" w:line="180" w:lineRule="exact"/>
              <w:ind w:right="0"/>
              <w:jc w:val="both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</w:pPr>
          </w:p>
          <w:p w14:paraId="11C1E97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对造(瘘)口实施护理，维  持排泄通畅。包括造口评  估、观察排泄物性状、清洁 造口及周围皮肤、定期更换 造口装置、心理护理等。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F7E295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 w:afterAutospacing="0" w:line="180" w:lineRule="exact"/>
              <w:ind w:left="28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相关服务要求：</w:t>
            </w:r>
          </w:p>
          <w:p w14:paraId="3E5EA8C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遵医嘱，造瘘管引流通畅，造口排泄物及时清洗，避免发生因引流不畅导</w:t>
            </w:r>
          </w:p>
          <w:p w14:paraId="01EAD73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42" w:leftChars="2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致感染等并发症；</w:t>
            </w:r>
          </w:p>
          <w:p w14:paraId="2160C4B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定期消毒造瘘口，保持造瘘口敷料及周围皮肤完整、清洁干爽、无异味；</w:t>
            </w:r>
          </w:p>
          <w:p w14:paraId="1D2090F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妥善固定瘘管及瘘袋，瘘袋高度不能高于造瘘口；</w:t>
            </w:r>
          </w:p>
          <w:p w14:paraId="77BD1A4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注意照护对象的主诉和引流液情况。</w:t>
            </w:r>
          </w:p>
          <w:p w14:paraId="14363DE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达到相应技能要求的照护人员</w:t>
            </w:r>
          </w:p>
          <w:p w14:paraId="1A74893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20-30分钟</w:t>
            </w:r>
          </w:p>
        </w:tc>
      </w:tr>
      <w:tr w14:paraId="1BA7A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6" w:hRule="atLeast"/>
          <w:hidden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E6B32D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6A0FA4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BEF690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AB7941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4F40BF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86B9BD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D75381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E51544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3A7E70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F399F4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L0000203020010000</w:t>
            </w:r>
          </w:p>
        </w:tc>
        <w:tc>
          <w:tcPr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366A02C3"/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1011BA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4C524C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923DB3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E56FEC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气管切开护理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5857E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Autospacing="0" w:afterAutospacing="0" w:line="180" w:lineRule="exact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72BEA7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Autospacing="0" w:afterAutospacing="0" w:line="180" w:lineRule="exact"/>
              <w:ind w:left="0" w:right="0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3890EBF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对气管切开套管实施维护， 维持正常通气功能。包括观察气切周围皮肤、套管取出清洁并消毒或更换套管、更换敷料及固定物，必要时行气道给药等。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0EA6E6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afterAutospacing="0" w:line="180" w:lineRule="exact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5916B54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遵医嘱，保持气管切开后套管处于居中位置，固定套管的系带，防止气管</w:t>
            </w:r>
          </w:p>
          <w:p w14:paraId="24487C6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6" w:leftChars="17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套管的气囊破裂或滑脱；</w:t>
            </w:r>
          </w:p>
          <w:p w14:paraId="3A9CF414">
            <w:pPr>
              <w:pStyle w:val="1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right="0" w:rightChars="0" w:firstLine="88" w:firstLineChars="5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</w:t>
            </w:r>
            <w:r>
              <w:rPr>
                <w:rFonts w:hint="eastAsia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" w:bidi="ar-SA"/>
              </w:rPr>
              <w:t>2</w:t>
            </w: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监测并保持气囊的压力，必要时在人工气道内滴入药物(打开人工气道，</w:t>
            </w:r>
          </w:p>
          <w:p w14:paraId="1B570BB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right="0"/>
              <w:jc w:val="both"/>
              <w:rPr>
                <w:rFonts w:hint="eastAsia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吸气相时滴入药物，观察用药后效果并记录)</w:t>
            </w:r>
            <w:r>
              <w:rPr>
                <w:rFonts w:hint="eastAsia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；</w:t>
            </w:r>
          </w:p>
          <w:p w14:paraId="7013AD8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right="0" w:firstLine="88" w:firstLineChars="5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及时清理呼吸道分泌物。局部消毒，更换敷料，清洁消毒气管套管，并保</w:t>
            </w:r>
          </w:p>
          <w:p w14:paraId="47210F1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42" w:leftChars="2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持切开部位敷料清洁、干燥，以免出现感染；</w:t>
            </w:r>
          </w:p>
          <w:p w14:paraId="76A00D2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固定，观察伤口有无感染并记录，做好健康教育及心理护理。</w:t>
            </w:r>
          </w:p>
          <w:p w14:paraId="1AF9F22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达到相应技能要求的照护人员</w:t>
            </w:r>
          </w:p>
          <w:p w14:paraId="2225414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20-30分钟</w:t>
            </w:r>
          </w:p>
          <w:p w14:paraId="6B94597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7" w:beforeAutospacing="0"/>
              <w:ind w:left="0" w:right="1223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</w:pPr>
          </w:p>
        </w:tc>
      </w:tr>
      <w:tr w14:paraId="6D04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  <w:hidden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D2C3E2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449C65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F98EF0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833E17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12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850597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2315EF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9FFA41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7935EC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L0000203030010000</w:t>
            </w:r>
          </w:p>
        </w:tc>
        <w:tc>
          <w:tcPr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</w:tcPr>
          <w:p w14:paraId="3FD26C1B"/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A52B9A5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083AEF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4BB273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024D53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深静脉置管护理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BBD5F1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right="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</w:pPr>
          </w:p>
          <w:p w14:paraId="5D06C87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对深静脉置管(包括PICC)  管路实施维护，使管路维持 正常功能。包括检查导管状 态、管路疏通、封管，必要 时更换输液接头等。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587F26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1" w:afterAutospacing="0" w:line="180" w:lineRule="exact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76A1585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遵医嘱，按照无菌操作原则冲管、封管；</w:t>
            </w:r>
          </w:p>
          <w:p w14:paraId="76DE8E89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观察穿刺点渗血、出血、周围皮肤等情况，根据需要更换敷料、输液接头，</w:t>
            </w:r>
          </w:p>
          <w:p w14:paraId="5C02818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42" w:leftChars="2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固定导管；</w:t>
            </w:r>
          </w:p>
          <w:p w14:paraId="071A06A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标明时间和导管外露长度、签名，整理用物、记录。</w:t>
            </w:r>
          </w:p>
          <w:p w14:paraId="381DA7AF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达到相应技能要求的照护人员</w:t>
            </w:r>
          </w:p>
          <w:p w14:paraId="41661DA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10-20分钟</w:t>
            </w:r>
          </w:p>
          <w:p w14:paraId="2982E4B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27" w:beforeAutospacing="0"/>
              <w:ind w:left="0" w:right="1223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</w:rPr>
            </w:pPr>
          </w:p>
        </w:tc>
      </w:tr>
      <w:tr w14:paraId="4C9D8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  <w:hidden/>
        </w:trPr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DF028A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A7A45D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DECA6F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13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B749CD0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7867AD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8C01F9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L0000204010010000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2B567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24BCE9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line="250" w:lineRule="auto"/>
              <w:ind w:left="0" w:right="0"/>
              <w:rPr>
                <w:rFonts w:ascii="Arial" w:hAnsi="Calibri" w:eastAsia="宋体" w:cs="Times New Roman"/>
                <w:b/>
                <w:bCs/>
                <w:vanish w:val="0"/>
                <w:kern w:val="2"/>
                <w:sz w:val="21"/>
                <w:szCs w:val="21"/>
              </w:rPr>
            </w:pPr>
          </w:p>
          <w:p w14:paraId="411B519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8" w:beforeAutospacing="0"/>
              <w:ind w:left="10" w:right="0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4.康复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89D85F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CDD524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left="135" w:righ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5B17FF5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59" w:beforeAutospacing="0"/>
              <w:ind w:right="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认知功能训练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176FA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Autospacing="0" w:afterAutospacing="0" w:line="180" w:lineRule="exact"/>
              <w:ind w:left="0" w:right="0"/>
              <w:jc w:val="both"/>
              <w:rPr>
                <w:rFonts w:ascii="Arial" w:hAnsi="Calibri" w:eastAsia="宋体" w:cs="Times New Roman"/>
                <w:vanish w:val="0"/>
                <w:kern w:val="2"/>
                <w:sz w:val="21"/>
                <w:szCs w:val="21"/>
              </w:rPr>
            </w:pPr>
          </w:p>
          <w:p w14:paraId="03FB89D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afterAutospacing="0" w:line="180" w:lineRule="exact"/>
              <w:ind w:left="31" w:leftChars="15" w:right="31" w:rightChars="15"/>
              <w:jc w:val="both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</w:rPr>
              <w:t>对注意力、记忆力、判断力、 定向力、语言能力、执行能  力等进行康复训练，指导并  进行精神行为症状管理。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87A680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2" w:afterAutospacing="0" w:line="180" w:lineRule="exact"/>
              <w:ind w:left="28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18510C7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遵医嘱，对注意力、记忆力、判断力、定向力、语言能力、执行能力等进</w:t>
            </w:r>
          </w:p>
          <w:p w14:paraId="573E5FC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42" w:leftChars="20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行一对一或小组认知康复训练；</w:t>
            </w:r>
          </w:p>
          <w:p w14:paraId="4A11537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指导并进行精神行为症状管理。</w:t>
            </w:r>
          </w:p>
          <w:p w14:paraId="56AAC4F6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达到相应技能要求的照护人员</w:t>
            </w:r>
          </w:p>
          <w:p w14:paraId="454695F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15-20分钟</w:t>
            </w:r>
          </w:p>
        </w:tc>
      </w:tr>
    </w:tbl>
    <w:p w14:paraId="0F640335">
      <w:pPr>
        <w:rPr>
          <w:rFonts w:ascii="Arial" w:hAnsi="Arial"/>
        </w:rPr>
      </w:pPr>
    </w:p>
    <w:tbl>
      <w:tblPr>
        <w:tblStyle w:val="11"/>
        <w:tblW w:w="12753" w:type="dxa"/>
        <w:tblInd w:w="6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1608"/>
        <w:gridCol w:w="1335"/>
        <w:gridCol w:w="1275"/>
        <w:gridCol w:w="2113"/>
        <w:gridCol w:w="5958"/>
      </w:tblGrid>
      <w:tr w14:paraId="313E4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hidden/>
        </w:trPr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382D10B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4EB9D6D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项目代码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CAF130B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项目类别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EC8CD77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项目名称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844A6E9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项目内涵</w:t>
            </w:r>
          </w:p>
        </w:tc>
        <w:tc>
          <w:tcPr>
            <w:tcW w:w="5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53EE409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18" w:beforeAutospacing="0"/>
              <w:ind w:left="0" w:leftChars="0" w:firstLine="0" w:firstLineChars="0"/>
              <w:jc w:val="center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服务要点(包括相关服务要求、推荐服务人员、推荐服务时长等)</w:t>
            </w:r>
          </w:p>
        </w:tc>
      </w:tr>
      <w:tr w14:paraId="671E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5C6E8C0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 w14:paraId="199A04A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 w14:paraId="0B82B4FF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 w14:paraId="0601DFD4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 w14:paraId="18A864EB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14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D1B6757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 w14:paraId="7A443378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 w14:paraId="5EAAF49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 w14:paraId="26290915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 w14:paraId="5DFA0D57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22" w:beforeAutospacing="0"/>
              <w:ind w:left="0" w:leftChars="0" w:firstLine="0" w:firstLineChars="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L0000204020010000</w:t>
            </w:r>
          </w:p>
        </w:tc>
        <w:tc>
          <w:tcPr>
            <w:tcW w:w="13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4FC2F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45875E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2EE539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25F5EE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0027CC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69D535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75E833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6A5029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67C371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651C80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0AF7FB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2" w:lineRule="auto"/>
              <w:ind w:left="0"/>
              <w:rPr>
                <w:rFonts w:ascii="Arial" w:hAnsi="Calibri" w:eastAsia="宋体" w:cs="Times New Roman"/>
                <w:b w:val="0"/>
                <w:bCs w:val="0"/>
                <w:vanish w:val="0"/>
                <w:kern w:val="2"/>
                <w:sz w:val="21"/>
                <w:szCs w:val="21"/>
              </w:rPr>
            </w:pPr>
          </w:p>
          <w:p w14:paraId="5DD18EBB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59" w:beforeAutospacing="0"/>
              <w:ind w:left="0" w:leftChars="0" w:firstLine="0" w:firstLineChars="0"/>
              <w:rPr>
                <w:rFonts w:hint="eastAsia" w:ascii="宋体" w:hAnsi="宋体" w:eastAsia="宋体"/>
                <w:b w:val="0"/>
                <w:bCs w:val="0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4.康复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BCA7F29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18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578776A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18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7EA0823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18" w:beforeAutospacing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运动功能训练</w:t>
            </w:r>
          </w:p>
        </w:tc>
        <w:tc>
          <w:tcPr>
            <w:tcW w:w="2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129F85C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18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97CBBCA">
            <w:pPr>
              <w:pStyle w:val="9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 w:firstLine="0" w:firstLineChars="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通过各种康复手段，对四肢和躯干的运动功能进行训练，改善躯体运动功能。通过手法或应用不同康复设备进行运动功能训练。</w:t>
            </w:r>
          </w:p>
        </w:tc>
        <w:tc>
          <w:tcPr>
            <w:tcW w:w="5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A17CD55">
            <w:pPr>
              <w:pStyle w:val="9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8" w:beforeAutospacing="0" w:line="260" w:lineRule="exact"/>
              <w:ind w:left="29" w:leftChars="14" w:firstLine="0" w:firstLineChars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相关服务要求：</w:t>
            </w:r>
          </w:p>
          <w:p w14:paraId="2990A5B8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遵医嘱，徒手或用设备对照护对象进行运动功能训练；</w:t>
            </w:r>
          </w:p>
          <w:p w14:paraId="64D2241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应用辅具对照护对象平衡、行走能力进行训练；</w:t>
            </w:r>
          </w:p>
          <w:p w14:paraId="3031FF7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针对不同照护对象，选择合适的训练强度、训练方式，设定训练量，改善</w:t>
            </w:r>
          </w:p>
          <w:p w14:paraId="7BF47ED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afterAutospacing="0" w:line="180" w:lineRule="exact"/>
              <w:ind w:left="31" w:leftChars="15" w:right="0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其运动功能；</w:t>
            </w:r>
          </w:p>
          <w:p w14:paraId="34E5370A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运动功能训练过程中注意加强风险防范。</w:t>
            </w:r>
          </w:p>
          <w:p w14:paraId="6F5BF082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达到相应技能要求的照护人员</w:t>
            </w:r>
          </w:p>
          <w:p w14:paraId="559D265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  <w:lang w:val="en-US" w:eastAsia="zh-CN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20-45分钟</w:t>
            </w:r>
          </w:p>
        </w:tc>
      </w:tr>
      <w:tr w14:paraId="2643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  <w:hidden/>
        </w:trPr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C680987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4EA81B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73B2720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AC9129D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15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C1099F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4035F9B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3D9BE3B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61DC806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L0000204030010000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4AF7F36"/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889886F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18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64E72B2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18" w:beforeAutospacing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吞咽功能训练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99DCC52">
            <w:pPr>
              <w:pStyle w:val="9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21" w:leftChars="10" w:right="21" w:rightChars="10" w:firstLine="0" w:firstLineChars="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22394539">
            <w:pPr>
              <w:pStyle w:val="9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 w:firstLine="0" w:firstLineChars="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通过各种康复手段，对吞咽功能进行训练，改善摄食吞咽功能。</w:t>
            </w:r>
          </w:p>
        </w:tc>
        <w:tc>
          <w:tcPr>
            <w:tcW w:w="5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E249F99">
            <w:pPr>
              <w:pStyle w:val="9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9" w:beforeAutospacing="0" w:line="260" w:lineRule="exact"/>
              <w:ind w:left="29" w:leftChars="14" w:firstLine="0" w:firstLineChars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7AE9A591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遵医嘱，通过手法和设备进行吞咽康复训练；</w:t>
            </w:r>
          </w:p>
          <w:p w14:paraId="7A879447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根据照护对象的实际进食情况选择适宜的训练方式和强度；</w:t>
            </w:r>
          </w:p>
          <w:p w14:paraId="67A41293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 xml:space="preserve">吞咽功能训练过程中注意加强风险防范。 </w:t>
            </w:r>
          </w:p>
          <w:p w14:paraId="2C6BCDE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 xml:space="preserve">达到相应技能要求的照护人员 </w:t>
            </w:r>
          </w:p>
          <w:p w14:paraId="1E51D3FC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20-30分钟</w:t>
            </w:r>
          </w:p>
        </w:tc>
      </w:tr>
      <w:tr w14:paraId="6052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  <w:hidden/>
        </w:trPr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FAF435A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825A02C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15EF3B8D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0923FF21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16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5A0BE1D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35345569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4E4A234E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741FAEB1">
            <w:pPr>
              <w:keepNext w:val="0"/>
              <w:keepLines w:val="0"/>
              <w:pageBreakBefore w:val="0"/>
              <w:widowControl/>
              <w:suppressLineNumbers w:val="0"/>
              <w:suppressAutoHyphens w:val="0"/>
              <w:spacing w:line="257" w:lineRule="auto"/>
              <w:ind w:left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L0000204040010000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FEC9BBC"/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645E3CE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18" w:before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4B9FA8A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18" w:beforeAutospacing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言语功能训练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AF396E7">
            <w:pPr>
              <w:pStyle w:val="9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21" w:leftChars="10" w:right="21" w:rightChars="10" w:firstLine="0" w:firstLineChars="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</w:p>
          <w:p w14:paraId="61159A96">
            <w:pPr>
              <w:pStyle w:val="9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beforeAutospacing="0"/>
              <w:ind w:left="31" w:leftChars="15" w:right="31" w:rightChars="15" w:firstLine="0" w:firstLineChars="0"/>
              <w:jc w:val="both"/>
              <w:textAlignment w:val="auto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通过各种康复手段，对言语和语言功能障碍进行训练，改善言语和语言功能。</w:t>
            </w:r>
          </w:p>
        </w:tc>
        <w:tc>
          <w:tcPr>
            <w:tcW w:w="5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0176282">
            <w:pPr>
              <w:pStyle w:val="9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59" w:beforeAutospacing="0" w:line="260" w:lineRule="exact"/>
              <w:ind w:left="0" w:leftChars="0" w:firstLine="0" w:firstLineChars="0"/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</w:pPr>
          </w:p>
          <w:p w14:paraId="3FA3D1C7">
            <w:pPr>
              <w:pStyle w:val="9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beforeAutospacing="0" w:line="260" w:lineRule="exact"/>
              <w:ind w:left="29" w:leftChars="14" w:firstLine="0" w:firstLineChars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spacing w:val="0"/>
                <w:kern w:val="2"/>
                <w:sz w:val="18"/>
                <w:szCs w:val="18"/>
              </w:rPr>
              <w:t>相关服务要求：</w:t>
            </w:r>
          </w:p>
          <w:p w14:paraId="10EBDA9D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遵医嘱，通过人工和设备进行言语功能训练；</w:t>
            </w:r>
          </w:p>
          <w:p w14:paraId="7DEB6E9B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spacing w:before="18" w:afterAutospacing="0" w:line="180" w:lineRule="exact"/>
              <w:ind w:left="635" w:right="0" w:hanging="550"/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根据照护对象的语言功能情况选择适宜的训练方式和强度。</w:t>
            </w:r>
          </w:p>
          <w:p w14:paraId="3A6BB7BE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spacing w:val="0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推荐服务人员：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达到相应技能要求的照护人员</w:t>
            </w:r>
          </w:p>
          <w:p w14:paraId="78573824"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beforeAutospacing="0"/>
              <w:ind w:left="29" w:leftChars="14" w:right="0"/>
              <w:textAlignment w:val="auto"/>
              <w:rPr>
                <w:rFonts w:hint="eastAsia" w:ascii="宋体" w:hAnsi="宋体" w:eastAsia="宋体"/>
                <w:vanish w:val="0"/>
                <w:kern w:val="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vanish w:val="0"/>
                <w:kern w:val="2"/>
                <w:sz w:val="18"/>
                <w:szCs w:val="18"/>
              </w:rPr>
              <w:t>推荐服务时长：</w:t>
            </w:r>
            <w:r>
              <w:rPr>
                <w:rFonts w:hint="eastAsia" w:ascii="宋体" w:hAnsi="宋体" w:eastAsia="宋体" w:cs="宋体"/>
                <w:vanish w:val="0"/>
                <w:spacing w:val="0"/>
                <w:w w:val="98"/>
                <w:kern w:val="2"/>
                <w:sz w:val="18"/>
                <w:szCs w:val="18"/>
                <w:lang w:val="en-US" w:eastAsia="zh-CN" w:bidi="ar-SA"/>
              </w:rPr>
              <w:t>15-30分钟</w:t>
            </w:r>
          </w:p>
        </w:tc>
      </w:tr>
    </w:tbl>
    <w:p w14:paraId="42F31741">
      <w:pPr>
        <w:rPr>
          <w:rFonts w:ascii="Arial" w:hAnsi="Arial"/>
        </w:rPr>
      </w:pPr>
    </w:p>
    <w:p w14:paraId="375A6A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adjustRightInd/>
        <w:snapToGrid/>
        <w:spacing w:line="520" w:lineRule="exact"/>
        <w:jc w:val="center"/>
        <w:rPr>
          <w:rFonts w:hint="eastAsia" w:ascii="方正大标宋简体" w:hAnsi="方正大标宋简体" w:eastAsia="方正大标宋简体" w:cs="方正大标宋简体"/>
          <w:kern w:val="0"/>
          <w:sz w:val="44"/>
          <w:szCs w:val="44"/>
        </w:rPr>
      </w:pPr>
    </w:p>
    <w:sectPr>
      <w:footerReference r:id="rId6" w:type="default"/>
      <w:pgSz w:w="16830" w:h="11900" w:orient="landscape"/>
      <w:pgMar w:top="1575" w:right="1430" w:bottom="1785" w:left="1319" w:header="0" w:footer="92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Noto Music">
    <w:altName w:val="Sans Serif Collection"/>
    <w:panose1 w:val="020B0502040504020204"/>
    <w:charset w:val="00"/>
    <w:family w:val="auto"/>
    <w:pitch w:val="default"/>
    <w:sig w:usb0="00000000" w:usb1="00000000" w:usb2="01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4B2A9">
    <w:pPr>
      <w:pStyle w:val="7"/>
      <w:tabs>
        <w:tab w:val="right" w:pos="8307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6731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3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6BC0B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53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XWhDTUAAAABQEAAA8AAAAAAAAAAQAgAAAAIgAAAGRycy9kb3ducmV2LnhtbFBL&#10;AQIUABQAAAAIAIdO4kBG2u3xMwIAAGAEAAAOAAAAAAAAAAEAIAAAACM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F6BC0B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DC535">
    <w:pPr>
      <w:pStyle w:val="7"/>
      <w:tabs>
        <w:tab w:val="right" w:pos="8307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-381000</wp:posOffset>
              </wp:positionV>
              <wp:extent cx="1828800" cy="8001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F6DAED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0pt;height:63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gdyaGNYAAAAHAQAADwAAAAAAAAABACAAAAAiAAAAZHJzL2Rvd25yZXYueG1s&#10;UEsBAhQAFAAAAAgAh07iQCpeItgzAgAAYAQAAA4AAAAAAAAAAQAgAAAAJQ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CF6DAED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68B83">
    <w:pPr>
      <w:spacing w:line="14" w:lineRule="auto"/>
      <w:rPr>
        <w:rFonts w:ascii="Arial" w:hAns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458C4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7458C4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26289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262867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54BB59AE">
                          <w:pPr>
                            <w:pStyle w:val="7"/>
                          </w:pPr>
                        </w:p>
                        <w:p w14:paraId="4DB79E12">
                          <w:pPr>
                            <w:pStyle w:val="7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20.7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zv7ffWAAAAAwEAAA8AAAAAAAAAAQAgAAAAIgAAAGRycy9kb3du&#10;cmV2LnhtbFBLAQIUABQAAAAIAIdO4kCUBoL3AQIAAPMDAAAOAAAAAAAAAAEAIAAAACUBAABkcnMv&#10;ZTJvRG9jLnhtbFBLBQYAAAAABgAGAFkBAACY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54BB59AE">
                    <w:pPr>
                      <w:pStyle w:val="7"/>
                    </w:pPr>
                  </w:p>
                  <w:p w14:paraId="4DB79E12">
                    <w:pPr>
                      <w:pStyle w:val="7"/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12F16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307B0A"/>
    <w:multiLevelType w:val="singleLevel"/>
    <w:tmpl w:val="67307B0A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000000"/>
    <w:rsid w:val="775E60BB"/>
    <w:rsid w:val="7F5B65DC"/>
    <w:rsid w:val="7FFC2603"/>
    <w:rsid w:val="BEFFB51F"/>
    <w:rsid w:val="D7BF48D7"/>
    <w:rsid w:val="E7FF7F21"/>
    <w:rsid w:val="F4FFF734"/>
    <w:rsid w:val="F74F8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1"/>
    <w:next w:val="1"/>
    <w:link w:val="17"/>
    <w:qFormat/>
    <w:uiPriority w:val="0"/>
    <w:pPr>
      <w:keepNext/>
      <w:keepLines/>
      <w:spacing w:before="280" w:beforeAutospacing="0" w:after="29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rPr>
      <w:rFonts w:ascii="仿宋" w:hAnsi="仿宋" w:eastAsia="仿宋" w:cs="仿宋"/>
      <w:sz w:val="30"/>
      <w:szCs w:val="30"/>
      <w:lang w:val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0"/>
      </w:pBdr>
      <w:tabs>
        <w:tab w:val="center" w:pos="4153"/>
        <w:tab w:val="right" w:pos="8307"/>
      </w:tabs>
      <w:adjustRightInd/>
      <w:snapToGrid w:val="0"/>
      <w:contextualSpacing w:val="0"/>
      <w:jc w:val="center"/>
    </w:pPr>
    <w:rPr>
      <w:sz w:val="18"/>
      <w:szCs w:val="18"/>
    </w:rPr>
  </w:style>
  <w:style w:type="paragraph" w:styleId="9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heading 1 Char"/>
    <w:basedOn w:val="12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5">
    <w:name w:val="heading 2 Char"/>
    <w:basedOn w:val="12"/>
    <w:link w:val="3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6">
    <w:name w:val="heading 3 Char"/>
    <w:basedOn w:val="12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heading 5 Char"/>
    <w:basedOn w:val="12"/>
    <w:link w:val="5"/>
    <w:qFormat/>
    <w:uiPriority w:val="0"/>
    <w:rPr>
      <w:rFonts w:ascii="Calibri" w:hAnsi="Calibri" w:eastAsia="宋体" w:cs="Arial"/>
      <w:b/>
      <w:kern w:val="2"/>
      <w:sz w:val="28"/>
      <w:szCs w:val="24"/>
      <w:lang w:val="en-US" w:eastAsia="zh-CN" w:bidi="ar-SA"/>
    </w:rPr>
  </w:style>
  <w:style w:type="paragraph" w:customStyle="1" w:styleId="18">
    <w:name w:val="样式1"/>
    <w:basedOn w:val="5"/>
    <w:next w:val="1"/>
    <w:qFormat/>
    <w:uiPriority w:val="0"/>
    <w:pPr>
      <w:jc w:val="center"/>
    </w:pPr>
    <w:rPr>
      <w:rFonts w:ascii="Calibri" w:hAnsi="Calibri" w:eastAsia="方正大标宋简体"/>
      <w:sz w:val="44"/>
    </w:rPr>
  </w:style>
  <w:style w:type="paragraph" w:customStyle="1" w:styleId="19">
    <w:name w:val="Table Text"/>
    <w:basedOn w:val="1"/>
    <w:qFormat/>
    <w:uiPriority w:val="0"/>
    <w:rPr>
      <w:rFonts w:ascii="宋体" w:hAnsi="宋体" w:eastAsia="宋体" w:cs="宋体"/>
      <w:sz w:val="18"/>
      <w:szCs w:val="18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14</Pages>
  <Words>9431</Words>
  <Characters>10486</Characters>
  <Lines>0</Lines>
  <Paragraphs>84</Paragraphs>
  <TotalTime>3</TotalTime>
  <ScaleCrop>false</ScaleCrop>
  <LinksUpToDate>false</LinksUpToDate>
  <CharactersWithSpaces>10543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2025-10-11T16:24:00Z</dcterms:created>
  <dc:creator>ybj</dc:creator>
  <cp:lastModifiedBy>信息安全头等舱</cp:lastModifiedBy>
  <cp:lastPrinted>2025-12-25T14:46:00Z</cp:lastPrinted>
  <dcterms:modified xsi:type="dcterms:W3CDTF">2025-12-25T07:45:47Z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eyJoZGlkIjoiODhmODFjNDJhZTMxMTk2NmU2YzI1YmNmNDQyZThkYmIiLCJ1c2VySWQiOiIxMTMwMTA3MzMwIn0=</vt:lpwstr>
  </property>
  <property fmtid="{D5CDD505-2E9C-101B-9397-08002B2CF9AE}" pid="4" name="ICV">
    <vt:lpwstr>943953FF62AD4F419DC60718E9AC90E5_13</vt:lpwstr>
  </property>
</Properties>
</file>