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contextualSpacing/>
        <w:jc w:val="left"/>
        <w:rPr>
          <w:rFonts w:ascii="黑体" w:hAnsi="黑体" w:eastAsia="黑体"/>
          <w:sz w:val="32"/>
          <w:szCs w:val="32"/>
        </w:rPr>
      </w:pPr>
      <w:bookmarkStart w:id="0" w:name="_GoBack"/>
      <w:bookmarkEnd w:id="0"/>
      <w:r>
        <w:rPr>
          <w:rFonts w:hint="eastAsia" w:ascii="黑体" w:hAnsi="黑体" w:eastAsia="黑体"/>
          <w:sz w:val="32"/>
          <w:szCs w:val="32"/>
        </w:rPr>
        <w:t>附件6</w:t>
      </w:r>
    </w:p>
    <w:p>
      <w:pPr>
        <w:adjustRightInd w:val="0"/>
        <w:contextualSpacing/>
        <w:jc w:val="center"/>
        <w:rPr>
          <w:rFonts w:eastAsia="方正小标宋简体"/>
          <w:sz w:val="36"/>
          <w:szCs w:val="36"/>
        </w:rPr>
      </w:pPr>
      <w:r>
        <w:rPr>
          <w:rFonts w:eastAsia="方正小标宋简体"/>
          <w:sz w:val="36"/>
          <w:szCs w:val="36"/>
        </w:rPr>
        <w:t>2018年药审中心起草经国家局发布的技术指导原则</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954"/>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widowControl/>
              <w:jc w:val="center"/>
              <w:rPr>
                <w:rFonts w:ascii="楷体" w:hAnsi="楷体" w:eastAsia="楷体" w:cs="宋体"/>
                <w:b/>
                <w:bCs/>
                <w:kern w:val="0"/>
                <w:sz w:val="28"/>
                <w:szCs w:val="28"/>
              </w:rPr>
            </w:pPr>
            <w:r>
              <w:rPr>
                <w:rFonts w:hint="eastAsia" w:ascii="楷体" w:hAnsi="楷体" w:eastAsia="楷体" w:cs="宋体"/>
                <w:b/>
                <w:bCs/>
                <w:kern w:val="0"/>
                <w:sz w:val="28"/>
                <w:szCs w:val="28"/>
              </w:rPr>
              <w:t>序号</w:t>
            </w:r>
          </w:p>
        </w:tc>
        <w:tc>
          <w:tcPr>
            <w:tcW w:w="5954" w:type="dxa"/>
            <w:vAlign w:val="center"/>
          </w:tcPr>
          <w:p>
            <w:pPr>
              <w:adjustRightInd w:val="0"/>
              <w:contextualSpacing/>
              <w:jc w:val="center"/>
              <w:rPr>
                <w:rFonts w:ascii="楷体" w:hAnsi="楷体" w:eastAsia="楷体" w:cs="宋体"/>
                <w:b/>
                <w:bCs/>
                <w:kern w:val="0"/>
                <w:sz w:val="28"/>
                <w:szCs w:val="28"/>
              </w:rPr>
            </w:pPr>
            <w:r>
              <w:rPr>
                <w:rFonts w:hint="eastAsia" w:ascii="楷体" w:hAnsi="楷体" w:eastAsia="楷体" w:cs="宋体"/>
                <w:b/>
                <w:bCs/>
                <w:kern w:val="0"/>
                <w:sz w:val="28"/>
                <w:szCs w:val="28"/>
              </w:rPr>
              <w:t>名称</w:t>
            </w:r>
          </w:p>
        </w:tc>
        <w:tc>
          <w:tcPr>
            <w:tcW w:w="7403" w:type="dxa"/>
          </w:tcPr>
          <w:p>
            <w:pPr>
              <w:adjustRightInd w:val="0"/>
              <w:contextualSpacing/>
              <w:jc w:val="center"/>
              <w:rPr>
                <w:rFonts w:ascii="楷体" w:hAnsi="楷体" w:eastAsia="楷体" w:cs="宋体"/>
                <w:b/>
                <w:bCs/>
                <w:kern w:val="0"/>
                <w:sz w:val="28"/>
                <w:szCs w:val="28"/>
              </w:rPr>
            </w:pPr>
            <w:r>
              <w:rPr>
                <w:rFonts w:hint="eastAsia" w:ascii="楷体" w:hAnsi="楷体" w:eastAsia="楷体" w:cs="宋体"/>
                <w:b/>
                <w:bCs/>
                <w:kern w:val="0"/>
                <w:sz w:val="28"/>
                <w:szCs w:val="28"/>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w:t>
            </w:r>
          </w:p>
        </w:tc>
        <w:tc>
          <w:tcPr>
            <w:tcW w:w="5954" w:type="dxa"/>
            <w:vAlign w:val="center"/>
          </w:tcPr>
          <w:p>
            <w:pPr>
              <w:adjustRightInd w:val="0"/>
              <w:contextualSpacing/>
              <w:rPr>
                <w:rFonts w:eastAsia="仿宋_GB2312"/>
                <w:sz w:val="24"/>
              </w:rPr>
            </w:pPr>
            <w:r>
              <w:rPr>
                <w:rFonts w:eastAsia="仿宋_GB2312"/>
                <w:sz w:val="24"/>
              </w:rPr>
              <w:t>急性心力衰竭治疗药物临床试验技术指导原则（2018年第10号通告）</w:t>
            </w:r>
          </w:p>
        </w:tc>
        <w:tc>
          <w:tcPr>
            <w:tcW w:w="7403" w:type="dxa"/>
          </w:tcPr>
          <w:p>
            <w:pPr>
              <w:adjustRightInd w:val="0"/>
              <w:contextualSpacing/>
              <w:rPr>
                <w:rFonts w:eastAsia="仿宋_GB2312"/>
                <w:sz w:val="24"/>
              </w:rPr>
            </w:pPr>
            <w:r>
              <w:rPr>
                <w:rFonts w:eastAsia="仿宋_GB2312"/>
                <w:sz w:val="24"/>
              </w:rPr>
              <w:t>本指导原则对治疗急性心力衰竭药物临床试验中的关键内容进行了阐述，旨在为有关新药的临床试验设计、实施和评价提供一般性的技术指导。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2</w:t>
            </w:r>
          </w:p>
        </w:tc>
        <w:tc>
          <w:tcPr>
            <w:tcW w:w="5954" w:type="dxa"/>
            <w:vAlign w:val="center"/>
          </w:tcPr>
          <w:p>
            <w:pPr>
              <w:adjustRightInd w:val="0"/>
              <w:contextualSpacing/>
              <w:rPr>
                <w:rFonts w:eastAsia="仿宋_GB2312"/>
                <w:sz w:val="24"/>
              </w:rPr>
            </w:pPr>
            <w:r>
              <w:rPr>
                <w:rFonts w:eastAsia="仿宋_GB2312"/>
                <w:sz w:val="24"/>
              </w:rPr>
              <w:t>化学药品与弹性体密封件相容性研究技术指导原则（试行）（2018年第14号通告）</w:t>
            </w:r>
          </w:p>
        </w:tc>
        <w:tc>
          <w:tcPr>
            <w:tcW w:w="7403" w:type="dxa"/>
          </w:tcPr>
          <w:p>
            <w:pPr>
              <w:adjustRightInd w:val="0"/>
              <w:contextualSpacing/>
              <w:rPr>
                <w:rFonts w:eastAsia="仿宋_GB2312"/>
                <w:sz w:val="24"/>
              </w:rPr>
            </w:pPr>
            <w:r>
              <w:rPr>
                <w:rFonts w:eastAsia="仿宋_GB2312"/>
                <w:sz w:val="24"/>
              </w:rPr>
              <w:t>本指导原则重点阐述了药品与密封件的相容性，旨在指导药品生产企业系统、规范地进行密封件与药品的相容性研究。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3</w:t>
            </w:r>
          </w:p>
        </w:tc>
        <w:tc>
          <w:tcPr>
            <w:tcW w:w="5954" w:type="dxa"/>
            <w:vAlign w:val="center"/>
          </w:tcPr>
          <w:p>
            <w:pPr>
              <w:adjustRightInd w:val="0"/>
              <w:contextualSpacing/>
              <w:rPr>
                <w:rFonts w:eastAsia="仿宋_GB2312"/>
                <w:sz w:val="24"/>
              </w:rPr>
            </w:pPr>
            <w:r>
              <w:rPr>
                <w:rFonts w:eastAsia="仿宋_GB2312"/>
                <w:sz w:val="24"/>
              </w:rPr>
              <w:t>新药I期临床试验申请技术指南（2018年第16号通告）</w:t>
            </w:r>
          </w:p>
        </w:tc>
        <w:tc>
          <w:tcPr>
            <w:tcW w:w="7403" w:type="dxa"/>
          </w:tcPr>
          <w:p>
            <w:pPr>
              <w:adjustRightInd w:val="0"/>
              <w:contextualSpacing/>
              <w:rPr>
                <w:rFonts w:eastAsia="仿宋_GB2312"/>
                <w:sz w:val="24"/>
              </w:rPr>
            </w:pPr>
            <w:r>
              <w:rPr>
                <w:rFonts w:eastAsia="仿宋_GB2312"/>
                <w:sz w:val="24"/>
              </w:rPr>
              <w:t>本指导原则阐述了新药在我国开展首次临床试验时需要向药审中心提供的信息，目的是明确新药I期临床试验的技术要求，提高申报资料的质量，通过规范资料的数据要求，缩短新药研发周期，加快新药上市进程。本指导原则适用于创新药和改良型新药，包括化学药品和治疗用生物制品（细胞和基因治疗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5954" w:type="dxa"/>
            <w:vAlign w:val="center"/>
          </w:tcPr>
          <w:p>
            <w:pPr>
              <w:adjustRightInd w:val="0"/>
              <w:contextualSpacing/>
              <w:rPr>
                <w:rFonts w:eastAsia="仿宋_GB2312"/>
                <w:sz w:val="24"/>
              </w:rPr>
            </w:pPr>
            <w:r>
              <w:rPr>
                <w:rFonts w:eastAsia="仿宋_GB2312"/>
                <w:sz w:val="24"/>
              </w:rPr>
              <w:t>急性缺血性脑卒中治疗药物临床试验技术指导原则（2018年第28号通告）</w:t>
            </w:r>
          </w:p>
        </w:tc>
        <w:tc>
          <w:tcPr>
            <w:tcW w:w="7403" w:type="dxa"/>
          </w:tcPr>
          <w:p>
            <w:pPr>
              <w:adjustRightInd w:val="0"/>
              <w:contextualSpacing/>
              <w:rPr>
                <w:rFonts w:eastAsia="仿宋_GB2312"/>
                <w:sz w:val="24"/>
              </w:rPr>
            </w:pPr>
            <w:r>
              <w:rPr>
                <w:rFonts w:eastAsia="仿宋_GB2312"/>
                <w:sz w:val="24"/>
              </w:rPr>
              <w:t>本指导原则旨在为治疗急性脑卒中的化学药物和治疗用生物制品临床试验的设计、实施和评价提供方法学指导，以期通过规范的临床试验，评价药物的有效性和安全性，为临床治疗的选择提供证据支持。本指导原则主要适用于急性缺血性脑卒中（急性脑梗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5954" w:type="dxa"/>
            <w:vAlign w:val="center"/>
          </w:tcPr>
          <w:p>
            <w:pPr>
              <w:adjustRightInd w:val="0"/>
              <w:contextualSpacing/>
              <w:rPr>
                <w:rFonts w:eastAsia="仿宋_GB2312"/>
                <w:sz w:val="24"/>
              </w:rPr>
            </w:pPr>
            <w:r>
              <w:rPr>
                <w:rFonts w:eastAsia="仿宋_GB2312"/>
                <w:sz w:val="24"/>
              </w:rPr>
              <w:t>慢性乙型肝炎抗病毒治疗药物临床试验技术指导原则（2018年第29号通告）</w:t>
            </w:r>
          </w:p>
        </w:tc>
        <w:tc>
          <w:tcPr>
            <w:tcW w:w="7403" w:type="dxa"/>
          </w:tcPr>
          <w:p>
            <w:pPr>
              <w:adjustRightInd w:val="0"/>
              <w:contextualSpacing/>
              <w:rPr>
                <w:rFonts w:eastAsia="仿宋_GB2312"/>
                <w:sz w:val="24"/>
              </w:rPr>
            </w:pPr>
            <w:r>
              <w:rPr>
                <w:rFonts w:eastAsia="仿宋_GB2312"/>
                <w:sz w:val="24"/>
              </w:rPr>
              <w:t>本指导原则对新药临床试验的设计及需要重点关注的问题进行了讨论，旨在为治疗慢性乙型肝炎新药临床试验的设计、实施和评价提供一般性的技术指导，主要适用于国内外均未上市的慢性乙型肝炎抗病毒创新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5954" w:type="dxa"/>
            <w:vAlign w:val="center"/>
          </w:tcPr>
          <w:p>
            <w:pPr>
              <w:adjustRightInd w:val="0"/>
              <w:contextualSpacing/>
              <w:rPr>
                <w:rFonts w:eastAsia="仿宋_GB2312"/>
                <w:sz w:val="24"/>
              </w:rPr>
            </w:pPr>
            <w:r>
              <w:rPr>
                <w:rFonts w:eastAsia="仿宋_GB2312"/>
                <w:sz w:val="24"/>
              </w:rPr>
              <w:t>抗菌药物折点研究技术指导原则（2018年第31号通告）</w:t>
            </w:r>
          </w:p>
        </w:tc>
        <w:tc>
          <w:tcPr>
            <w:tcW w:w="7403" w:type="dxa"/>
          </w:tcPr>
          <w:p>
            <w:pPr>
              <w:overflowPunct w:val="0"/>
              <w:adjustRightInd w:val="0"/>
              <w:contextualSpacing/>
              <w:rPr>
                <w:rFonts w:eastAsia="仿宋_GB2312"/>
                <w:sz w:val="24"/>
              </w:rPr>
            </w:pPr>
            <w:r>
              <w:rPr>
                <w:rFonts w:eastAsia="仿宋_GB2312"/>
                <w:sz w:val="24"/>
              </w:rPr>
              <w:t>本指导原则为药品注册申请人和临床试验研究者在规划、设计、实施和监督抗菌药物敏感折点（简称抗菌药物折点）研究和敏感标准制定提供必要的技术指导，使安全有效的抗菌药物得以更好更早地用于临床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5954" w:type="dxa"/>
            <w:vAlign w:val="center"/>
          </w:tcPr>
          <w:p>
            <w:pPr>
              <w:adjustRightInd w:val="0"/>
              <w:contextualSpacing/>
              <w:rPr>
                <w:rFonts w:eastAsia="仿宋_GB2312"/>
                <w:sz w:val="24"/>
              </w:rPr>
            </w:pPr>
            <w:r>
              <w:rPr>
                <w:rFonts w:eastAsia="仿宋_GB2312"/>
                <w:sz w:val="24"/>
              </w:rPr>
              <w:t>抗菌药物说明书撰写技术指导原则（2018年第33号通告）</w:t>
            </w:r>
          </w:p>
        </w:tc>
        <w:tc>
          <w:tcPr>
            <w:tcW w:w="7403" w:type="dxa"/>
          </w:tcPr>
          <w:p>
            <w:pPr>
              <w:overflowPunct w:val="0"/>
              <w:adjustRightInd w:val="0"/>
              <w:contextualSpacing/>
              <w:rPr>
                <w:rFonts w:eastAsia="仿宋_GB2312"/>
                <w:sz w:val="24"/>
              </w:rPr>
            </w:pPr>
            <w:r>
              <w:rPr>
                <w:rFonts w:eastAsia="仿宋_GB2312"/>
                <w:sz w:val="24"/>
              </w:rPr>
              <w:t>本指导原则主要适用于全身用药的创新性抗菌药物的说明书撰写，局部用药等其他创新性抗菌药物的说明书撰写也可参照执行。本指导原则也可适用于改良型新药和仿制药物说明书撰写。抗真菌药物等抗感染药物说明书撰写也可参照，但需体现抗真菌药物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5954" w:type="dxa"/>
            <w:vAlign w:val="center"/>
          </w:tcPr>
          <w:p>
            <w:pPr>
              <w:adjustRightInd w:val="0"/>
              <w:contextualSpacing/>
              <w:rPr>
                <w:rFonts w:eastAsia="仿宋_GB2312"/>
                <w:sz w:val="24"/>
              </w:rPr>
            </w:pPr>
            <w:r>
              <w:rPr>
                <w:rFonts w:eastAsia="仿宋_GB2312"/>
                <w:sz w:val="24"/>
              </w:rPr>
              <w:t>抗抑郁药的药物临床试验技术指导原则（2018年第39号通告）</w:t>
            </w:r>
          </w:p>
        </w:tc>
        <w:tc>
          <w:tcPr>
            <w:tcW w:w="7403" w:type="dxa"/>
          </w:tcPr>
          <w:p>
            <w:pPr>
              <w:adjustRightInd w:val="0"/>
              <w:contextualSpacing/>
              <w:rPr>
                <w:rFonts w:eastAsia="仿宋_GB2312"/>
                <w:sz w:val="24"/>
              </w:rPr>
            </w:pPr>
            <w:r>
              <w:rPr>
                <w:rFonts w:eastAsia="仿宋_GB2312"/>
                <w:sz w:val="24"/>
              </w:rPr>
              <w:t>本指导原则主要适用于在我国研发的抗抑郁创新药，着重对确证性临床试验涉及的考虑要点提出建议，供药物研发的申报者和研究者参考。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w:t>
            </w:r>
          </w:p>
        </w:tc>
        <w:tc>
          <w:tcPr>
            <w:tcW w:w="5954" w:type="dxa"/>
            <w:vAlign w:val="center"/>
          </w:tcPr>
          <w:p>
            <w:pPr>
              <w:adjustRightInd w:val="0"/>
              <w:contextualSpacing/>
              <w:rPr>
                <w:rFonts w:eastAsia="仿宋_GB2312"/>
                <w:sz w:val="24"/>
              </w:rPr>
            </w:pPr>
            <w:r>
              <w:rPr>
                <w:rFonts w:eastAsia="仿宋_GB2312"/>
                <w:sz w:val="24"/>
              </w:rPr>
              <w:t>中药药源性肝损伤临床评价指导原则（2018年第41号通告）</w:t>
            </w:r>
          </w:p>
        </w:tc>
        <w:tc>
          <w:tcPr>
            <w:tcW w:w="7403" w:type="dxa"/>
          </w:tcPr>
          <w:p>
            <w:pPr>
              <w:adjustRightInd w:val="0"/>
              <w:contextualSpacing/>
              <w:rPr>
                <w:rFonts w:eastAsia="仿宋_GB2312"/>
                <w:sz w:val="24"/>
              </w:rPr>
            </w:pPr>
            <w:r>
              <w:rPr>
                <w:rFonts w:eastAsia="仿宋_GB2312"/>
                <w:sz w:val="24"/>
              </w:rPr>
              <w:t>本指导原则旨在指导和帮助相关机构及人员有效捕捉和识别中药药源性肝损伤风险信号，科学评估患者肝损伤与中药的因果关系，有效减少误判，全面评估相关中药的安全性以及风险与获益情况，有针对性地制定中药药源性肝损伤风险防控措施，降低中药新药研发的失败率及临床使用风险，促进我国中医药产业健康持续发展。本指导原则主要用于中药全生命周期的药源性肝损伤评价与风险管控，包括新药研制和上市使用两个阶段，供中药研发、生产、医疗和监管机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5954" w:type="dxa"/>
            <w:vAlign w:val="center"/>
          </w:tcPr>
          <w:p>
            <w:pPr>
              <w:adjustRightInd w:val="0"/>
              <w:contextualSpacing/>
              <w:rPr>
                <w:rFonts w:eastAsia="仿宋_GB2312"/>
                <w:sz w:val="24"/>
              </w:rPr>
            </w:pPr>
            <w:r>
              <w:rPr>
                <w:rFonts w:eastAsia="仿宋_GB2312"/>
                <w:sz w:val="24"/>
              </w:rPr>
              <w:t>创新药（化学药）</w:t>
            </w:r>
            <w:r>
              <w:rPr>
                <w:rFonts w:hint="eastAsia" w:ascii="宋体" w:hAnsi="宋体" w:cs="宋体"/>
                <w:sz w:val="24"/>
              </w:rPr>
              <w:t>Ⅲ</w:t>
            </w:r>
            <w:r>
              <w:rPr>
                <w:rFonts w:eastAsia="仿宋_GB2312"/>
                <w:sz w:val="24"/>
              </w:rPr>
              <w:t>期临床试验药学研究信息指南（2018年第48号通告）</w:t>
            </w:r>
          </w:p>
        </w:tc>
        <w:tc>
          <w:tcPr>
            <w:tcW w:w="7403" w:type="dxa"/>
          </w:tcPr>
          <w:p>
            <w:pPr>
              <w:adjustRightInd w:val="0"/>
              <w:contextualSpacing/>
              <w:rPr>
                <w:rFonts w:eastAsia="仿宋_GB2312"/>
                <w:sz w:val="24"/>
              </w:rPr>
            </w:pPr>
            <w:r>
              <w:rPr>
                <w:rFonts w:eastAsia="仿宋_GB2312"/>
                <w:sz w:val="24"/>
              </w:rPr>
              <w:t>本指导原则阐述了支持创新药（化学药）进入</w:t>
            </w:r>
            <w:r>
              <w:rPr>
                <w:rFonts w:hint="eastAsia" w:ascii="宋体" w:hAnsi="宋体" w:cs="宋体"/>
                <w:sz w:val="24"/>
              </w:rPr>
              <w:t>Ⅲ</w:t>
            </w:r>
            <w:r>
              <w:rPr>
                <w:rFonts w:eastAsia="仿宋_GB2312"/>
                <w:sz w:val="24"/>
              </w:rPr>
              <w:t>期临床试验药学研究信息的一般性要求。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pStyle w:val="29"/>
              <w:adjustRightInd w:val="0"/>
              <w:snapToGrid w:val="0"/>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w:t>
            </w:r>
          </w:p>
        </w:tc>
        <w:tc>
          <w:tcPr>
            <w:tcW w:w="5954" w:type="dxa"/>
            <w:vAlign w:val="center"/>
          </w:tcPr>
          <w:p>
            <w:pPr>
              <w:adjustRightInd w:val="0"/>
              <w:contextualSpacing/>
              <w:rPr>
                <w:rFonts w:eastAsia="仿宋_GB2312"/>
                <w:sz w:val="24"/>
              </w:rPr>
            </w:pPr>
            <w:r>
              <w:rPr>
                <w:rFonts w:eastAsia="仿宋_GB2312"/>
                <w:sz w:val="24"/>
              </w:rPr>
              <w:t>药物遗传毒性研究技术指导原则（2018年第50号通告）</w:t>
            </w:r>
          </w:p>
        </w:tc>
        <w:tc>
          <w:tcPr>
            <w:tcW w:w="7403" w:type="dxa"/>
          </w:tcPr>
          <w:p>
            <w:pPr>
              <w:adjustRightInd w:val="0"/>
              <w:contextualSpacing/>
              <w:rPr>
                <w:rFonts w:eastAsia="仿宋_GB2312"/>
                <w:sz w:val="24"/>
              </w:rPr>
            </w:pPr>
            <w:r>
              <w:rPr>
                <w:rFonts w:eastAsia="仿宋_GB2312"/>
                <w:sz w:val="24"/>
              </w:rPr>
              <w:t>本指导原则重点阐述了遗传毒性试验的基本原则，介绍了标准试验组合方案，阐述了体内外试验的基本原则，以及对试验结果的分析评价与追加研究策略。本指导原则适用于中药、天然药物和化学药物。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12</w:t>
            </w:r>
          </w:p>
        </w:tc>
        <w:tc>
          <w:tcPr>
            <w:tcW w:w="5954" w:type="dxa"/>
            <w:vAlign w:val="center"/>
          </w:tcPr>
          <w:p>
            <w:pPr>
              <w:adjustRightInd w:val="0"/>
              <w:contextualSpacing/>
              <w:rPr>
                <w:rFonts w:eastAsia="仿宋_GB2312"/>
                <w:sz w:val="24"/>
              </w:rPr>
            </w:pPr>
            <w:r>
              <w:rPr>
                <w:rFonts w:eastAsia="仿宋_GB2312"/>
                <w:sz w:val="24"/>
              </w:rPr>
              <w:t>接受药品境外临床试验数据的技术指导原则（2018年第52号通告）</w:t>
            </w:r>
          </w:p>
        </w:tc>
        <w:tc>
          <w:tcPr>
            <w:tcW w:w="7403" w:type="dxa"/>
          </w:tcPr>
          <w:p>
            <w:pPr>
              <w:adjustRightInd w:val="0"/>
              <w:contextualSpacing/>
              <w:rPr>
                <w:rFonts w:eastAsia="仿宋_GB2312"/>
                <w:sz w:val="24"/>
              </w:rPr>
            </w:pPr>
            <w:r>
              <w:rPr>
                <w:rFonts w:eastAsia="仿宋_GB2312"/>
                <w:sz w:val="24"/>
              </w:rPr>
              <w:t>本指导原则适用于指导药品在国内申报注册时，接受申请人采用境外临床试验数据作为临床评价资料的工作，明确了接受境外临床试验数据的基本原则、对数据的完整性要求、对数据提交情况和基本技术要求以及境外临床数据的可接受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13</w:t>
            </w:r>
          </w:p>
        </w:tc>
        <w:tc>
          <w:tcPr>
            <w:tcW w:w="5954" w:type="dxa"/>
            <w:vAlign w:val="center"/>
          </w:tcPr>
          <w:p>
            <w:pPr>
              <w:adjustRightInd w:val="0"/>
              <w:contextualSpacing/>
              <w:rPr>
                <w:rFonts w:eastAsia="仿宋_GB2312"/>
                <w:sz w:val="24"/>
              </w:rPr>
            </w:pPr>
            <w:r>
              <w:rPr>
                <w:rFonts w:eastAsia="仿宋_GB2312"/>
                <w:sz w:val="24"/>
              </w:rPr>
              <w:t>生物等效性研究的统计学指导原则（2018年第103号通告）</w:t>
            </w:r>
          </w:p>
        </w:tc>
        <w:tc>
          <w:tcPr>
            <w:tcW w:w="7403" w:type="dxa"/>
          </w:tcPr>
          <w:p>
            <w:pPr>
              <w:adjustRightInd w:val="0"/>
              <w:contextualSpacing/>
              <w:rPr>
                <w:rFonts w:eastAsia="仿宋_GB2312"/>
                <w:sz w:val="24"/>
              </w:rPr>
            </w:pPr>
            <w:r>
              <w:rPr>
                <w:rFonts w:eastAsia="仿宋_GB2312"/>
                <w:sz w:val="24"/>
              </w:rPr>
              <w:t>本指导原则旨在为以药代动力学参数为终点评价指标的生物等效性研究的研究设计、数据分析和结果报告提供技术指导，是对生物等效性研究数据资料进行统计分析的一般原则。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14</w:t>
            </w:r>
          </w:p>
        </w:tc>
        <w:tc>
          <w:tcPr>
            <w:tcW w:w="5954" w:type="dxa"/>
            <w:vAlign w:val="center"/>
          </w:tcPr>
          <w:p>
            <w:pPr>
              <w:adjustRightInd w:val="0"/>
              <w:contextualSpacing/>
              <w:rPr>
                <w:rFonts w:eastAsia="仿宋_GB2312"/>
                <w:sz w:val="24"/>
              </w:rPr>
            </w:pPr>
            <w:r>
              <w:rPr>
                <w:rFonts w:eastAsia="仿宋_GB2312"/>
                <w:sz w:val="24"/>
              </w:rPr>
              <w:t>高变异药物生物等效性研究技术指导原则（2018年第103号通告）</w:t>
            </w:r>
          </w:p>
        </w:tc>
        <w:tc>
          <w:tcPr>
            <w:tcW w:w="7403" w:type="dxa"/>
          </w:tcPr>
          <w:p>
            <w:pPr>
              <w:adjustRightInd w:val="0"/>
              <w:contextualSpacing/>
              <w:rPr>
                <w:rFonts w:eastAsia="仿宋_GB2312"/>
                <w:sz w:val="24"/>
              </w:rPr>
            </w:pPr>
            <w:r>
              <w:rPr>
                <w:rFonts w:eastAsia="仿宋_GB2312"/>
                <w:sz w:val="24"/>
              </w:rPr>
              <w:t>本指导原则旨在为开展以药动学参数为主要终点指标的高变异化学药物生物等效性研究时，如何进行研究设计、样本量估算、统计分析、结果报告等方面提供技术指导。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15</w:t>
            </w:r>
          </w:p>
        </w:tc>
        <w:tc>
          <w:tcPr>
            <w:tcW w:w="5954" w:type="dxa"/>
            <w:vAlign w:val="center"/>
          </w:tcPr>
          <w:p>
            <w:pPr>
              <w:adjustRightInd w:val="0"/>
              <w:contextualSpacing/>
              <w:rPr>
                <w:rFonts w:eastAsia="仿宋_GB2312"/>
                <w:sz w:val="24"/>
              </w:rPr>
            </w:pPr>
            <w:r>
              <w:rPr>
                <w:rFonts w:eastAsia="仿宋_GB2312"/>
                <w:sz w:val="24"/>
              </w:rPr>
              <w:t>症候类中药新药临床研究技术指导原则（2018年第109号通告）</w:t>
            </w:r>
          </w:p>
        </w:tc>
        <w:tc>
          <w:tcPr>
            <w:tcW w:w="7403" w:type="dxa"/>
          </w:tcPr>
          <w:p>
            <w:pPr>
              <w:adjustRightInd w:val="0"/>
              <w:contextualSpacing/>
              <w:rPr>
                <w:rFonts w:eastAsia="仿宋_GB2312"/>
                <w:sz w:val="24"/>
              </w:rPr>
            </w:pPr>
            <w:r>
              <w:rPr>
                <w:rFonts w:eastAsia="仿宋_GB2312"/>
                <w:sz w:val="24"/>
              </w:rPr>
              <w:t>证候类中药新药是指主治为证候的中药复方制剂新药。本指导原则旨在为证候类中药新药临床试验的开展和有效性、安全性评价提供基础性指导。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16</w:t>
            </w:r>
          </w:p>
        </w:tc>
        <w:tc>
          <w:tcPr>
            <w:tcW w:w="5954" w:type="dxa"/>
            <w:vAlign w:val="center"/>
          </w:tcPr>
          <w:p>
            <w:pPr>
              <w:adjustRightInd w:val="0"/>
              <w:contextualSpacing/>
              <w:rPr>
                <w:rFonts w:eastAsia="仿宋_GB2312"/>
                <w:sz w:val="24"/>
              </w:rPr>
            </w:pPr>
            <w:r>
              <w:rPr>
                <w:rFonts w:eastAsia="仿宋_GB2312"/>
                <w:sz w:val="24"/>
              </w:rPr>
              <w:t>抗精神病药物的临床试验技术指导原则（2018年第114号通告）</w:t>
            </w:r>
          </w:p>
        </w:tc>
        <w:tc>
          <w:tcPr>
            <w:tcW w:w="7403" w:type="dxa"/>
          </w:tcPr>
          <w:p>
            <w:pPr>
              <w:adjustRightInd w:val="0"/>
              <w:contextualSpacing/>
              <w:rPr>
                <w:rFonts w:eastAsia="仿宋_GB2312"/>
                <w:sz w:val="24"/>
              </w:rPr>
            </w:pPr>
            <w:r>
              <w:rPr>
                <w:rFonts w:eastAsia="仿宋_GB2312"/>
                <w:sz w:val="24"/>
              </w:rPr>
              <w:t>本指导原则主要适用于在我国研发的抗精神病创新药，着重对确证性临床试验设计的考虑要点提出建议，供药物研发的申办者和研究者参考。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vAlign w:val="center"/>
          </w:tcPr>
          <w:p>
            <w:pPr>
              <w:adjustRightInd w:val="0"/>
              <w:snapToGrid w:val="0"/>
              <w:jc w:val="center"/>
              <w:rPr>
                <w:rFonts w:eastAsia="仿宋_GB2312"/>
                <w:sz w:val="24"/>
              </w:rPr>
            </w:pPr>
            <w:r>
              <w:rPr>
                <w:rFonts w:hint="eastAsia" w:eastAsia="仿宋_GB2312"/>
                <w:sz w:val="24"/>
              </w:rPr>
              <w:t>17</w:t>
            </w:r>
          </w:p>
        </w:tc>
        <w:tc>
          <w:tcPr>
            <w:tcW w:w="5954" w:type="dxa"/>
            <w:vAlign w:val="center"/>
          </w:tcPr>
          <w:p>
            <w:pPr>
              <w:adjustRightInd w:val="0"/>
              <w:contextualSpacing/>
              <w:rPr>
                <w:rFonts w:eastAsia="仿宋_GB2312"/>
                <w:sz w:val="24"/>
              </w:rPr>
            </w:pPr>
            <w:r>
              <w:rPr>
                <w:rFonts w:eastAsia="仿宋_GB2312"/>
                <w:sz w:val="24"/>
              </w:rPr>
              <w:t>双相障碍治疗药物的临床试验技术指导原则（2018年第115号通告）</w:t>
            </w:r>
          </w:p>
        </w:tc>
        <w:tc>
          <w:tcPr>
            <w:tcW w:w="7403" w:type="dxa"/>
          </w:tcPr>
          <w:p>
            <w:pPr>
              <w:adjustRightInd w:val="0"/>
              <w:contextualSpacing/>
              <w:rPr>
                <w:rFonts w:eastAsia="仿宋_GB2312"/>
                <w:sz w:val="24"/>
              </w:rPr>
            </w:pPr>
            <w:r>
              <w:rPr>
                <w:rFonts w:eastAsia="仿宋_GB2312"/>
                <w:sz w:val="24"/>
              </w:rPr>
              <w:t>本指导原则主要适用于在我国研发的创新的双相障碍治疗药物，着重对确证性临床试验设计的考虑要点提出建议，供药物研发的申办者和研究者参考。</w:t>
            </w:r>
          </w:p>
        </w:tc>
      </w:tr>
    </w:tbl>
    <w:p>
      <w:pPr>
        <w:tabs>
          <w:tab w:val="left" w:pos="1698"/>
        </w:tabs>
        <w:adjustRightInd w:val="0"/>
        <w:contextualSpacing/>
        <w:jc w:val="left"/>
      </w:pPr>
    </w:p>
    <w:sectPr>
      <w:headerReference r:id="rId3" w:type="default"/>
      <w:footerReference r:id="rId5" w:type="default"/>
      <w:headerReference r:id="rId4" w:type="even"/>
      <w:footerReference r:id="rId6" w:type="even"/>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 w:hAnsi="仿宋"/>
        <w:sz w:val="28"/>
        <w:szCs w:val="28"/>
      </w:rPr>
    </w:pPr>
    <w:r>
      <w:rPr>
        <w:rFonts w:hint="eastAsia" w:ascii="仿宋" w:hAnsi="仿宋"/>
        <w:sz w:val="28"/>
        <w:szCs w:val="28"/>
      </w:rPr>
      <w:t>—</w:t>
    </w:r>
    <w:r>
      <w:rPr>
        <w:rFonts w:eastAsia="仿宋_GB2312"/>
        <w:sz w:val="28"/>
        <w:szCs w:val="28"/>
      </w:rPr>
      <w:fldChar w:fldCharType="begin"/>
    </w:r>
    <w:r>
      <w:rPr>
        <w:rFonts w:eastAsia="仿宋_GB2312"/>
        <w:sz w:val="28"/>
        <w:szCs w:val="28"/>
      </w:rPr>
      <w:instrText xml:space="preserve">PAGE   \* MERGEFORMAT</w:instrText>
    </w:r>
    <w:r>
      <w:rPr>
        <w:rFonts w:eastAsia="仿宋_GB2312"/>
        <w:sz w:val="28"/>
        <w:szCs w:val="28"/>
      </w:rPr>
      <w:fldChar w:fldCharType="separate"/>
    </w:r>
    <w:r>
      <w:rPr>
        <w:rFonts w:eastAsia="仿宋_GB2312"/>
        <w:sz w:val="28"/>
        <w:szCs w:val="28"/>
        <w:lang w:val="zh-CN"/>
      </w:rPr>
      <w:t>19</w:t>
    </w:r>
    <w:r>
      <w:rPr>
        <w:rFonts w:eastAsia="仿宋_GB2312"/>
        <w:sz w:val="28"/>
        <w:szCs w:val="28"/>
      </w:rPr>
      <w:fldChar w:fldCharType="end"/>
    </w:r>
    <w:r>
      <w:rPr>
        <w:rFonts w:hint="eastAsia" w:ascii="仿宋" w:hAnsi="仿宋"/>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仿宋" w:hAnsi="仿宋"/>
        <w:sz w:val="28"/>
        <w:szCs w:val="28"/>
      </w:rPr>
    </w:pPr>
    <w:r>
      <w:rPr>
        <w:rFonts w:hint="eastAsia" w:ascii="仿宋" w:hAnsi="仿宋"/>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ascii="仿宋" w:hAnsi="仿宋"/>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03"/>
    <w:rsid w:val="0000043E"/>
    <w:rsid w:val="0000129B"/>
    <w:rsid w:val="00001C05"/>
    <w:rsid w:val="000021A5"/>
    <w:rsid w:val="00003357"/>
    <w:rsid w:val="00003F5E"/>
    <w:rsid w:val="00004AFA"/>
    <w:rsid w:val="00005209"/>
    <w:rsid w:val="00005280"/>
    <w:rsid w:val="00006600"/>
    <w:rsid w:val="0001001A"/>
    <w:rsid w:val="0001095D"/>
    <w:rsid w:val="00010BA4"/>
    <w:rsid w:val="00014202"/>
    <w:rsid w:val="00014799"/>
    <w:rsid w:val="00015ED0"/>
    <w:rsid w:val="00016BB4"/>
    <w:rsid w:val="000202FC"/>
    <w:rsid w:val="000223DE"/>
    <w:rsid w:val="00022834"/>
    <w:rsid w:val="000230C4"/>
    <w:rsid w:val="00024168"/>
    <w:rsid w:val="000248E8"/>
    <w:rsid w:val="00025FE8"/>
    <w:rsid w:val="000278CA"/>
    <w:rsid w:val="00027A33"/>
    <w:rsid w:val="00027CB6"/>
    <w:rsid w:val="000308E8"/>
    <w:rsid w:val="00031091"/>
    <w:rsid w:val="000333DD"/>
    <w:rsid w:val="00034396"/>
    <w:rsid w:val="0003526A"/>
    <w:rsid w:val="00037AB1"/>
    <w:rsid w:val="00037CD8"/>
    <w:rsid w:val="0004096E"/>
    <w:rsid w:val="00040984"/>
    <w:rsid w:val="00043960"/>
    <w:rsid w:val="000440C2"/>
    <w:rsid w:val="0004413A"/>
    <w:rsid w:val="000457B9"/>
    <w:rsid w:val="00045EA9"/>
    <w:rsid w:val="000471BB"/>
    <w:rsid w:val="00054312"/>
    <w:rsid w:val="000557B0"/>
    <w:rsid w:val="00055DEC"/>
    <w:rsid w:val="00060E71"/>
    <w:rsid w:val="00062C49"/>
    <w:rsid w:val="0006440A"/>
    <w:rsid w:val="00064B3D"/>
    <w:rsid w:val="000653F9"/>
    <w:rsid w:val="0006603C"/>
    <w:rsid w:val="0006688A"/>
    <w:rsid w:val="000701B5"/>
    <w:rsid w:val="0007044E"/>
    <w:rsid w:val="00070829"/>
    <w:rsid w:val="00071EED"/>
    <w:rsid w:val="000721C5"/>
    <w:rsid w:val="00072EBA"/>
    <w:rsid w:val="000738D7"/>
    <w:rsid w:val="00076727"/>
    <w:rsid w:val="000769F8"/>
    <w:rsid w:val="00076EB5"/>
    <w:rsid w:val="00077AE6"/>
    <w:rsid w:val="00080117"/>
    <w:rsid w:val="00080530"/>
    <w:rsid w:val="0008086D"/>
    <w:rsid w:val="00081BF7"/>
    <w:rsid w:val="00081DFE"/>
    <w:rsid w:val="00083C82"/>
    <w:rsid w:val="000842E6"/>
    <w:rsid w:val="000851AE"/>
    <w:rsid w:val="00087459"/>
    <w:rsid w:val="00090E8C"/>
    <w:rsid w:val="00090FFE"/>
    <w:rsid w:val="000913B7"/>
    <w:rsid w:val="000916E8"/>
    <w:rsid w:val="00091702"/>
    <w:rsid w:val="00091789"/>
    <w:rsid w:val="0009213E"/>
    <w:rsid w:val="00092291"/>
    <w:rsid w:val="000945CC"/>
    <w:rsid w:val="00094CEF"/>
    <w:rsid w:val="00096BB4"/>
    <w:rsid w:val="00096BF5"/>
    <w:rsid w:val="00096D2C"/>
    <w:rsid w:val="000A0335"/>
    <w:rsid w:val="000A17DD"/>
    <w:rsid w:val="000A2156"/>
    <w:rsid w:val="000A2985"/>
    <w:rsid w:val="000A7AA5"/>
    <w:rsid w:val="000B0644"/>
    <w:rsid w:val="000B1CD1"/>
    <w:rsid w:val="000B23E4"/>
    <w:rsid w:val="000B2667"/>
    <w:rsid w:val="000B2D58"/>
    <w:rsid w:val="000B36E8"/>
    <w:rsid w:val="000B40E9"/>
    <w:rsid w:val="000B5661"/>
    <w:rsid w:val="000B6760"/>
    <w:rsid w:val="000B7062"/>
    <w:rsid w:val="000B7845"/>
    <w:rsid w:val="000C021A"/>
    <w:rsid w:val="000C1673"/>
    <w:rsid w:val="000C19A2"/>
    <w:rsid w:val="000C1D92"/>
    <w:rsid w:val="000C33BD"/>
    <w:rsid w:val="000C3C74"/>
    <w:rsid w:val="000C4A76"/>
    <w:rsid w:val="000C644F"/>
    <w:rsid w:val="000C661F"/>
    <w:rsid w:val="000C66EC"/>
    <w:rsid w:val="000D320E"/>
    <w:rsid w:val="000D60B7"/>
    <w:rsid w:val="000D689F"/>
    <w:rsid w:val="000E070D"/>
    <w:rsid w:val="000E2B7B"/>
    <w:rsid w:val="000E6878"/>
    <w:rsid w:val="000E7BA5"/>
    <w:rsid w:val="000E7FDE"/>
    <w:rsid w:val="000F19C6"/>
    <w:rsid w:val="000F3D2F"/>
    <w:rsid w:val="000F65D0"/>
    <w:rsid w:val="001002E9"/>
    <w:rsid w:val="00102764"/>
    <w:rsid w:val="00103F7E"/>
    <w:rsid w:val="00105E85"/>
    <w:rsid w:val="00105F48"/>
    <w:rsid w:val="00110B42"/>
    <w:rsid w:val="00114829"/>
    <w:rsid w:val="0011515C"/>
    <w:rsid w:val="0011540E"/>
    <w:rsid w:val="00116E4D"/>
    <w:rsid w:val="00120C83"/>
    <w:rsid w:val="00120DB8"/>
    <w:rsid w:val="00121E4E"/>
    <w:rsid w:val="00123F40"/>
    <w:rsid w:val="00124250"/>
    <w:rsid w:val="001247A2"/>
    <w:rsid w:val="001257A6"/>
    <w:rsid w:val="00127254"/>
    <w:rsid w:val="00130ABE"/>
    <w:rsid w:val="0013118A"/>
    <w:rsid w:val="00132332"/>
    <w:rsid w:val="001336A1"/>
    <w:rsid w:val="0013381A"/>
    <w:rsid w:val="00133B7C"/>
    <w:rsid w:val="0013431F"/>
    <w:rsid w:val="00136D87"/>
    <w:rsid w:val="00136EFA"/>
    <w:rsid w:val="0013707A"/>
    <w:rsid w:val="001405B0"/>
    <w:rsid w:val="00140986"/>
    <w:rsid w:val="001411CD"/>
    <w:rsid w:val="00141D59"/>
    <w:rsid w:val="00141FF0"/>
    <w:rsid w:val="00146121"/>
    <w:rsid w:val="0014615D"/>
    <w:rsid w:val="00147859"/>
    <w:rsid w:val="00147BD8"/>
    <w:rsid w:val="00150B10"/>
    <w:rsid w:val="0015157C"/>
    <w:rsid w:val="00152352"/>
    <w:rsid w:val="00156CE0"/>
    <w:rsid w:val="00160F40"/>
    <w:rsid w:val="00163844"/>
    <w:rsid w:val="00163E62"/>
    <w:rsid w:val="0016554E"/>
    <w:rsid w:val="00166FAC"/>
    <w:rsid w:val="00167002"/>
    <w:rsid w:val="0017168A"/>
    <w:rsid w:val="00172724"/>
    <w:rsid w:val="00173127"/>
    <w:rsid w:val="0017517B"/>
    <w:rsid w:val="00175AEC"/>
    <w:rsid w:val="0017611C"/>
    <w:rsid w:val="001764D6"/>
    <w:rsid w:val="00185639"/>
    <w:rsid w:val="0018571E"/>
    <w:rsid w:val="00191B33"/>
    <w:rsid w:val="001924B9"/>
    <w:rsid w:val="001934FA"/>
    <w:rsid w:val="00195978"/>
    <w:rsid w:val="00195E9E"/>
    <w:rsid w:val="001A01DA"/>
    <w:rsid w:val="001A17A9"/>
    <w:rsid w:val="001A5FB5"/>
    <w:rsid w:val="001A6618"/>
    <w:rsid w:val="001B0274"/>
    <w:rsid w:val="001B1899"/>
    <w:rsid w:val="001B4D2D"/>
    <w:rsid w:val="001B5D56"/>
    <w:rsid w:val="001B7AC5"/>
    <w:rsid w:val="001C313D"/>
    <w:rsid w:val="001C3411"/>
    <w:rsid w:val="001C43CD"/>
    <w:rsid w:val="001C5AFA"/>
    <w:rsid w:val="001C73AD"/>
    <w:rsid w:val="001D04CD"/>
    <w:rsid w:val="001D1925"/>
    <w:rsid w:val="001D1DB2"/>
    <w:rsid w:val="001D22A8"/>
    <w:rsid w:val="001E11BC"/>
    <w:rsid w:val="001E1691"/>
    <w:rsid w:val="001E2720"/>
    <w:rsid w:val="001E5299"/>
    <w:rsid w:val="001E64A0"/>
    <w:rsid w:val="001F092F"/>
    <w:rsid w:val="001F1F78"/>
    <w:rsid w:val="001F781A"/>
    <w:rsid w:val="00201338"/>
    <w:rsid w:val="002030E3"/>
    <w:rsid w:val="002030EA"/>
    <w:rsid w:val="00204B13"/>
    <w:rsid w:val="00205337"/>
    <w:rsid w:val="00210DD5"/>
    <w:rsid w:val="0021146F"/>
    <w:rsid w:val="00211679"/>
    <w:rsid w:val="00212037"/>
    <w:rsid w:val="00212479"/>
    <w:rsid w:val="00213912"/>
    <w:rsid w:val="002152D6"/>
    <w:rsid w:val="00217D87"/>
    <w:rsid w:val="00222D7E"/>
    <w:rsid w:val="0022673E"/>
    <w:rsid w:val="00230820"/>
    <w:rsid w:val="002313F4"/>
    <w:rsid w:val="00231CBF"/>
    <w:rsid w:val="002325B9"/>
    <w:rsid w:val="00232C07"/>
    <w:rsid w:val="00232F78"/>
    <w:rsid w:val="00233607"/>
    <w:rsid w:val="002367FE"/>
    <w:rsid w:val="00236B2C"/>
    <w:rsid w:val="0023773A"/>
    <w:rsid w:val="00237BE7"/>
    <w:rsid w:val="00240104"/>
    <w:rsid w:val="002409EC"/>
    <w:rsid w:val="002409F1"/>
    <w:rsid w:val="00242B14"/>
    <w:rsid w:val="002442AE"/>
    <w:rsid w:val="00244AFE"/>
    <w:rsid w:val="00245228"/>
    <w:rsid w:val="00250C4C"/>
    <w:rsid w:val="00250D40"/>
    <w:rsid w:val="00253C12"/>
    <w:rsid w:val="00254DB2"/>
    <w:rsid w:val="00255B5F"/>
    <w:rsid w:val="00257E90"/>
    <w:rsid w:val="00257FA3"/>
    <w:rsid w:val="002607E8"/>
    <w:rsid w:val="002625FF"/>
    <w:rsid w:val="0026477D"/>
    <w:rsid w:val="00264DDF"/>
    <w:rsid w:val="0026663A"/>
    <w:rsid w:val="002705E2"/>
    <w:rsid w:val="00270E34"/>
    <w:rsid w:val="00271027"/>
    <w:rsid w:val="00271052"/>
    <w:rsid w:val="00271708"/>
    <w:rsid w:val="00271816"/>
    <w:rsid w:val="00271D28"/>
    <w:rsid w:val="0028047C"/>
    <w:rsid w:val="00280FD7"/>
    <w:rsid w:val="00282C67"/>
    <w:rsid w:val="00283378"/>
    <w:rsid w:val="00286180"/>
    <w:rsid w:val="002900B1"/>
    <w:rsid w:val="0029046C"/>
    <w:rsid w:val="0029051F"/>
    <w:rsid w:val="00291595"/>
    <w:rsid w:val="002927FF"/>
    <w:rsid w:val="002931DD"/>
    <w:rsid w:val="002938EE"/>
    <w:rsid w:val="00294410"/>
    <w:rsid w:val="002946DA"/>
    <w:rsid w:val="00294F03"/>
    <w:rsid w:val="0029697F"/>
    <w:rsid w:val="002A016A"/>
    <w:rsid w:val="002A4809"/>
    <w:rsid w:val="002A5330"/>
    <w:rsid w:val="002B04FA"/>
    <w:rsid w:val="002B0C9C"/>
    <w:rsid w:val="002B14A4"/>
    <w:rsid w:val="002B153D"/>
    <w:rsid w:val="002B35BB"/>
    <w:rsid w:val="002B4244"/>
    <w:rsid w:val="002B4BF3"/>
    <w:rsid w:val="002C0035"/>
    <w:rsid w:val="002C18DA"/>
    <w:rsid w:val="002C1C98"/>
    <w:rsid w:val="002C3DF6"/>
    <w:rsid w:val="002C4AE9"/>
    <w:rsid w:val="002C61EE"/>
    <w:rsid w:val="002C636F"/>
    <w:rsid w:val="002C7548"/>
    <w:rsid w:val="002D17D4"/>
    <w:rsid w:val="002D2174"/>
    <w:rsid w:val="002D30C3"/>
    <w:rsid w:val="002D355C"/>
    <w:rsid w:val="002D4A3B"/>
    <w:rsid w:val="002D515D"/>
    <w:rsid w:val="002D5715"/>
    <w:rsid w:val="002D7250"/>
    <w:rsid w:val="002D7CC2"/>
    <w:rsid w:val="002E0444"/>
    <w:rsid w:val="002E264C"/>
    <w:rsid w:val="002E32AA"/>
    <w:rsid w:val="002E4ACF"/>
    <w:rsid w:val="002F25A6"/>
    <w:rsid w:val="002F434B"/>
    <w:rsid w:val="002F4455"/>
    <w:rsid w:val="00302648"/>
    <w:rsid w:val="00302BCA"/>
    <w:rsid w:val="00302C20"/>
    <w:rsid w:val="00302D42"/>
    <w:rsid w:val="00302D7C"/>
    <w:rsid w:val="00302DA9"/>
    <w:rsid w:val="003031F9"/>
    <w:rsid w:val="00304B0E"/>
    <w:rsid w:val="00304CAA"/>
    <w:rsid w:val="00307211"/>
    <w:rsid w:val="0031016D"/>
    <w:rsid w:val="00310FB2"/>
    <w:rsid w:val="0031298A"/>
    <w:rsid w:val="00313D71"/>
    <w:rsid w:val="00315888"/>
    <w:rsid w:val="00316B76"/>
    <w:rsid w:val="0031797F"/>
    <w:rsid w:val="003211DA"/>
    <w:rsid w:val="00321734"/>
    <w:rsid w:val="003222D5"/>
    <w:rsid w:val="00323260"/>
    <w:rsid w:val="003248E1"/>
    <w:rsid w:val="00324E45"/>
    <w:rsid w:val="00325A8C"/>
    <w:rsid w:val="00325FF8"/>
    <w:rsid w:val="00326978"/>
    <w:rsid w:val="00326D0F"/>
    <w:rsid w:val="0032789C"/>
    <w:rsid w:val="0033029E"/>
    <w:rsid w:val="00330938"/>
    <w:rsid w:val="00332441"/>
    <w:rsid w:val="00332A74"/>
    <w:rsid w:val="00333531"/>
    <w:rsid w:val="0033404F"/>
    <w:rsid w:val="00334A29"/>
    <w:rsid w:val="00334C83"/>
    <w:rsid w:val="00335A9D"/>
    <w:rsid w:val="003368D5"/>
    <w:rsid w:val="00337610"/>
    <w:rsid w:val="0033763A"/>
    <w:rsid w:val="0034067E"/>
    <w:rsid w:val="00340B5C"/>
    <w:rsid w:val="003422D6"/>
    <w:rsid w:val="00342D70"/>
    <w:rsid w:val="00343705"/>
    <w:rsid w:val="00346051"/>
    <w:rsid w:val="00346C53"/>
    <w:rsid w:val="00346FFD"/>
    <w:rsid w:val="00347107"/>
    <w:rsid w:val="00347715"/>
    <w:rsid w:val="00350A45"/>
    <w:rsid w:val="0035190C"/>
    <w:rsid w:val="00351F7C"/>
    <w:rsid w:val="003537B5"/>
    <w:rsid w:val="003556CC"/>
    <w:rsid w:val="00355E38"/>
    <w:rsid w:val="00356010"/>
    <w:rsid w:val="00360B5A"/>
    <w:rsid w:val="00363059"/>
    <w:rsid w:val="00363B06"/>
    <w:rsid w:val="0036404F"/>
    <w:rsid w:val="003641D1"/>
    <w:rsid w:val="003649F7"/>
    <w:rsid w:val="00366FFD"/>
    <w:rsid w:val="00367299"/>
    <w:rsid w:val="00370131"/>
    <w:rsid w:val="00370621"/>
    <w:rsid w:val="00370C6F"/>
    <w:rsid w:val="00371BA3"/>
    <w:rsid w:val="00371FB4"/>
    <w:rsid w:val="0037413B"/>
    <w:rsid w:val="00376991"/>
    <w:rsid w:val="00377A25"/>
    <w:rsid w:val="00377C47"/>
    <w:rsid w:val="003802D3"/>
    <w:rsid w:val="00381299"/>
    <w:rsid w:val="00385399"/>
    <w:rsid w:val="003858F5"/>
    <w:rsid w:val="00387835"/>
    <w:rsid w:val="00387CAE"/>
    <w:rsid w:val="00387EEC"/>
    <w:rsid w:val="00390F03"/>
    <w:rsid w:val="00390F98"/>
    <w:rsid w:val="00392B21"/>
    <w:rsid w:val="00393298"/>
    <w:rsid w:val="00395F54"/>
    <w:rsid w:val="003969C1"/>
    <w:rsid w:val="00396B86"/>
    <w:rsid w:val="0039730F"/>
    <w:rsid w:val="0039785A"/>
    <w:rsid w:val="003A1871"/>
    <w:rsid w:val="003A19EF"/>
    <w:rsid w:val="003A3706"/>
    <w:rsid w:val="003A3DFA"/>
    <w:rsid w:val="003A46E8"/>
    <w:rsid w:val="003A5090"/>
    <w:rsid w:val="003B0B2C"/>
    <w:rsid w:val="003B0FDF"/>
    <w:rsid w:val="003B1A9E"/>
    <w:rsid w:val="003B30CD"/>
    <w:rsid w:val="003B4DEA"/>
    <w:rsid w:val="003B52E3"/>
    <w:rsid w:val="003B57A9"/>
    <w:rsid w:val="003B76B2"/>
    <w:rsid w:val="003C2620"/>
    <w:rsid w:val="003C3C87"/>
    <w:rsid w:val="003C3DAF"/>
    <w:rsid w:val="003C5869"/>
    <w:rsid w:val="003C65C8"/>
    <w:rsid w:val="003C6E91"/>
    <w:rsid w:val="003C71CD"/>
    <w:rsid w:val="003C7701"/>
    <w:rsid w:val="003C7880"/>
    <w:rsid w:val="003D009C"/>
    <w:rsid w:val="003D03AB"/>
    <w:rsid w:val="003D0B37"/>
    <w:rsid w:val="003D167D"/>
    <w:rsid w:val="003D1915"/>
    <w:rsid w:val="003D1BC8"/>
    <w:rsid w:val="003D245B"/>
    <w:rsid w:val="003D523B"/>
    <w:rsid w:val="003D6592"/>
    <w:rsid w:val="003D666B"/>
    <w:rsid w:val="003D6A72"/>
    <w:rsid w:val="003E1317"/>
    <w:rsid w:val="003E1CB9"/>
    <w:rsid w:val="003E459B"/>
    <w:rsid w:val="003E54E1"/>
    <w:rsid w:val="003E5632"/>
    <w:rsid w:val="003E688B"/>
    <w:rsid w:val="003E771F"/>
    <w:rsid w:val="003E7E84"/>
    <w:rsid w:val="003F0498"/>
    <w:rsid w:val="003F1D07"/>
    <w:rsid w:val="003F2684"/>
    <w:rsid w:val="003F2F89"/>
    <w:rsid w:val="003F465E"/>
    <w:rsid w:val="003F4773"/>
    <w:rsid w:val="003F6B78"/>
    <w:rsid w:val="003F7645"/>
    <w:rsid w:val="004003D7"/>
    <w:rsid w:val="00401700"/>
    <w:rsid w:val="00402549"/>
    <w:rsid w:val="0040350C"/>
    <w:rsid w:val="004104C3"/>
    <w:rsid w:val="00411C81"/>
    <w:rsid w:val="00412312"/>
    <w:rsid w:val="004138D9"/>
    <w:rsid w:val="00413A64"/>
    <w:rsid w:val="004140BE"/>
    <w:rsid w:val="004147DF"/>
    <w:rsid w:val="0041492D"/>
    <w:rsid w:val="0041540F"/>
    <w:rsid w:val="004208E7"/>
    <w:rsid w:val="00423648"/>
    <w:rsid w:val="004243D5"/>
    <w:rsid w:val="00424AF3"/>
    <w:rsid w:val="00426698"/>
    <w:rsid w:val="00427029"/>
    <w:rsid w:val="0042738C"/>
    <w:rsid w:val="00431B10"/>
    <w:rsid w:val="00432206"/>
    <w:rsid w:val="00433A73"/>
    <w:rsid w:val="004341EC"/>
    <w:rsid w:val="00435AEE"/>
    <w:rsid w:val="004362F2"/>
    <w:rsid w:val="00437E9F"/>
    <w:rsid w:val="004406B4"/>
    <w:rsid w:val="004427F1"/>
    <w:rsid w:val="00444230"/>
    <w:rsid w:val="004446A8"/>
    <w:rsid w:val="00445471"/>
    <w:rsid w:val="004465B7"/>
    <w:rsid w:val="0045061F"/>
    <w:rsid w:val="0045208C"/>
    <w:rsid w:val="00454243"/>
    <w:rsid w:val="00455750"/>
    <w:rsid w:val="0045693D"/>
    <w:rsid w:val="00456AE4"/>
    <w:rsid w:val="0045704F"/>
    <w:rsid w:val="0045799F"/>
    <w:rsid w:val="00462404"/>
    <w:rsid w:val="00463EF5"/>
    <w:rsid w:val="004642D6"/>
    <w:rsid w:val="00466231"/>
    <w:rsid w:val="0047103D"/>
    <w:rsid w:val="00471C95"/>
    <w:rsid w:val="00472367"/>
    <w:rsid w:val="00472549"/>
    <w:rsid w:val="00472A66"/>
    <w:rsid w:val="0047396D"/>
    <w:rsid w:val="00476D4D"/>
    <w:rsid w:val="004805FB"/>
    <w:rsid w:val="004811AA"/>
    <w:rsid w:val="004811BF"/>
    <w:rsid w:val="00481374"/>
    <w:rsid w:val="0048145E"/>
    <w:rsid w:val="00484BEB"/>
    <w:rsid w:val="00484C67"/>
    <w:rsid w:val="00485E98"/>
    <w:rsid w:val="004909D7"/>
    <w:rsid w:val="004913B3"/>
    <w:rsid w:val="00492980"/>
    <w:rsid w:val="00495FFA"/>
    <w:rsid w:val="00496207"/>
    <w:rsid w:val="004965CE"/>
    <w:rsid w:val="0049666F"/>
    <w:rsid w:val="004976C4"/>
    <w:rsid w:val="004A1F29"/>
    <w:rsid w:val="004A56D9"/>
    <w:rsid w:val="004A5836"/>
    <w:rsid w:val="004B0D35"/>
    <w:rsid w:val="004B0D54"/>
    <w:rsid w:val="004B2640"/>
    <w:rsid w:val="004B5566"/>
    <w:rsid w:val="004B5836"/>
    <w:rsid w:val="004B665F"/>
    <w:rsid w:val="004B7FD8"/>
    <w:rsid w:val="004C14D5"/>
    <w:rsid w:val="004C2234"/>
    <w:rsid w:val="004C259E"/>
    <w:rsid w:val="004C36ED"/>
    <w:rsid w:val="004C43B0"/>
    <w:rsid w:val="004C4B39"/>
    <w:rsid w:val="004C512B"/>
    <w:rsid w:val="004C5F7C"/>
    <w:rsid w:val="004C7011"/>
    <w:rsid w:val="004D0AF8"/>
    <w:rsid w:val="004D0DE0"/>
    <w:rsid w:val="004D1ADA"/>
    <w:rsid w:val="004D3D09"/>
    <w:rsid w:val="004D469B"/>
    <w:rsid w:val="004D6440"/>
    <w:rsid w:val="004D6907"/>
    <w:rsid w:val="004D77A4"/>
    <w:rsid w:val="004D7C09"/>
    <w:rsid w:val="004E0204"/>
    <w:rsid w:val="004E095B"/>
    <w:rsid w:val="004E39A5"/>
    <w:rsid w:val="004E4432"/>
    <w:rsid w:val="004E4C57"/>
    <w:rsid w:val="004E5C5D"/>
    <w:rsid w:val="004E5FAC"/>
    <w:rsid w:val="004F1A7D"/>
    <w:rsid w:val="004F2F69"/>
    <w:rsid w:val="004F45E0"/>
    <w:rsid w:val="004F49C8"/>
    <w:rsid w:val="004F5397"/>
    <w:rsid w:val="004F64AD"/>
    <w:rsid w:val="004F6B56"/>
    <w:rsid w:val="004F70B1"/>
    <w:rsid w:val="004F70F6"/>
    <w:rsid w:val="004F762B"/>
    <w:rsid w:val="004F7A08"/>
    <w:rsid w:val="0050229E"/>
    <w:rsid w:val="005027AB"/>
    <w:rsid w:val="00502B07"/>
    <w:rsid w:val="00503CA8"/>
    <w:rsid w:val="005052FA"/>
    <w:rsid w:val="0050724A"/>
    <w:rsid w:val="00507768"/>
    <w:rsid w:val="00507C90"/>
    <w:rsid w:val="0051121F"/>
    <w:rsid w:val="005128B0"/>
    <w:rsid w:val="0051501D"/>
    <w:rsid w:val="005151FB"/>
    <w:rsid w:val="005154EB"/>
    <w:rsid w:val="00516235"/>
    <w:rsid w:val="00517915"/>
    <w:rsid w:val="00522485"/>
    <w:rsid w:val="00522C05"/>
    <w:rsid w:val="005252E2"/>
    <w:rsid w:val="00526B0E"/>
    <w:rsid w:val="0053148D"/>
    <w:rsid w:val="0053541D"/>
    <w:rsid w:val="00535D39"/>
    <w:rsid w:val="0053704D"/>
    <w:rsid w:val="00541164"/>
    <w:rsid w:val="005413C7"/>
    <w:rsid w:val="00542741"/>
    <w:rsid w:val="00542AFB"/>
    <w:rsid w:val="0054301F"/>
    <w:rsid w:val="005445B0"/>
    <w:rsid w:val="00550A6D"/>
    <w:rsid w:val="005510F6"/>
    <w:rsid w:val="005527FF"/>
    <w:rsid w:val="00553983"/>
    <w:rsid w:val="0055415E"/>
    <w:rsid w:val="0055487F"/>
    <w:rsid w:val="00554F6C"/>
    <w:rsid w:val="00556A90"/>
    <w:rsid w:val="00563239"/>
    <w:rsid w:val="00565069"/>
    <w:rsid w:val="005660CE"/>
    <w:rsid w:val="005662D3"/>
    <w:rsid w:val="00566627"/>
    <w:rsid w:val="00567142"/>
    <w:rsid w:val="005674EB"/>
    <w:rsid w:val="005675D1"/>
    <w:rsid w:val="0057061B"/>
    <w:rsid w:val="00572425"/>
    <w:rsid w:val="00572F78"/>
    <w:rsid w:val="00575BCE"/>
    <w:rsid w:val="00580661"/>
    <w:rsid w:val="00580672"/>
    <w:rsid w:val="005815CD"/>
    <w:rsid w:val="0058207C"/>
    <w:rsid w:val="00583F9E"/>
    <w:rsid w:val="005842E0"/>
    <w:rsid w:val="005844CA"/>
    <w:rsid w:val="00590750"/>
    <w:rsid w:val="005914A0"/>
    <w:rsid w:val="00593E0F"/>
    <w:rsid w:val="005950D8"/>
    <w:rsid w:val="005964B4"/>
    <w:rsid w:val="00597FF4"/>
    <w:rsid w:val="005A3362"/>
    <w:rsid w:val="005A4256"/>
    <w:rsid w:val="005A427E"/>
    <w:rsid w:val="005A4668"/>
    <w:rsid w:val="005A4B00"/>
    <w:rsid w:val="005A61A7"/>
    <w:rsid w:val="005A756F"/>
    <w:rsid w:val="005A7D60"/>
    <w:rsid w:val="005B0556"/>
    <w:rsid w:val="005B09CB"/>
    <w:rsid w:val="005B1B59"/>
    <w:rsid w:val="005B39B4"/>
    <w:rsid w:val="005B3CFB"/>
    <w:rsid w:val="005B4358"/>
    <w:rsid w:val="005B4FE0"/>
    <w:rsid w:val="005B5548"/>
    <w:rsid w:val="005B6CDC"/>
    <w:rsid w:val="005B7C24"/>
    <w:rsid w:val="005C013B"/>
    <w:rsid w:val="005C246F"/>
    <w:rsid w:val="005C2853"/>
    <w:rsid w:val="005C37D6"/>
    <w:rsid w:val="005C3821"/>
    <w:rsid w:val="005C430D"/>
    <w:rsid w:val="005C4FEF"/>
    <w:rsid w:val="005C51A3"/>
    <w:rsid w:val="005C550B"/>
    <w:rsid w:val="005C6579"/>
    <w:rsid w:val="005C748C"/>
    <w:rsid w:val="005C76AF"/>
    <w:rsid w:val="005D0579"/>
    <w:rsid w:val="005D0AD0"/>
    <w:rsid w:val="005D1BEF"/>
    <w:rsid w:val="005D31DD"/>
    <w:rsid w:val="005D325B"/>
    <w:rsid w:val="005D39AA"/>
    <w:rsid w:val="005D4A38"/>
    <w:rsid w:val="005D6CD8"/>
    <w:rsid w:val="005E05BD"/>
    <w:rsid w:val="005E19EE"/>
    <w:rsid w:val="005E3A63"/>
    <w:rsid w:val="005E4CD5"/>
    <w:rsid w:val="005E699F"/>
    <w:rsid w:val="005E7FB1"/>
    <w:rsid w:val="005F16CD"/>
    <w:rsid w:val="005F2071"/>
    <w:rsid w:val="005F2129"/>
    <w:rsid w:val="005F51F8"/>
    <w:rsid w:val="005F5B1A"/>
    <w:rsid w:val="005F62E2"/>
    <w:rsid w:val="005F6A5B"/>
    <w:rsid w:val="005F7389"/>
    <w:rsid w:val="005F7DDD"/>
    <w:rsid w:val="005F7ED7"/>
    <w:rsid w:val="00600B87"/>
    <w:rsid w:val="00601EF3"/>
    <w:rsid w:val="00602B21"/>
    <w:rsid w:val="00602E38"/>
    <w:rsid w:val="00605DA3"/>
    <w:rsid w:val="0060755C"/>
    <w:rsid w:val="0060798E"/>
    <w:rsid w:val="006107BC"/>
    <w:rsid w:val="006122CD"/>
    <w:rsid w:val="00612F38"/>
    <w:rsid w:val="006135A7"/>
    <w:rsid w:val="006142F4"/>
    <w:rsid w:val="00616848"/>
    <w:rsid w:val="00617B6F"/>
    <w:rsid w:val="00620140"/>
    <w:rsid w:val="0062153E"/>
    <w:rsid w:val="006226E5"/>
    <w:rsid w:val="0062286D"/>
    <w:rsid w:val="00622957"/>
    <w:rsid w:val="00622C6B"/>
    <w:rsid w:val="00624381"/>
    <w:rsid w:val="006243D8"/>
    <w:rsid w:val="00625109"/>
    <w:rsid w:val="00625F18"/>
    <w:rsid w:val="0063011B"/>
    <w:rsid w:val="0063243D"/>
    <w:rsid w:val="006336E5"/>
    <w:rsid w:val="0063469F"/>
    <w:rsid w:val="00637A3A"/>
    <w:rsid w:val="006402C1"/>
    <w:rsid w:val="00641CE0"/>
    <w:rsid w:val="006434CB"/>
    <w:rsid w:val="00643606"/>
    <w:rsid w:val="006459A1"/>
    <w:rsid w:val="00645A2C"/>
    <w:rsid w:val="00645A48"/>
    <w:rsid w:val="00645D02"/>
    <w:rsid w:val="0064646D"/>
    <w:rsid w:val="00647548"/>
    <w:rsid w:val="006475BC"/>
    <w:rsid w:val="0065072A"/>
    <w:rsid w:val="0065460C"/>
    <w:rsid w:val="00654F2B"/>
    <w:rsid w:val="0065505A"/>
    <w:rsid w:val="0065577E"/>
    <w:rsid w:val="00655981"/>
    <w:rsid w:val="0065629F"/>
    <w:rsid w:val="006566F0"/>
    <w:rsid w:val="00657803"/>
    <w:rsid w:val="0066080C"/>
    <w:rsid w:val="00664117"/>
    <w:rsid w:val="006671B5"/>
    <w:rsid w:val="00667CAF"/>
    <w:rsid w:val="00667E9E"/>
    <w:rsid w:val="006712D4"/>
    <w:rsid w:val="0067148D"/>
    <w:rsid w:val="006718F7"/>
    <w:rsid w:val="00674A47"/>
    <w:rsid w:val="006758EA"/>
    <w:rsid w:val="006770CE"/>
    <w:rsid w:val="0068334E"/>
    <w:rsid w:val="006839AE"/>
    <w:rsid w:val="006909C2"/>
    <w:rsid w:val="006931F5"/>
    <w:rsid w:val="00694536"/>
    <w:rsid w:val="00694FD0"/>
    <w:rsid w:val="006959FD"/>
    <w:rsid w:val="00697787"/>
    <w:rsid w:val="00697E33"/>
    <w:rsid w:val="006A13DD"/>
    <w:rsid w:val="006A1D7A"/>
    <w:rsid w:val="006A2C40"/>
    <w:rsid w:val="006A3018"/>
    <w:rsid w:val="006A5A25"/>
    <w:rsid w:val="006B0C0E"/>
    <w:rsid w:val="006B1695"/>
    <w:rsid w:val="006B272F"/>
    <w:rsid w:val="006B5137"/>
    <w:rsid w:val="006B573A"/>
    <w:rsid w:val="006B576A"/>
    <w:rsid w:val="006B71B7"/>
    <w:rsid w:val="006B7A10"/>
    <w:rsid w:val="006B7B32"/>
    <w:rsid w:val="006C2F7F"/>
    <w:rsid w:val="006C343C"/>
    <w:rsid w:val="006C3F9D"/>
    <w:rsid w:val="006C48CF"/>
    <w:rsid w:val="006C4CA0"/>
    <w:rsid w:val="006C6349"/>
    <w:rsid w:val="006C74DF"/>
    <w:rsid w:val="006D0A0C"/>
    <w:rsid w:val="006D0E92"/>
    <w:rsid w:val="006D10A8"/>
    <w:rsid w:val="006D1BFC"/>
    <w:rsid w:val="006D2834"/>
    <w:rsid w:val="006D5972"/>
    <w:rsid w:val="006D62EF"/>
    <w:rsid w:val="006D6B7C"/>
    <w:rsid w:val="006E287F"/>
    <w:rsid w:val="006E3A87"/>
    <w:rsid w:val="006E3AC5"/>
    <w:rsid w:val="006E3C8D"/>
    <w:rsid w:val="006E3EBD"/>
    <w:rsid w:val="006E3F95"/>
    <w:rsid w:val="006E40A2"/>
    <w:rsid w:val="006E4B40"/>
    <w:rsid w:val="006E5363"/>
    <w:rsid w:val="006E7752"/>
    <w:rsid w:val="006F0242"/>
    <w:rsid w:val="006F22C3"/>
    <w:rsid w:val="006F2ACD"/>
    <w:rsid w:val="006F3B0F"/>
    <w:rsid w:val="006F410C"/>
    <w:rsid w:val="006F48A6"/>
    <w:rsid w:val="006F50F7"/>
    <w:rsid w:val="006F5179"/>
    <w:rsid w:val="006F52E5"/>
    <w:rsid w:val="006F6720"/>
    <w:rsid w:val="00700445"/>
    <w:rsid w:val="0070055D"/>
    <w:rsid w:val="00700AB9"/>
    <w:rsid w:val="0070123F"/>
    <w:rsid w:val="00703A5E"/>
    <w:rsid w:val="007040E6"/>
    <w:rsid w:val="007045DE"/>
    <w:rsid w:val="00704E90"/>
    <w:rsid w:val="00706030"/>
    <w:rsid w:val="00706110"/>
    <w:rsid w:val="00707C49"/>
    <w:rsid w:val="00707FC3"/>
    <w:rsid w:val="00714E77"/>
    <w:rsid w:val="00717472"/>
    <w:rsid w:val="00720507"/>
    <w:rsid w:val="00720518"/>
    <w:rsid w:val="00720B9B"/>
    <w:rsid w:val="00721C73"/>
    <w:rsid w:val="0072274E"/>
    <w:rsid w:val="0072279E"/>
    <w:rsid w:val="00723030"/>
    <w:rsid w:val="00724CC8"/>
    <w:rsid w:val="0072505B"/>
    <w:rsid w:val="007254C4"/>
    <w:rsid w:val="007254E3"/>
    <w:rsid w:val="00725ADE"/>
    <w:rsid w:val="00726D6A"/>
    <w:rsid w:val="00727406"/>
    <w:rsid w:val="00727F65"/>
    <w:rsid w:val="007307B1"/>
    <w:rsid w:val="007314F6"/>
    <w:rsid w:val="00733A0B"/>
    <w:rsid w:val="00733BFB"/>
    <w:rsid w:val="007345BE"/>
    <w:rsid w:val="00736336"/>
    <w:rsid w:val="00736CA0"/>
    <w:rsid w:val="00737267"/>
    <w:rsid w:val="00737AB3"/>
    <w:rsid w:val="00740179"/>
    <w:rsid w:val="00741A45"/>
    <w:rsid w:val="00742328"/>
    <w:rsid w:val="00742D43"/>
    <w:rsid w:val="00742D7C"/>
    <w:rsid w:val="00742F91"/>
    <w:rsid w:val="00746597"/>
    <w:rsid w:val="00750C6B"/>
    <w:rsid w:val="00756340"/>
    <w:rsid w:val="007569B2"/>
    <w:rsid w:val="00757C9A"/>
    <w:rsid w:val="00762179"/>
    <w:rsid w:val="00763B0C"/>
    <w:rsid w:val="007646C7"/>
    <w:rsid w:val="00767A92"/>
    <w:rsid w:val="00767E0E"/>
    <w:rsid w:val="00771D59"/>
    <w:rsid w:val="0077236E"/>
    <w:rsid w:val="00772BF7"/>
    <w:rsid w:val="00773DF7"/>
    <w:rsid w:val="00775633"/>
    <w:rsid w:val="00777868"/>
    <w:rsid w:val="00777CDD"/>
    <w:rsid w:val="00781064"/>
    <w:rsid w:val="00784796"/>
    <w:rsid w:val="0078575D"/>
    <w:rsid w:val="0078677B"/>
    <w:rsid w:val="0078762D"/>
    <w:rsid w:val="007910FA"/>
    <w:rsid w:val="00791312"/>
    <w:rsid w:val="00791628"/>
    <w:rsid w:val="00792A8C"/>
    <w:rsid w:val="007938F4"/>
    <w:rsid w:val="00794265"/>
    <w:rsid w:val="00794F7D"/>
    <w:rsid w:val="00795086"/>
    <w:rsid w:val="00795CEB"/>
    <w:rsid w:val="007A2EB3"/>
    <w:rsid w:val="007A3B3D"/>
    <w:rsid w:val="007A412B"/>
    <w:rsid w:val="007A46A4"/>
    <w:rsid w:val="007A4EF2"/>
    <w:rsid w:val="007A6911"/>
    <w:rsid w:val="007A6DF5"/>
    <w:rsid w:val="007B24F4"/>
    <w:rsid w:val="007B35D3"/>
    <w:rsid w:val="007B5B69"/>
    <w:rsid w:val="007B67FA"/>
    <w:rsid w:val="007C10BD"/>
    <w:rsid w:val="007C11F7"/>
    <w:rsid w:val="007C242B"/>
    <w:rsid w:val="007C35C2"/>
    <w:rsid w:val="007C4B87"/>
    <w:rsid w:val="007C50A2"/>
    <w:rsid w:val="007C6B3D"/>
    <w:rsid w:val="007C6D44"/>
    <w:rsid w:val="007C7E0D"/>
    <w:rsid w:val="007D00C9"/>
    <w:rsid w:val="007D0959"/>
    <w:rsid w:val="007D254E"/>
    <w:rsid w:val="007D2F63"/>
    <w:rsid w:val="007D3CFC"/>
    <w:rsid w:val="007D56A1"/>
    <w:rsid w:val="007D5E08"/>
    <w:rsid w:val="007D6C4E"/>
    <w:rsid w:val="007E0BB8"/>
    <w:rsid w:val="007E1D5B"/>
    <w:rsid w:val="007E3157"/>
    <w:rsid w:val="007E503D"/>
    <w:rsid w:val="007E5B2C"/>
    <w:rsid w:val="007E637F"/>
    <w:rsid w:val="007E6437"/>
    <w:rsid w:val="007E7B35"/>
    <w:rsid w:val="007F2C4E"/>
    <w:rsid w:val="007F53B7"/>
    <w:rsid w:val="007F57CF"/>
    <w:rsid w:val="008006CA"/>
    <w:rsid w:val="0080138A"/>
    <w:rsid w:val="00802907"/>
    <w:rsid w:val="00804A0A"/>
    <w:rsid w:val="00805009"/>
    <w:rsid w:val="008052DA"/>
    <w:rsid w:val="00805B53"/>
    <w:rsid w:val="00807A68"/>
    <w:rsid w:val="0081072F"/>
    <w:rsid w:val="00810898"/>
    <w:rsid w:val="008113F9"/>
    <w:rsid w:val="00813651"/>
    <w:rsid w:val="00813FB6"/>
    <w:rsid w:val="00824A3A"/>
    <w:rsid w:val="0082531E"/>
    <w:rsid w:val="008259C0"/>
    <w:rsid w:val="0082690C"/>
    <w:rsid w:val="008269F3"/>
    <w:rsid w:val="00827D3C"/>
    <w:rsid w:val="0083118A"/>
    <w:rsid w:val="00831C31"/>
    <w:rsid w:val="0083353A"/>
    <w:rsid w:val="0083367C"/>
    <w:rsid w:val="00834B43"/>
    <w:rsid w:val="00834C27"/>
    <w:rsid w:val="00835055"/>
    <w:rsid w:val="00835198"/>
    <w:rsid w:val="0083598E"/>
    <w:rsid w:val="00835B00"/>
    <w:rsid w:val="00835D1B"/>
    <w:rsid w:val="00836BBC"/>
    <w:rsid w:val="00841852"/>
    <w:rsid w:val="00842A4B"/>
    <w:rsid w:val="00842AAB"/>
    <w:rsid w:val="00842EFC"/>
    <w:rsid w:val="00843BDF"/>
    <w:rsid w:val="008443FA"/>
    <w:rsid w:val="00844553"/>
    <w:rsid w:val="008452A8"/>
    <w:rsid w:val="00847520"/>
    <w:rsid w:val="008507F7"/>
    <w:rsid w:val="008514A7"/>
    <w:rsid w:val="00851712"/>
    <w:rsid w:val="00851938"/>
    <w:rsid w:val="00851FBF"/>
    <w:rsid w:val="00856AAA"/>
    <w:rsid w:val="00856F59"/>
    <w:rsid w:val="0085745E"/>
    <w:rsid w:val="0086115E"/>
    <w:rsid w:val="00861FC1"/>
    <w:rsid w:val="00862663"/>
    <w:rsid w:val="00862F4C"/>
    <w:rsid w:val="00862F66"/>
    <w:rsid w:val="00863235"/>
    <w:rsid w:val="00863D81"/>
    <w:rsid w:val="008648AB"/>
    <w:rsid w:val="00867040"/>
    <w:rsid w:val="008710AE"/>
    <w:rsid w:val="00871235"/>
    <w:rsid w:val="00872566"/>
    <w:rsid w:val="0087274A"/>
    <w:rsid w:val="00872FE0"/>
    <w:rsid w:val="008731D7"/>
    <w:rsid w:val="008732F1"/>
    <w:rsid w:val="00873D94"/>
    <w:rsid w:val="00874347"/>
    <w:rsid w:val="00874956"/>
    <w:rsid w:val="008752D3"/>
    <w:rsid w:val="0087544D"/>
    <w:rsid w:val="008766BE"/>
    <w:rsid w:val="0087701A"/>
    <w:rsid w:val="00877DA1"/>
    <w:rsid w:val="008800A2"/>
    <w:rsid w:val="00881783"/>
    <w:rsid w:val="00882F91"/>
    <w:rsid w:val="00883E47"/>
    <w:rsid w:val="00884546"/>
    <w:rsid w:val="0088750A"/>
    <w:rsid w:val="0089109F"/>
    <w:rsid w:val="00891CD6"/>
    <w:rsid w:val="00894E63"/>
    <w:rsid w:val="008965A5"/>
    <w:rsid w:val="008978A5"/>
    <w:rsid w:val="008A1BE6"/>
    <w:rsid w:val="008A45B5"/>
    <w:rsid w:val="008A6AFA"/>
    <w:rsid w:val="008A744A"/>
    <w:rsid w:val="008A7E5E"/>
    <w:rsid w:val="008B02E7"/>
    <w:rsid w:val="008B545D"/>
    <w:rsid w:val="008B5898"/>
    <w:rsid w:val="008B69DF"/>
    <w:rsid w:val="008B6EB3"/>
    <w:rsid w:val="008B6FEE"/>
    <w:rsid w:val="008B771D"/>
    <w:rsid w:val="008C08C3"/>
    <w:rsid w:val="008C1629"/>
    <w:rsid w:val="008C2146"/>
    <w:rsid w:val="008C3259"/>
    <w:rsid w:val="008C336F"/>
    <w:rsid w:val="008C3C24"/>
    <w:rsid w:val="008C3D1E"/>
    <w:rsid w:val="008C45B7"/>
    <w:rsid w:val="008C5F12"/>
    <w:rsid w:val="008C633C"/>
    <w:rsid w:val="008C7A57"/>
    <w:rsid w:val="008D098A"/>
    <w:rsid w:val="008D1A1F"/>
    <w:rsid w:val="008D2481"/>
    <w:rsid w:val="008D388D"/>
    <w:rsid w:val="008D44EA"/>
    <w:rsid w:val="008D5178"/>
    <w:rsid w:val="008D5C35"/>
    <w:rsid w:val="008D7763"/>
    <w:rsid w:val="008D7FB4"/>
    <w:rsid w:val="008E3310"/>
    <w:rsid w:val="008E4C24"/>
    <w:rsid w:val="008E5D9A"/>
    <w:rsid w:val="008E6949"/>
    <w:rsid w:val="008F205E"/>
    <w:rsid w:val="008F35D3"/>
    <w:rsid w:val="008F3BBD"/>
    <w:rsid w:val="008F6EB6"/>
    <w:rsid w:val="008F729E"/>
    <w:rsid w:val="008F7C79"/>
    <w:rsid w:val="00900F94"/>
    <w:rsid w:val="0090229D"/>
    <w:rsid w:val="00902924"/>
    <w:rsid w:val="00902FB0"/>
    <w:rsid w:val="00903D60"/>
    <w:rsid w:val="009042A0"/>
    <w:rsid w:val="00904EC5"/>
    <w:rsid w:val="00907143"/>
    <w:rsid w:val="00910E55"/>
    <w:rsid w:val="00912D39"/>
    <w:rsid w:val="009138DC"/>
    <w:rsid w:val="00914E2A"/>
    <w:rsid w:val="00915FA6"/>
    <w:rsid w:val="00916430"/>
    <w:rsid w:val="009165F7"/>
    <w:rsid w:val="009225C2"/>
    <w:rsid w:val="00923525"/>
    <w:rsid w:val="00924B17"/>
    <w:rsid w:val="00924DC3"/>
    <w:rsid w:val="009258B5"/>
    <w:rsid w:val="00925B3D"/>
    <w:rsid w:val="00925E64"/>
    <w:rsid w:val="0092641D"/>
    <w:rsid w:val="00927E85"/>
    <w:rsid w:val="0093097F"/>
    <w:rsid w:val="00931732"/>
    <w:rsid w:val="00933290"/>
    <w:rsid w:val="0093465D"/>
    <w:rsid w:val="00934703"/>
    <w:rsid w:val="009362E0"/>
    <w:rsid w:val="00937B69"/>
    <w:rsid w:val="00941792"/>
    <w:rsid w:val="009422AA"/>
    <w:rsid w:val="00942AE2"/>
    <w:rsid w:val="00944697"/>
    <w:rsid w:val="00944CB0"/>
    <w:rsid w:val="00945D3C"/>
    <w:rsid w:val="00947D13"/>
    <w:rsid w:val="00950F2E"/>
    <w:rsid w:val="00953ED9"/>
    <w:rsid w:val="00954885"/>
    <w:rsid w:val="00955D24"/>
    <w:rsid w:val="009564AE"/>
    <w:rsid w:val="00960595"/>
    <w:rsid w:val="00962AAA"/>
    <w:rsid w:val="009631D7"/>
    <w:rsid w:val="00963203"/>
    <w:rsid w:val="00963673"/>
    <w:rsid w:val="00964489"/>
    <w:rsid w:val="00964DD6"/>
    <w:rsid w:val="0096533B"/>
    <w:rsid w:val="00965AA4"/>
    <w:rsid w:val="00967774"/>
    <w:rsid w:val="00967815"/>
    <w:rsid w:val="00971573"/>
    <w:rsid w:val="009716F8"/>
    <w:rsid w:val="00972DF0"/>
    <w:rsid w:val="00974A04"/>
    <w:rsid w:val="00974B65"/>
    <w:rsid w:val="00976A91"/>
    <w:rsid w:val="00976B68"/>
    <w:rsid w:val="0097705F"/>
    <w:rsid w:val="00977E59"/>
    <w:rsid w:val="0098182C"/>
    <w:rsid w:val="00981D55"/>
    <w:rsid w:val="009824DB"/>
    <w:rsid w:val="00982F75"/>
    <w:rsid w:val="00983E61"/>
    <w:rsid w:val="0098528E"/>
    <w:rsid w:val="00986553"/>
    <w:rsid w:val="009914A4"/>
    <w:rsid w:val="0099492F"/>
    <w:rsid w:val="00997012"/>
    <w:rsid w:val="009A2E31"/>
    <w:rsid w:val="009A464B"/>
    <w:rsid w:val="009A6059"/>
    <w:rsid w:val="009A6104"/>
    <w:rsid w:val="009B0281"/>
    <w:rsid w:val="009B1700"/>
    <w:rsid w:val="009B2618"/>
    <w:rsid w:val="009B345C"/>
    <w:rsid w:val="009B34E6"/>
    <w:rsid w:val="009B4CF0"/>
    <w:rsid w:val="009B5887"/>
    <w:rsid w:val="009B5A67"/>
    <w:rsid w:val="009B661C"/>
    <w:rsid w:val="009B71C2"/>
    <w:rsid w:val="009C0335"/>
    <w:rsid w:val="009C0803"/>
    <w:rsid w:val="009C0CF7"/>
    <w:rsid w:val="009C30FB"/>
    <w:rsid w:val="009C34C7"/>
    <w:rsid w:val="009C3B21"/>
    <w:rsid w:val="009C4880"/>
    <w:rsid w:val="009C5F15"/>
    <w:rsid w:val="009C60E9"/>
    <w:rsid w:val="009C66BD"/>
    <w:rsid w:val="009C745E"/>
    <w:rsid w:val="009C7C0B"/>
    <w:rsid w:val="009C7F30"/>
    <w:rsid w:val="009D07F8"/>
    <w:rsid w:val="009D2BF3"/>
    <w:rsid w:val="009D3610"/>
    <w:rsid w:val="009D56DB"/>
    <w:rsid w:val="009D57B4"/>
    <w:rsid w:val="009D591B"/>
    <w:rsid w:val="009D6E7F"/>
    <w:rsid w:val="009D71F5"/>
    <w:rsid w:val="009E0B26"/>
    <w:rsid w:val="009E4890"/>
    <w:rsid w:val="009E52FF"/>
    <w:rsid w:val="009E69FF"/>
    <w:rsid w:val="009E6B07"/>
    <w:rsid w:val="009E6B8B"/>
    <w:rsid w:val="009F095C"/>
    <w:rsid w:val="009F1197"/>
    <w:rsid w:val="009F3E2B"/>
    <w:rsid w:val="009F3F12"/>
    <w:rsid w:val="009F4296"/>
    <w:rsid w:val="009F4D5E"/>
    <w:rsid w:val="009F64A1"/>
    <w:rsid w:val="009F7703"/>
    <w:rsid w:val="009F792B"/>
    <w:rsid w:val="00A0509A"/>
    <w:rsid w:val="00A0524A"/>
    <w:rsid w:val="00A06B2C"/>
    <w:rsid w:val="00A12DA5"/>
    <w:rsid w:val="00A13409"/>
    <w:rsid w:val="00A13C3E"/>
    <w:rsid w:val="00A140FA"/>
    <w:rsid w:val="00A16B1C"/>
    <w:rsid w:val="00A224D5"/>
    <w:rsid w:val="00A22BEA"/>
    <w:rsid w:val="00A23CA2"/>
    <w:rsid w:val="00A246C8"/>
    <w:rsid w:val="00A266BD"/>
    <w:rsid w:val="00A27A0F"/>
    <w:rsid w:val="00A27BC2"/>
    <w:rsid w:val="00A27CA4"/>
    <w:rsid w:val="00A33159"/>
    <w:rsid w:val="00A33229"/>
    <w:rsid w:val="00A33A32"/>
    <w:rsid w:val="00A33ED8"/>
    <w:rsid w:val="00A3547C"/>
    <w:rsid w:val="00A362D5"/>
    <w:rsid w:val="00A37862"/>
    <w:rsid w:val="00A37975"/>
    <w:rsid w:val="00A37D35"/>
    <w:rsid w:val="00A37F3D"/>
    <w:rsid w:val="00A40EBD"/>
    <w:rsid w:val="00A420AA"/>
    <w:rsid w:val="00A42365"/>
    <w:rsid w:val="00A427C6"/>
    <w:rsid w:val="00A42D5E"/>
    <w:rsid w:val="00A438D7"/>
    <w:rsid w:val="00A4475B"/>
    <w:rsid w:val="00A4617E"/>
    <w:rsid w:val="00A472EC"/>
    <w:rsid w:val="00A47626"/>
    <w:rsid w:val="00A504CD"/>
    <w:rsid w:val="00A52A22"/>
    <w:rsid w:val="00A532B7"/>
    <w:rsid w:val="00A5347B"/>
    <w:rsid w:val="00A55F66"/>
    <w:rsid w:val="00A601E8"/>
    <w:rsid w:val="00A61CBF"/>
    <w:rsid w:val="00A61DFC"/>
    <w:rsid w:val="00A621B9"/>
    <w:rsid w:val="00A62798"/>
    <w:rsid w:val="00A64029"/>
    <w:rsid w:val="00A65A6C"/>
    <w:rsid w:val="00A70000"/>
    <w:rsid w:val="00A70ED6"/>
    <w:rsid w:val="00A72AE1"/>
    <w:rsid w:val="00A72B71"/>
    <w:rsid w:val="00A72E17"/>
    <w:rsid w:val="00A72FC4"/>
    <w:rsid w:val="00A733CF"/>
    <w:rsid w:val="00A7381D"/>
    <w:rsid w:val="00A76655"/>
    <w:rsid w:val="00A7698D"/>
    <w:rsid w:val="00A771A8"/>
    <w:rsid w:val="00A81E99"/>
    <w:rsid w:val="00A81F2E"/>
    <w:rsid w:val="00A83111"/>
    <w:rsid w:val="00A8542C"/>
    <w:rsid w:val="00A8569A"/>
    <w:rsid w:val="00A860EB"/>
    <w:rsid w:val="00A87974"/>
    <w:rsid w:val="00A87A2C"/>
    <w:rsid w:val="00A90C62"/>
    <w:rsid w:val="00A91465"/>
    <w:rsid w:val="00A91E5F"/>
    <w:rsid w:val="00A92950"/>
    <w:rsid w:val="00A92A36"/>
    <w:rsid w:val="00A92BF9"/>
    <w:rsid w:val="00A938C1"/>
    <w:rsid w:val="00A94495"/>
    <w:rsid w:val="00A945D2"/>
    <w:rsid w:val="00A95B4F"/>
    <w:rsid w:val="00A95B92"/>
    <w:rsid w:val="00A95E62"/>
    <w:rsid w:val="00A96E7A"/>
    <w:rsid w:val="00A978B7"/>
    <w:rsid w:val="00AA2070"/>
    <w:rsid w:val="00AA39EE"/>
    <w:rsid w:val="00AB03DA"/>
    <w:rsid w:val="00AB2946"/>
    <w:rsid w:val="00AB2DE8"/>
    <w:rsid w:val="00AB30C3"/>
    <w:rsid w:val="00AB3758"/>
    <w:rsid w:val="00AB3C95"/>
    <w:rsid w:val="00AB47C3"/>
    <w:rsid w:val="00AB6411"/>
    <w:rsid w:val="00AB730C"/>
    <w:rsid w:val="00AB740E"/>
    <w:rsid w:val="00AC29DA"/>
    <w:rsid w:val="00AC2B10"/>
    <w:rsid w:val="00AC37F5"/>
    <w:rsid w:val="00AC458B"/>
    <w:rsid w:val="00AC473F"/>
    <w:rsid w:val="00AC4986"/>
    <w:rsid w:val="00AC5AF8"/>
    <w:rsid w:val="00AC5BA3"/>
    <w:rsid w:val="00AC66B5"/>
    <w:rsid w:val="00AC6A9D"/>
    <w:rsid w:val="00AD08B8"/>
    <w:rsid w:val="00AD0DFD"/>
    <w:rsid w:val="00AD2043"/>
    <w:rsid w:val="00AD26B7"/>
    <w:rsid w:val="00AD3589"/>
    <w:rsid w:val="00AD3FC1"/>
    <w:rsid w:val="00AD4584"/>
    <w:rsid w:val="00AD788B"/>
    <w:rsid w:val="00AE014A"/>
    <w:rsid w:val="00AE44E6"/>
    <w:rsid w:val="00AE4A38"/>
    <w:rsid w:val="00AE52D0"/>
    <w:rsid w:val="00AE6053"/>
    <w:rsid w:val="00AE6550"/>
    <w:rsid w:val="00AE70B1"/>
    <w:rsid w:val="00AF4660"/>
    <w:rsid w:val="00AF4670"/>
    <w:rsid w:val="00B0300D"/>
    <w:rsid w:val="00B0338E"/>
    <w:rsid w:val="00B0588C"/>
    <w:rsid w:val="00B0604C"/>
    <w:rsid w:val="00B07402"/>
    <w:rsid w:val="00B12CF0"/>
    <w:rsid w:val="00B135DE"/>
    <w:rsid w:val="00B158D5"/>
    <w:rsid w:val="00B17962"/>
    <w:rsid w:val="00B17B12"/>
    <w:rsid w:val="00B22F56"/>
    <w:rsid w:val="00B23681"/>
    <w:rsid w:val="00B23A8F"/>
    <w:rsid w:val="00B2574C"/>
    <w:rsid w:val="00B25A6A"/>
    <w:rsid w:val="00B27B42"/>
    <w:rsid w:val="00B27DAA"/>
    <w:rsid w:val="00B27DAD"/>
    <w:rsid w:val="00B3040B"/>
    <w:rsid w:val="00B315E8"/>
    <w:rsid w:val="00B31D9E"/>
    <w:rsid w:val="00B33028"/>
    <w:rsid w:val="00B33291"/>
    <w:rsid w:val="00B363B3"/>
    <w:rsid w:val="00B37DD9"/>
    <w:rsid w:val="00B4163F"/>
    <w:rsid w:val="00B41F2C"/>
    <w:rsid w:val="00B41FD5"/>
    <w:rsid w:val="00B4239E"/>
    <w:rsid w:val="00B45BED"/>
    <w:rsid w:val="00B46150"/>
    <w:rsid w:val="00B4655C"/>
    <w:rsid w:val="00B47550"/>
    <w:rsid w:val="00B52902"/>
    <w:rsid w:val="00B5325C"/>
    <w:rsid w:val="00B5461F"/>
    <w:rsid w:val="00B5539D"/>
    <w:rsid w:val="00B5546F"/>
    <w:rsid w:val="00B56B9C"/>
    <w:rsid w:val="00B61B67"/>
    <w:rsid w:val="00B6287E"/>
    <w:rsid w:val="00B62880"/>
    <w:rsid w:val="00B66667"/>
    <w:rsid w:val="00B66861"/>
    <w:rsid w:val="00B67C88"/>
    <w:rsid w:val="00B67F14"/>
    <w:rsid w:val="00B71DE6"/>
    <w:rsid w:val="00B71F2E"/>
    <w:rsid w:val="00B72A30"/>
    <w:rsid w:val="00B7526E"/>
    <w:rsid w:val="00B75286"/>
    <w:rsid w:val="00B76C1B"/>
    <w:rsid w:val="00B77D2F"/>
    <w:rsid w:val="00B80E69"/>
    <w:rsid w:val="00B82543"/>
    <w:rsid w:val="00B846AE"/>
    <w:rsid w:val="00B85FF1"/>
    <w:rsid w:val="00B8620B"/>
    <w:rsid w:val="00B944B5"/>
    <w:rsid w:val="00B95B31"/>
    <w:rsid w:val="00B97F5E"/>
    <w:rsid w:val="00BA2269"/>
    <w:rsid w:val="00BA28FA"/>
    <w:rsid w:val="00BA3D97"/>
    <w:rsid w:val="00BA5294"/>
    <w:rsid w:val="00BA618C"/>
    <w:rsid w:val="00BA6807"/>
    <w:rsid w:val="00BA6FD8"/>
    <w:rsid w:val="00BA7860"/>
    <w:rsid w:val="00BA7D02"/>
    <w:rsid w:val="00BB074E"/>
    <w:rsid w:val="00BB20FA"/>
    <w:rsid w:val="00BB30C3"/>
    <w:rsid w:val="00BB349C"/>
    <w:rsid w:val="00BB4A4A"/>
    <w:rsid w:val="00BB63E7"/>
    <w:rsid w:val="00BC27C9"/>
    <w:rsid w:val="00BC3115"/>
    <w:rsid w:val="00BC4457"/>
    <w:rsid w:val="00BC4AF3"/>
    <w:rsid w:val="00BC54CF"/>
    <w:rsid w:val="00BC5C01"/>
    <w:rsid w:val="00BC62D4"/>
    <w:rsid w:val="00BC6839"/>
    <w:rsid w:val="00BC7E29"/>
    <w:rsid w:val="00BD1240"/>
    <w:rsid w:val="00BD1923"/>
    <w:rsid w:val="00BD19A7"/>
    <w:rsid w:val="00BD2334"/>
    <w:rsid w:val="00BD282E"/>
    <w:rsid w:val="00BD3744"/>
    <w:rsid w:val="00BD3CC1"/>
    <w:rsid w:val="00BD3D19"/>
    <w:rsid w:val="00BD3E7F"/>
    <w:rsid w:val="00BD60E5"/>
    <w:rsid w:val="00BD69F0"/>
    <w:rsid w:val="00BD6DF5"/>
    <w:rsid w:val="00BE13E1"/>
    <w:rsid w:val="00BE2EC8"/>
    <w:rsid w:val="00BE3764"/>
    <w:rsid w:val="00BE41AA"/>
    <w:rsid w:val="00BE448E"/>
    <w:rsid w:val="00BE497A"/>
    <w:rsid w:val="00BF38BD"/>
    <w:rsid w:val="00BF38D7"/>
    <w:rsid w:val="00BF464B"/>
    <w:rsid w:val="00BF58EC"/>
    <w:rsid w:val="00BF7FD8"/>
    <w:rsid w:val="00C015B3"/>
    <w:rsid w:val="00C01611"/>
    <w:rsid w:val="00C01BED"/>
    <w:rsid w:val="00C03805"/>
    <w:rsid w:val="00C11B11"/>
    <w:rsid w:val="00C12660"/>
    <w:rsid w:val="00C12A2F"/>
    <w:rsid w:val="00C13B56"/>
    <w:rsid w:val="00C149E8"/>
    <w:rsid w:val="00C164EB"/>
    <w:rsid w:val="00C213F7"/>
    <w:rsid w:val="00C2244B"/>
    <w:rsid w:val="00C26341"/>
    <w:rsid w:val="00C27102"/>
    <w:rsid w:val="00C30019"/>
    <w:rsid w:val="00C3058B"/>
    <w:rsid w:val="00C35DF7"/>
    <w:rsid w:val="00C370A5"/>
    <w:rsid w:val="00C37781"/>
    <w:rsid w:val="00C4000B"/>
    <w:rsid w:val="00C40496"/>
    <w:rsid w:val="00C40A8C"/>
    <w:rsid w:val="00C46BB0"/>
    <w:rsid w:val="00C47B47"/>
    <w:rsid w:val="00C505A9"/>
    <w:rsid w:val="00C52576"/>
    <w:rsid w:val="00C53275"/>
    <w:rsid w:val="00C53573"/>
    <w:rsid w:val="00C53B2D"/>
    <w:rsid w:val="00C5529F"/>
    <w:rsid w:val="00C554EC"/>
    <w:rsid w:val="00C5580B"/>
    <w:rsid w:val="00C55DB9"/>
    <w:rsid w:val="00C562CB"/>
    <w:rsid w:val="00C56F93"/>
    <w:rsid w:val="00C61BF7"/>
    <w:rsid w:val="00C6404D"/>
    <w:rsid w:val="00C64D7F"/>
    <w:rsid w:val="00C65F1C"/>
    <w:rsid w:val="00C668F3"/>
    <w:rsid w:val="00C66C22"/>
    <w:rsid w:val="00C7242D"/>
    <w:rsid w:val="00C72CA7"/>
    <w:rsid w:val="00C73C35"/>
    <w:rsid w:val="00C74489"/>
    <w:rsid w:val="00C75289"/>
    <w:rsid w:val="00C75684"/>
    <w:rsid w:val="00C7631D"/>
    <w:rsid w:val="00C777FB"/>
    <w:rsid w:val="00C801B0"/>
    <w:rsid w:val="00C80EC6"/>
    <w:rsid w:val="00C8160F"/>
    <w:rsid w:val="00C8162E"/>
    <w:rsid w:val="00C8196D"/>
    <w:rsid w:val="00C82442"/>
    <w:rsid w:val="00C8268E"/>
    <w:rsid w:val="00C8611F"/>
    <w:rsid w:val="00C8656C"/>
    <w:rsid w:val="00C90909"/>
    <w:rsid w:val="00C92D20"/>
    <w:rsid w:val="00C93575"/>
    <w:rsid w:val="00C93B78"/>
    <w:rsid w:val="00C94D55"/>
    <w:rsid w:val="00C94E75"/>
    <w:rsid w:val="00C950A8"/>
    <w:rsid w:val="00C95726"/>
    <w:rsid w:val="00C95C0A"/>
    <w:rsid w:val="00C96266"/>
    <w:rsid w:val="00C96519"/>
    <w:rsid w:val="00C96952"/>
    <w:rsid w:val="00C96D27"/>
    <w:rsid w:val="00C97623"/>
    <w:rsid w:val="00C976D4"/>
    <w:rsid w:val="00CA08FF"/>
    <w:rsid w:val="00CA2DC7"/>
    <w:rsid w:val="00CA3A32"/>
    <w:rsid w:val="00CB14C9"/>
    <w:rsid w:val="00CB1506"/>
    <w:rsid w:val="00CB1913"/>
    <w:rsid w:val="00CB23B4"/>
    <w:rsid w:val="00CB426F"/>
    <w:rsid w:val="00CB43BA"/>
    <w:rsid w:val="00CB6B49"/>
    <w:rsid w:val="00CC05E5"/>
    <w:rsid w:val="00CC15AA"/>
    <w:rsid w:val="00CC17B3"/>
    <w:rsid w:val="00CC4245"/>
    <w:rsid w:val="00CC539B"/>
    <w:rsid w:val="00CC7409"/>
    <w:rsid w:val="00CD037E"/>
    <w:rsid w:val="00CD2432"/>
    <w:rsid w:val="00CD4683"/>
    <w:rsid w:val="00CD4954"/>
    <w:rsid w:val="00CD590C"/>
    <w:rsid w:val="00CD5D20"/>
    <w:rsid w:val="00CD60DE"/>
    <w:rsid w:val="00CD70D7"/>
    <w:rsid w:val="00CD7F8C"/>
    <w:rsid w:val="00CE013A"/>
    <w:rsid w:val="00CE03DC"/>
    <w:rsid w:val="00CE2BB4"/>
    <w:rsid w:val="00CE3688"/>
    <w:rsid w:val="00CE4E29"/>
    <w:rsid w:val="00CE5F3B"/>
    <w:rsid w:val="00CE6718"/>
    <w:rsid w:val="00CF15AD"/>
    <w:rsid w:val="00CF193C"/>
    <w:rsid w:val="00CF2422"/>
    <w:rsid w:val="00CF3058"/>
    <w:rsid w:val="00CF4CDE"/>
    <w:rsid w:val="00D00665"/>
    <w:rsid w:val="00D01C06"/>
    <w:rsid w:val="00D0371C"/>
    <w:rsid w:val="00D05FA9"/>
    <w:rsid w:val="00D0708B"/>
    <w:rsid w:val="00D0798A"/>
    <w:rsid w:val="00D07BE5"/>
    <w:rsid w:val="00D10D2A"/>
    <w:rsid w:val="00D1155F"/>
    <w:rsid w:val="00D1172E"/>
    <w:rsid w:val="00D12F25"/>
    <w:rsid w:val="00D143D4"/>
    <w:rsid w:val="00D14ED8"/>
    <w:rsid w:val="00D15001"/>
    <w:rsid w:val="00D150AD"/>
    <w:rsid w:val="00D16648"/>
    <w:rsid w:val="00D16C46"/>
    <w:rsid w:val="00D20884"/>
    <w:rsid w:val="00D20910"/>
    <w:rsid w:val="00D22901"/>
    <w:rsid w:val="00D22AAC"/>
    <w:rsid w:val="00D23362"/>
    <w:rsid w:val="00D27709"/>
    <w:rsid w:val="00D27A8B"/>
    <w:rsid w:val="00D27BEB"/>
    <w:rsid w:val="00D32721"/>
    <w:rsid w:val="00D32D45"/>
    <w:rsid w:val="00D339FC"/>
    <w:rsid w:val="00D3666A"/>
    <w:rsid w:val="00D401FE"/>
    <w:rsid w:val="00D40597"/>
    <w:rsid w:val="00D41F6B"/>
    <w:rsid w:val="00D46419"/>
    <w:rsid w:val="00D46B8B"/>
    <w:rsid w:val="00D47832"/>
    <w:rsid w:val="00D479E5"/>
    <w:rsid w:val="00D5023D"/>
    <w:rsid w:val="00D50EF5"/>
    <w:rsid w:val="00D52DA7"/>
    <w:rsid w:val="00D5399E"/>
    <w:rsid w:val="00D53C50"/>
    <w:rsid w:val="00D5681F"/>
    <w:rsid w:val="00D601F4"/>
    <w:rsid w:val="00D62FF9"/>
    <w:rsid w:val="00D63C6A"/>
    <w:rsid w:val="00D64664"/>
    <w:rsid w:val="00D64B0E"/>
    <w:rsid w:val="00D6666F"/>
    <w:rsid w:val="00D66D1A"/>
    <w:rsid w:val="00D70DCC"/>
    <w:rsid w:val="00D7137C"/>
    <w:rsid w:val="00D72764"/>
    <w:rsid w:val="00D73FBE"/>
    <w:rsid w:val="00D745CD"/>
    <w:rsid w:val="00D755A2"/>
    <w:rsid w:val="00D75D0F"/>
    <w:rsid w:val="00D75E0B"/>
    <w:rsid w:val="00D7789B"/>
    <w:rsid w:val="00D802AD"/>
    <w:rsid w:val="00D81B9C"/>
    <w:rsid w:val="00D81DAE"/>
    <w:rsid w:val="00D8515C"/>
    <w:rsid w:val="00D85838"/>
    <w:rsid w:val="00D85C5B"/>
    <w:rsid w:val="00D87F91"/>
    <w:rsid w:val="00D9057B"/>
    <w:rsid w:val="00D91373"/>
    <w:rsid w:val="00D9579B"/>
    <w:rsid w:val="00D966A4"/>
    <w:rsid w:val="00D96E76"/>
    <w:rsid w:val="00D97833"/>
    <w:rsid w:val="00DA07C6"/>
    <w:rsid w:val="00DA1CD5"/>
    <w:rsid w:val="00DA2AAB"/>
    <w:rsid w:val="00DA3743"/>
    <w:rsid w:val="00DA4052"/>
    <w:rsid w:val="00DA5363"/>
    <w:rsid w:val="00DA6316"/>
    <w:rsid w:val="00DA6809"/>
    <w:rsid w:val="00DB19ED"/>
    <w:rsid w:val="00DB22FA"/>
    <w:rsid w:val="00DB237C"/>
    <w:rsid w:val="00DB2C88"/>
    <w:rsid w:val="00DB48B2"/>
    <w:rsid w:val="00DB5E67"/>
    <w:rsid w:val="00DB67CF"/>
    <w:rsid w:val="00DC219A"/>
    <w:rsid w:val="00DC3A4C"/>
    <w:rsid w:val="00DC657B"/>
    <w:rsid w:val="00DC69FC"/>
    <w:rsid w:val="00DC6F5C"/>
    <w:rsid w:val="00DD0AD6"/>
    <w:rsid w:val="00DD114B"/>
    <w:rsid w:val="00DD19B4"/>
    <w:rsid w:val="00DD2C0A"/>
    <w:rsid w:val="00DD3CB4"/>
    <w:rsid w:val="00DD4D5B"/>
    <w:rsid w:val="00DD5870"/>
    <w:rsid w:val="00DE015B"/>
    <w:rsid w:val="00DE1C24"/>
    <w:rsid w:val="00DE2F0C"/>
    <w:rsid w:val="00DE3044"/>
    <w:rsid w:val="00DE4047"/>
    <w:rsid w:val="00DE4C78"/>
    <w:rsid w:val="00DE7E3F"/>
    <w:rsid w:val="00DE7E82"/>
    <w:rsid w:val="00DF00F0"/>
    <w:rsid w:val="00DF05DD"/>
    <w:rsid w:val="00DF3892"/>
    <w:rsid w:val="00DF3E71"/>
    <w:rsid w:val="00DF4652"/>
    <w:rsid w:val="00DF4BFA"/>
    <w:rsid w:val="00DF5A1E"/>
    <w:rsid w:val="00DF773A"/>
    <w:rsid w:val="00DF79D0"/>
    <w:rsid w:val="00E0034B"/>
    <w:rsid w:val="00E0143F"/>
    <w:rsid w:val="00E0251F"/>
    <w:rsid w:val="00E0257C"/>
    <w:rsid w:val="00E02B6E"/>
    <w:rsid w:val="00E0427D"/>
    <w:rsid w:val="00E04E71"/>
    <w:rsid w:val="00E06A38"/>
    <w:rsid w:val="00E07397"/>
    <w:rsid w:val="00E07530"/>
    <w:rsid w:val="00E108A4"/>
    <w:rsid w:val="00E10F89"/>
    <w:rsid w:val="00E120F1"/>
    <w:rsid w:val="00E13544"/>
    <w:rsid w:val="00E15E85"/>
    <w:rsid w:val="00E163EA"/>
    <w:rsid w:val="00E168EA"/>
    <w:rsid w:val="00E176F2"/>
    <w:rsid w:val="00E24429"/>
    <w:rsid w:val="00E248E8"/>
    <w:rsid w:val="00E25B87"/>
    <w:rsid w:val="00E2677D"/>
    <w:rsid w:val="00E26B8A"/>
    <w:rsid w:val="00E270A2"/>
    <w:rsid w:val="00E27AFA"/>
    <w:rsid w:val="00E305BB"/>
    <w:rsid w:val="00E30936"/>
    <w:rsid w:val="00E3195F"/>
    <w:rsid w:val="00E31B19"/>
    <w:rsid w:val="00E3223C"/>
    <w:rsid w:val="00E32BE8"/>
    <w:rsid w:val="00E33F72"/>
    <w:rsid w:val="00E37568"/>
    <w:rsid w:val="00E4023C"/>
    <w:rsid w:val="00E478E5"/>
    <w:rsid w:val="00E47DA9"/>
    <w:rsid w:val="00E54AC4"/>
    <w:rsid w:val="00E555F2"/>
    <w:rsid w:val="00E57535"/>
    <w:rsid w:val="00E57C6D"/>
    <w:rsid w:val="00E610E5"/>
    <w:rsid w:val="00E61DC7"/>
    <w:rsid w:val="00E6514A"/>
    <w:rsid w:val="00E677F2"/>
    <w:rsid w:val="00E709C5"/>
    <w:rsid w:val="00E70E3F"/>
    <w:rsid w:val="00E73B01"/>
    <w:rsid w:val="00E7495C"/>
    <w:rsid w:val="00E74EA3"/>
    <w:rsid w:val="00E751B1"/>
    <w:rsid w:val="00E753C1"/>
    <w:rsid w:val="00E76D50"/>
    <w:rsid w:val="00E82375"/>
    <w:rsid w:val="00E866E3"/>
    <w:rsid w:val="00E8684C"/>
    <w:rsid w:val="00E90E25"/>
    <w:rsid w:val="00E912EF"/>
    <w:rsid w:val="00E91B37"/>
    <w:rsid w:val="00E92C4A"/>
    <w:rsid w:val="00E9429B"/>
    <w:rsid w:val="00E94780"/>
    <w:rsid w:val="00E95C20"/>
    <w:rsid w:val="00E9664C"/>
    <w:rsid w:val="00E97FAE"/>
    <w:rsid w:val="00EA2702"/>
    <w:rsid w:val="00EA2B85"/>
    <w:rsid w:val="00EA3BEC"/>
    <w:rsid w:val="00EA6187"/>
    <w:rsid w:val="00EB0137"/>
    <w:rsid w:val="00EB3BFA"/>
    <w:rsid w:val="00EB4641"/>
    <w:rsid w:val="00EB710A"/>
    <w:rsid w:val="00EB7A63"/>
    <w:rsid w:val="00EB7F07"/>
    <w:rsid w:val="00EC1701"/>
    <w:rsid w:val="00EC2AE2"/>
    <w:rsid w:val="00EC4D2A"/>
    <w:rsid w:val="00EC7E4E"/>
    <w:rsid w:val="00ED27DF"/>
    <w:rsid w:val="00ED3AB1"/>
    <w:rsid w:val="00ED3B8C"/>
    <w:rsid w:val="00ED4135"/>
    <w:rsid w:val="00ED426E"/>
    <w:rsid w:val="00ED441A"/>
    <w:rsid w:val="00EE045E"/>
    <w:rsid w:val="00EE1610"/>
    <w:rsid w:val="00EE27F7"/>
    <w:rsid w:val="00EE3BDD"/>
    <w:rsid w:val="00EE5DEA"/>
    <w:rsid w:val="00EE678C"/>
    <w:rsid w:val="00EF0FCA"/>
    <w:rsid w:val="00EF64D8"/>
    <w:rsid w:val="00EF7993"/>
    <w:rsid w:val="00EF7F2E"/>
    <w:rsid w:val="00F0092B"/>
    <w:rsid w:val="00F06078"/>
    <w:rsid w:val="00F06B90"/>
    <w:rsid w:val="00F06D61"/>
    <w:rsid w:val="00F07C1B"/>
    <w:rsid w:val="00F1077C"/>
    <w:rsid w:val="00F120ED"/>
    <w:rsid w:val="00F13771"/>
    <w:rsid w:val="00F13B60"/>
    <w:rsid w:val="00F1521D"/>
    <w:rsid w:val="00F15253"/>
    <w:rsid w:val="00F1714E"/>
    <w:rsid w:val="00F214A8"/>
    <w:rsid w:val="00F2172B"/>
    <w:rsid w:val="00F23EB9"/>
    <w:rsid w:val="00F25F8D"/>
    <w:rsid w:val="00F27E57"/>
    <w:rsid w:val="00F30962"/>
    <w:rsid w:val="00F31158"/>
    <w:rsid w:val="00F3280D"/>
    <w:rsid w:val="00F3290E"/>
    <w:rsid w:val="00F32D99"/>
    <w:rsid w:val="00F33804"/>
    <w:rsid w:val="00F340D4"/>
    <w:rsid w:val="00F36A63"/>
    <w:rsid w:val="00F37473"/>
    <w:rsid w:val="00F404A0"/>
    <w:rsid w:val="00F42DE8"/>
    <w:rsid w:val="00F42E7A"/>
    <w:rsid w:val="00F43864"/>
    <w:rsid w:val="00F454DE"/>
    <w:rsid w:val="00F45E6C"/>
    <w:rsid w:val="00F461D4"/>
    <w:rsid w:val="00F46423"/>
    <w:rsid w:val="00F525FA"/>
    <w:rsid w:val="00F54707"/>
    <w:rsid w:val="00F54C83"/>
    <w:rsid w:val="00F55A0D"/>
    <w:rsid w:val="00F57CAD"/>
    <w:rsid w:val="00F61764"/>
    <w:rsid w:val="00F624C9"/>
    <w:rsid w:val="00F62D34"/>
    <w:rsid w:val="00F656E4"/>
    <w:rsid w:val="00F65E79"/>
    <w:rsid w:val="00F6699E"/>
    <w:rsid w:val="00F71324"/>
    <w:rsid w:val="00F73773"/>
    <w:rsid w:val="00F757AA"/>
    <w:rsid w:val="00F75E85"/>
    <w:rsid w:val="00F779C9"/>
    <w:rsid w:val="00F8023E"/>
    <w:rsid w:val="00F83CC6"/>
    <w:rsid w:val="00F8590E"/>
    <w:rsid w:val="00F85B41"/>
    <w:rsid w:val="00F85BDC"/>
    <w:rsid w:val="00F85D54"/>
    <w:rsid w:val="00F86869"/>
    <w:rsid w:val="00F90715"/>
    <w:rsid w:val="00F9150B"/>
    <w:rsid w:val="00F917D3"/>
    <w:rsid w:val="00F95EA8"/>
    <w:rsid w:val="00FA3D17"/>
    <w:rsid w:val="00FA3FF0"/>
    <w:rsid w:val="00FA4DA2"/>
    <w:rsid w:val="00FA5884"/>
    <w:rsid w:val="00FA59B8"/>
    <w:rsid w:val="00FA6323"/>
    <w:rsid w:val="00FA657B"/>
    <w:rsid w:val="00FA6E22"/>
    <w:rsid w:val="00FA7A8A"/>
    <w:rsid w:val="00FB174A"/>
    <w:rsid w:val="00FB1D7C"/>
    <w:rsid w:val="00FB25A5"/>
    <w:rsid w:val="00FB2838"/>
    <w:rsid w:val="00FB38AC"/>
    <w:rsid w:val="00FB4ED4"/>
    <w:rsid w:val="00FB7E95"/>
    <w:rsid w:val="00FC0140"/>
    <w:rsid w:val="00FC101F"/>
    <w:rsid w:val="00FC3F8A"/>
    <w:rsid w:val="00FC4AA0"/>
    <w:rsid w:val="00FC6F63"/>
    <w:rsid w:val="00FC7067"/>
    <w:rsid w:val="00FC7274"/>
    <w:rsid w:val="00FD0653"/>
    <w:rsid w:val="00FD0E43"/>
    <w:rsid w:val="00FD106D"/>
    <w:rsid w:val="00FD3E4A"/>
    <w:rsid w:val="00FD41B7"/>
    <w:rsid w:val="00FD50BB"/>
    <w:rsid w:val="00FD668F"/>
    <w:rsid w:val="00FD67BF"/>
    <w:rsid w:val="00FD7BCB"/>
    <w:rsid w:val="00FE0669"/>
    <w:rsid w:val="00FE13FE"/>
    <w:rsid w:val="00FE2EF4"/>
    <w:rsid w:val="00FE3652"/>
    <w:rsid w:val="00FE57DA"/>
    <w:rsid w:val="00FF05FD"/>
    <w:rsid w:val="00FF0E2B"/>
    <w:rsid w:val="00FF3679"/>
    <w:rsid w:val="00FF403A"/>
    <w:rsid w:val="00FF44A8"/>
    <w:rsid w:val="00FF44F1"/>
    <w:rsid w:val="00FF4C42"/>
    <w:rsid w:val="00FF4C43"/>
    <w:rsid w:val="00FF55C0"/>
    <w:rsid w:val="00FF5B08"/>
    <w:rsid w:val="00FF5B51"/>
    <w:rsid w:val="00FF64B9"/>
    <w:rsid w:val="00FF7024"/>
    <w:rsid w:val="2A816C2F"/>
    <w:rsid w:val="2EE021EE"/>
    <w:rsid w:val="37290B97"/>
    <w:rsid w:val="433840B1"/>
    <w:rsid w:val="76BE7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3"/>
    <w:semiHidden/>
    <w:unhideWhenUsed/>
    <w:qFormat/>
    <w:uiPriority w:val="99"/>
    <w:rPr>
      <w:b/>
      <w:bCs/>
    </w:rPr>
  </w:style>
  <w:style w:type="paragraph" w:styleId="5">
    <w:name w:val="annotation text"/>
    <w:basedOn w:val="1"/>
    <w:link w:val="32"/>
    <w:semiHidden/>
    <w:unhideWhenUsed/>
    <w:uiPriority w:val="99"/>
    <w:pPr>
      <w:jc w:val="left"/>
    </w:pPr>
  </w:style>
  <w:style w:type="paragraph" w:styleId="6">
    <w:name w:val="Body Text"/>
    <w:basedOn w:val="1"/>
    <w:link w:val="25"/>
    <w:qFormat/>
    <w:uiPriority w:val="0"/>
    <w:pPr>
      <w:spacing w:after="120"/>
    </w:pPr>
    <w:rPr>
      <w:szCs w:val="20"/>
      <w:lang w:val="zh-CN"/>
    </w:r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alloon Text"/>
    <w:basedOn w:val="1"/>
    <w:link w:val="26"/>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tabs>
        <w:tab w:val="center" w:pos="4153"/>
        <w:tab w:val="right" w:pos="8306"/>
      </w:tabs>
      <w:adjustRightInd w:val="0"/>
      <w:snapToGrid w:val="0"/>
      <w:ind w:firstLine="200" w:firstLineChars="200"/>
      <w:jc w:val="center"/>
    </w:pPr>
    <w:rPr>
      <w:rFonts w:eastAsiaTheme="minorEastAsia" w:cstheme="minorBidi"/>
      <w:sz w:val="18"/>
      <w:szCs w:val="18"/>
    </w:rPr>
  </w:style>
  <w:style w:type="paragraph" w:styleId="11">
    <w:name w:val="toc 1"/>
    <w:basedOn w:val="1"/>
    <w:next w:val="1"/>
    <w:unhideWhenUsed/>
    <w:qFormat/>
    <w:uiPriority w:val="39"/>
    <w:pPr>
      <w:widowControl/>
      <w:tabs>
        <w:tab w:val="right" w:leader="dot" w:pos="8296"/>
      </w:tabs>
      <w:snapToGrid w:val="0"/>
      <w:spacing w:after="100" w:line="276" w:lineRule="auto"/>
      <w:jc w:val="left"/>
    </w:pPr>
    <w:rPr>
      <w:rFonts w:asciiTheme="minorHAnsi" w:hAnsiTheme="minorHAnsi" w:eastAsiaTheme="minorEastAsia" w:cstheme="minorBidi"/>
      <w:kern w:val="0"/>
      <w:sz w:val="22"/>
      <w:szCs w:val="22"/>
    </w:rPr>
  </w:style>
  <w:style w:type="paragraph" w:styleId="12">
    <w:name w:val="footnote text"/>
    <w:basedOn w:val="1"/>
    <w:link w:val="31"/>
    <w:semiHidden/>
    <w:unhideWhenUsed/>
    <w:qFormat/>
    <w:uiPriority w:val="99"/>
    <w:pPr>
      <w:snapToGrid w:val="0"/>
      <w:jc w:val="left"/>
    </w:pPr>
    <w:rPr>
      <w:sz w:val="18"/>
      <w:szCs w:val="18"/>
    </w:rPr>
  </w:style>
  <w:style w:type="paragraph" w:styleId="13">
    <w:name w:val="toc 2"/>
    <w:basedOn w:val="1"/>
    <w:next w:val="1"/>
    <w:unhideWhenUsed/>
    <w:qFormat/>
    <w:uiPriority w:val="39"/>
    <w:pPr>
      <w:widowControl/>
      <w:tabs>
        <w:tab w:val="right" w:leader="dot" w:pos="8296"/>
      </w:tabs>
      <w:spacing w:after="100" w:line="276" w:lineRule="auto"/>
      <w:ind w:left="220"/>
      <w:jc w:val="left"/>
    </w:pPr>
    <w:rPr>
      <w:rFonts w:eastAsia="楷体_GB2312"/>
      <w:kern w:val="0"/>
      <w:sz w:val="30"/>
      <w:szCs w:val="30"/>
    </w:rPr>
  </w:style>
  <w:style w:type="paragraph" w:styleId="14">
    <w:name w:val="Normal (Web)"/>
    <w:basedOn w:val="1"/>
    <w:unhideWhenUsed/>
    <w:qFormat/>
    <w:uiPriority w:val="99"/>
    <w:pPr>
      <w:widowControl/>
      <w:jc w:val="left"/>
    </w:pPr>
    <w:rPr>
      <w:rFonts w:ascii="宋体" w:hAnsi="宋体" w:cs="宋体"/>
      <w:kern w:val="0"/>
      <w:sz w:val="24"/>
    </w:rPr>
  </w:style>
  <w:style w:type="character" w:styleId="16">
    <w:name w:val="page number"/>
    <w:basedOn w:val="15"/>
    <w:qFormat/>
    <w:uiPriority w:val="0"/>
  </w:style>
  <w:style w:type="character" w:styleId="17">
    <w:name w:val="FollowedHyperlink"/>
    <w:basedOn w:val="15"/>
    <w:semiHidden/>
    <w:unhideWhenUsed/>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table" w:styleId="22">
    <w:name w:val="Table Grid"/>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1 Char"/>
    <w:basedOn w:val="15"/>
    <w:link w:val="2"/>
    <w:qFormat/>
    <w:uiPriority w:val="9"/>
    <w:rPr>
      <w:rFonts w:ascii="Times New Roman" w:hAnsi="Times New Roman" w:eastAsia="宋体" w:cs="Times New Roman"/>
      <w:b/>
      <w:bCs/>
      <w:kern w:val="44"/>
      <w:sz w:val="44"/>
      <w:szCs w:val="44"/>
    </w:rPr>
  </w:style>
  <w:style w:type="character" w:customStyle="1" w:styleId="24">
    <w:name w:val="标题 2 Char"/>
    <w:basedOn w:val="15"/>
    <w:link w:val="3"/>
    <w:uiPriority w:val="9"/>
    <w:rPr>
      <w:rFonts w:asciiTheme="majorHAnsi" w:hAnsiTheme="majorHAnsi" w:eastAsiaTheme="majorEastAsia" w:cstheme="majorBidi"/>
      <w:b/>
      <w:bCs/>
      <w:kern w:val="2"/>
      <w:sz w:val="32"/>
      <w:szCs w:val="32"/>
    </w:rPr>
  </w:style>
  <w:style w:type="character" w:customStyle="1" w:styleId="25">
    <w:name w:val="正文文本 Char"/>
    <w:basedOn w:val="15"/>
    <w:link w:val="6"/>
    <w:uiPriority w:val="0"/>
    <w:rPr>
      <w:rFonts w:ascii="Times New Roman" w:hAnsi="Times New Roman" w:eastAsia="宋体" w:cs="Times New Roman"/>
      <w:szCs w:val="20"/>
      <w:lang w:val="zh-CN" w:eastAsia="zh-CN"/>
    </w:rPr>
  </w:style>
  <w:style w:type="character" w:customStyle="1" w:styleId="26">
    <w:name w:val="批注框文本 Char"/>
    <w:basedOn w:val="15"/>
    <w:link w:val="8"/>
    <w:semiHidden/>
    <w:qFormat/>
    <w:uiPriority w:val="99"/>
    <w:rPr>
      <w:rFonts w:ascii="Times New Roman" w:hAnsi="Times New Roman" w:eastAsia="宋体" w:cs="Times New Roman"/>
      <w:sz w:val="18"/>
      <w:szCs w:val="18"/>
    </w:rPr>
  </w:style>
  <w:style w:type="character" w:customStyle="1" w:styleId="27">
    <w:name w:val="页脚 Char"/>
    <w:basedOn w:val="15"/>
    <w:link w:val="9"/>
    <w:qFormat/>
    <w:uiPriority w:val="99"/>
    <w:rPr>
      <w:rFonts w:ascii="Times New Roman" w:hAnsi="Times New Roman" w:eastAsia="宋体" w:cs="Times New Roman"/>
      <w:sz w:val="18"/>
      <w:szCs w:val="18"/>
    </w:rPr>
  </w:style>
  <w:style w:type="character" w:customStyle="1" w:styleId="28">
    <w:name w:val="页眉 Char"/>
    <w:basedOn w:val="15"/>
    <w:link w:val="10"/>
    <w:uiPriority w:val="99"/>
    <w:rPr>
      <w:sz w:val="18"/>
      <w:szCs w:val="18"/>
    </w:rPr>
  </w:style>
  <w:style w:type="paragraph" w:styleId="2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脚注文本 Char"/>
    <w:basedOn w:val="15"/>
    <w:link w:val="12"/>
    <w:semiHidden/>
    <w:qFormat/>
    <w:uiPriority w:val="99"/>
    <w:rPr>
      <w:rFonts w:ascii="Times New Roman" w:hAnsi="Times New Roman" w:eastAsia="宋体" w:cs="Times New Roman"/>
      <w:kern w:val="2"/>
      <w:sz w:val="18"/>
      <w:szCs w:val="18"/>
    </w:rPr>
  </w:style>
  <w:style w:type="character" w:customStyle="1" w:styleId="32">
    <w:name w:val="批注文字 Char"/>
    <w:basedOn w:val="15"/>
    <w:link w:val="5"/>
    <w:semiHidden/>
    <w:uiPriority w:val="99"/>
    <w:rPr>
      <w:rFonts w:ascii="Times New Roman" w:hAnsi="Times New Roman" w:eastAsia="宋体" w:cs="Times New Roman"/>
      <w:kern w:val="2"/>
      <w:sz w:val="21"/>
      <w:szCs w:val="24"/>
    </w:rPr>
  </w:style>
  <w:style w:type="character" w:customStyle="1" w:styleId="33">
    <w:name w:val="批注主题 Char"/>
    <w:basedOn w:val="32"/>
    <w:link w:val="4"/>
    <w:semiHidden/>
    <w:uiPriority w:val="99"/>
    <w:rPr>
      <w:rFonts w:ascii="Times New Roman" w:hAnsi="Times New Roman" w:eastAsia="宋体" w:cs="Times New Roman"/>
      <w:b/>
      <w:bCs/>
      <w:kern w:val="2"/>
      <w:sz w:val="21"/>
      <w:szCs w:val="24"/>
    </w:rPr>
  </w:style>
  <w:style w:type="paragraph" w:customStyle="1" w:styleId="34">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2DC60-E22D-4B7B-AC30-55DB05800A44}">
  <ds:schemaRefs/>
</ds:datastoreItem>
</file>

<file path=docProps/app.xml><?xml version="1.0" encoding="utf-8"?>
<Properties xmlns="http://schemas.openxmlformats.org/officeDocument/2006/extended-properties" xmlns:vt="http://schemas.openxmlformats.org/officeDocument/2006/docPropsVTypes">
  <Template>F506D5E5.dotm</Template>
  <Pages>1</Pages>
  <Words>4833</Words>
  <Characters>27550</Characters>
  <Lines>229</Lines>
  <Paragraphs>64</Paragraphs>
  <TotalTime>8</TotalTime>
  <ScaleCrop>false</ScaleCrop>
  <LinksUpToDate>false</LinksUpToDate>
  <CharactersWithSpaces>32319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2019-06-04T06:24:00Z</dcterms:created>
  <dc:creator>安娜01</dc:creator>
  <cp:lastModifiedBy>wxl</cp:lastModifiedBy>
  <cp:lastPrinted>2019-03-12T01:04:00Z</cp:lastPrinted>
  <dcterms:modified xsi:type="dcterms:W3CDTF">2019-07-01T10:51:23Z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