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before="158" w:beforeLines="50" w:after="158" w:afterLines="50"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山东省驻济省（部）属和军队公立医疗机构部分医疗服务项目价格</w:t>
      </w:r>
    </w:p>
    <w:p>
      <w:pPr>
        <w:pStyle w:val="3"/>
        <w:spacing w:line="400" w:lineRule="exact"/>
      </w:pPr>
    </w:p>
    <w:tbl>
      <w:tblPr>
        <w:tblStyle w:val="5"/>
        <w:tblW w:w="14125" w:type="dxa"/>
        <w:tblInd w:w="0" w:type="dxa"/>
        <w:tblLayout w:type="fixed"/>
        <w:tblCellMar>
          <w:top w:w="17" w:type="dxa"/>
          <w:left w:w="57" w:type="dxa"/>
          <w:bottom w:w="17" w:type="dxa"/>
          <w:right w:w="57" w:type="dxa"/>
        </w:tblCellMar>
      </w:tblPr>
      <w:tblGrid>
        <w:gridCol w:w="633"/>
        <w:gridCol w:w="1294"/>
        <w:gridCol w:w="1319"/>
        <w:gridCol w:w="3181"/>
        <w:gridCol w:w="1382"/>
        <w:gridCol w:w="836"/>
        <w:gridCol w:w="909"/>
        <w:gridCol w:w="3273"/>
        <w:gridCol w:w="1298"/>
      </w:tblGrid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08" w:hRule="atLeast"/>
          <w:tblHeader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项目编码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项目内涵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除外内容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计价单位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价格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是否医保</w:t>
            </w:r>
          </w:p>
          <w:p>
            <w:pPr>
              <w:jc w:val="center"/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支付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1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331306001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取卵术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通过临床技术操作获得卵母细胞。所定价格涵盖穿刺、取卵、卵泡冲洗、计数、评估过程中的人力资源和基本物质消耗（不包含超声引导）。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取卵针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1620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获卵数量超过15个加收20%。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（不得与脉冲自动注射促排卵检查、B超下卵巢囊肿穿刺术同时计费）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153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311201040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胚胎培养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在培养箱中将精卵采取体外结合形式进行培养。所定价格涵盖受精、培养、观察、评估等获得胚胎过程中的人力资源和基本物质消耗。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精子来源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3600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囊胚培养按50%收费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311201062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组织/体液/细胞冷冻（辅助生殖）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将辅助生殖相关组织、体液、细胞进行冷冻。所定价格涵盖将辅助生殖相关组织、体液、细胞转移至冷冻载体，冷冻及解冻复苏过程中的人力资源和基本物质消耗。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管·次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2050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价格含冷冻当天起保存2个月的费用，不足2月按2月计费。冻存结束前只收取一次。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311201062a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组织/体液/细胞冷冻续存（辅助生殖）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将冷冻后的辅助生殖相关组织、体液、细胞持续冻存。所定价格涵盖将冷冻后的辅助生殖相关组织、体液、细胞持续冻存至解冻复苏前或约定截止保存时间，期间的人力资源和基本物质消耗。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管·月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冷冻后保存超过2月的，按每管每月（管·月）收取续存费用，不足1月按1月计费；不得重复收取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组织/体液/细胞冷冻（辅助生殖）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费用。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311201041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胚胎移植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将胚胎或囊胚移送至患者宫腔内。所定价格涵盖胚胎评估、移送至患者宫腔内过程中所需的人力资源和基本物质消耗。包含胚子移植。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胚胎移植管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冻融胚胎（或囊胚）移植加收900元。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cantSplit/>
          <w:trHeight w:val="646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311201059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未成熟卵体外成熟培养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将通过临床操作获取的未成熟卵进行体外培养。所定价格涵盖未成熟卵处理、培养、观察、评估、激活过程中所需的人力资源和基本物质消耗。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311201060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胚胎辅助孵化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将胚胎通过物理或化学的方法，将透明带制造一处缺损或裂隙，提高着床成功率。所定价格涵盖筛选、调试、透明带处理、记录过程中所需的人力资源和基本物质消耗。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1000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311201082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组织、细胞活检（辅助生殖）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在囊胚/卵裂期胚胎/卵母细胞等辅助生殖相关的组织、细胞上分离出检测标本。所定价格涵盖通过筛选、评估、透明带处理，吸取分离标本过程中所需的人力资源和基本物质消耗。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每个胚胎（卵）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从第3个胚胎（卵）起，每个按50%收费；最高不超过6600元。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311201045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人工授精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通过临床操作将精液注入患者宫腔内。所定价格涵盖精液注入、观察等过程中所需的人力资源和基本物质消耗。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精子来源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720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311201045a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阴道内人工授精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严格核对夫妻双方相关信息，通过将液化后的新鲜精液（夫源）或复苏后的精液（供精）转移至女性阴道穹窿处。所定价格涵盖精液转移、观察等过程所需的人力资源。不含精液冷冻复苏。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精子来源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280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311100019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精子优选处理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通过实验室手段从精液中筛选优质精子。所定价格涵盖精液采集、分析、处理、筛选、评估过程中所需的人力资源和基本物质消耗。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750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311100007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取精术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通过手术方式获取精子。所定价格涵盖穿刺或切开、分离、获取精子评估过程中的人力资源和基本物质消耗。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810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显微镜下操作加收2000元。不得与睾丸阴茎海绵体活检术同时计费。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  <w:tr>
        <w:tblPrEx>
          <w:tblCellMar>
            <w:top w:w="17" w:type="dxa"/>
            <w:left w:w="57" w:type="dxa"/>
            <w:bottom w:w="17" w:type="dxa"/>
            <w:right w:w="57" w:type="dxa"/>
          </w:tblCellMar>
        </w:tblPrEx>
        <w:trPr>
          <w:trHeight w:val="649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311201042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单精子注射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将优选处理后精子注射进卵母细胞，促进形成胚胎。所定价格涵盖将精子制动、吸入，注入卵母细胞胞浆等过程中的人力资源和基本物质资源消耗。</w:t>
            </w:r>
          </w:p>
        </w:tc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2700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卵子激活加收800元</w:t>
            </w:r>
            <w:r>
              <w:rPr>
                <w:rFonts w:hint="eastAsia"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注射卵子数量大于20枚的，加收20%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仿宋_GB2312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说明：</w:t>
      </w:r>
      <w:r>
        <w:rPr>
          <w:rFonts w:eastAsia="仿宋_GB2312"/>
          <w:sz w:val="24"/>
          <w:szCs w:val="32"/>
        </w:rPr>
        <w:cr/>
      </w:r>
      <w:r>
        <w:rPr>
          <w:rFonts w:eastAsia="仿宋_GB2312"/>
          <w:sz w:val="24"/>
          <w:szCs w:val="32"/>
        </w:rPr>
        <w:t>1.本表所指组织/体液/细胞，主要指卵母细胞（极体）、胚胎、囊胚、精液、精子等与辅助生殖相关。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2.本表所称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项目内涵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，指医疗机构提供医疗服务时，用于确定计价单元的边界，不应作为临床技术标准理解，不是手术实际操作方式、路径、步骤、程序的强制性要求。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3.本表项目内涵中所称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基本物耗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指原则上限于不应或不必要与医疗服务项目分割的易耗品，包括但不限于各类消杀用品、储存用品、清洁用品、个人防护用品、垃圾处理用品、培养液、冷冻保护液、冷冻液、解冻液、辅助生殖用液、试管、载杆载体辅助生殖器皿及装置、冲洗液、润滑剂、灌洗液、棉球、棉签、纱布（垫）、护垫、衬垫、手术巾（单）、治疗巾（单）、治疗护理盘(包）、注射器、滑石粉、防渗漏垫、标签、可复用的操作器具、冲洗工具。基本物耗成本计入项目价格，不另行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4.本表内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组织/体液/细胞冷冻（或冷冻续存）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项目中，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解冻复苏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指卵母细胞（极体）、精液、精子等与辅助生殖相关的解冻复苏，不包含胚胎、囊胚的解冻操作；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管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指包括但不限于用于装载辅助生殖组织、体液或细胞所需的试管、载杆等载体。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5.本表所列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取精术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加收项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显微镜下操作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指在显微镜下完成切开睾丸/附睾获取精子的操作过程。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eastAsia="仿宋_GB2312"/>
          <w:sz w:val="24"/>
          <w:szCs w:val="32"/>
        </w:rPr>
      </w:pPr>
      <w:r>
        <w:rPr>
          <w:rFonts w:eastAsia="仿宋_GB2312"/>
          <w:sz w:val="24"/>
          <w:szCs w:val="32"/>
        </w:rPr>
        <w:t>6.项目内涵中所列</w:t>
      </w:r>
      <w:r>
        <w:rPr>
          <w:rFonts w:hint="eastAsia" w:eastAsia="仿宋_GB2312"/>
          <w:sz w:val="24"/>
          <w:szCs w:val="32"/>
        </w:rPr>
        <w:t>“</w:t>
      </w:r>
      <w:r>
        <w:rPr>
          <w:rFonts w:eastAsia="仿宋_GB2312"/>
          <w:sz w:val="24"/>
          <w:szCs w:val="32"/>
        </w:rPr>
        <w:t>穿刺</w:t>
      </w:r>
      <w:r>
        <w:rPr>
          <w:rFonts w:hint="eastAsia" w:eastAsia="仿宋_GB2312"/>
          <w:sz w:val="24"/>
          <w:szCs w:val="32"/>
        </w:rPr>
        <w:t>”</w:t>
      </w:r>
      <w:r>
        <w:rPr>
          <w:rFonts w:eastAsia="仿宋_GB2312"/>
          <w:sz w:val="24"/>
          <w:szCs w:val="32"/>
        </w:rPr>
        <w:t>为主项操作涉及的必要穿刺技术。</w:t>
      </w:r>
    </w:p>
    <w:p>
      <w:r>
        <w:rPr>
          <w:rFonts w:eastAsia="仿宋_GB2312"/>
          <w:sz w:val="24"/>
          <w:szCs w:val="32"/>
        </w:rPr>
        <w:t>7.项目编码已经存在的现有项目，按本表内容执行。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lMjIyN2VjZThjZWU5ZTI3MWE3MTQwYzczMDI3MmEifQ=="/>
  </w:docVars>
  <w:rsids>
    <w:rsidRoot w:val="00000000"/>
    <w:rsid w:val="4285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3">
    <w:name w:val="Normal Indent"/>
    <w:basedOn w:val="1"/>
    <w:unhideWhenUsed/>
    <w:qFormat/>
    <w:uiPriority w:val="99"/>
    <w:pPr>
      <w:spacing w:line="360" w:lineRule="auto"/>
      <w:ind w:firstLine="420" w:firstLineChars="200"/>
    </w:pPr>
    <w:rPr>
      <w:rFonts w:ascii="仿宋" w:hAnsi="仿宋" w:eastAsia="仿宋" w:cs="仿宋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2024-03-15T01:37:14Z</dcterms:created>
  <dc:creator>Administrator</dc:creator>
  <cp:lastModifiedBy>星邪影月</cp:lastModifiedBy>
  <dcterms:modified xsi:type="dcterms:W3CDTF">2024-03-15T01:37:29Z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09D77B941F2B440890C2A4E4D844ACEB_12</vt:lpwstr>
  </property>
</Properties>
</file>