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27E" w:rsidRPr="00F17411" w:rsidRDefault="006A527E" w:rsidP="006D474A">
      <w:pPr>
        <w:spacing w:line="400" w:lineRule="atLeast"/>
        <w:rPr>
          <w:rFonts w:ascii="黑体" w:eastAsia="黑体"/>
          <w:bCs/>
          <w:sz w:val="30"/>
          <w:szCs w:val="30"/>
        </w:rPr>
      </w:pPr>
      <w:r w:rsidRPr="00F17411">
        <w:rPr>
          <w:rFonts w:ascii="黑体" w:eastAsia="黑体" w:hint="eastAsia"/>
          <w:bCs/>
          <w:sz w:val="30"/>
          <w:szCs w:val="30"/>
        </w:rPr>
        <w:t>附件</w:t>
      </w:r>
      <w:r w:rsidRPr="00F17411">
        <w:rPr>
          <w:rFonts w:ascii="黑体" w:eastAsia="黑体"/>
          <w:bCs/>
          <w:sz w:val="30"/>
          <w:szCs w:val="30"/>
        </w:rPr>
        <w:t>4</w:t>
      </w:r>
    </w:p>
    <w:p w:rsidR="006A527E" w:rsidRDefault="006A527E" w:rsidP="006D474A">
      <w:pPr>
        <w:spacing w:line="400" w:lineRule="atLeast"/>
        <w:rPr>
          <w:rFonts w:ascii="黑体" w:eastAsia="黑体"/>
          <w:bCs/>
          <w:szCs w:val="28"/>
        </w:rPr>
      </w:pPr>
      <w:r>
        <w:rPr>
          <w:rFonts w:ascii="黑体" w:eastAsia="黑体" w:hint="eastAsia"/>
          <w:bCs/>
          <w:szCs w:val="28"/>
        </w:rPr>
        <w:t>核准日期：</w:t>
      </w:r>
    </w:p>
    <w:p w:rsidR="006A527E" w:rsidRDefault="006A527E" w:rsidP="006D474A">
      <w:pPr>
        <w:spacing w:line="400" w:lineRule="atLeast"/>
        <w:rPr>
          <w:rFonts w:ascii="黑体" w:eastAsia="黑体"/>
          <w:b/>
          <w:sz w:val="28"/>
          <w:szCs w:val="28"/>
        </w:rPr>
      </w:pPr>
    </w:p>
    <w:p w:rsidR="006A527E" w:rsidRDefault="006A527E" w:rsidP="006D474A">
      <w:pPr>
        <w:spacing w:line="360" w:lineRule="auto"/>
        <w:jc w:val="center"/>
        <w:rPr>
          <w:rFonts w:ascii="黑体" w:eastAsia="黑体"/>
          <w:bCs/>
          <w:sz w:val="36"/>
          <w:szCs w:val="28"/>
        </w:rPr>
      </w:pPr>
      <w:r w:rsidRPr="005A0470">
        <w:rPr>
          <w:rFonts w:ascii="黑体" w:eastAsia="黑体" w:hint="eastAsia"/>
          <w:sz w:val="36"/>
          <w:szCs w:val="36"/>
        </w:rPr>
        <w:t>那敏伪麻胶囊</w:t>
      </w:r>
      <w:r>
        <w:rPr>
          <w:rFonts w:ascii="黑体" w:eastAsia="黑体" w:hint="eastAsia"/>
          <w:bCs/>
          <w:sz w:val="36"/>
          <w:szCs w:val="28"/>
        </w:rPr>
        <w:t>说明书</w:t>
      </w:r>
    </w:p>
    <w:p w:rsidR="006A527E" w:rsidRDefault="006A527E" w:rsidP="006D474A">
      <w:pPr>
        <w:spacing w:line="360" w:lineRule="auto"/>
        <w:jc w:val="center"/>
        <w:rPr>
          <w:sz w:val="24"/>
        </w:rPr>
      </w:pPr>
      <w:r>
        <w:rPr>
          <w:rFonts w:eastAsia="黑体" w:hint="eastAsia"/>
          <w:sz w:val="24"/>
        </w:rPr>
        <w:t>请仔细阅读说明书并在医师指导下使用</w:t>
      </w:r>
    </w:p>
    <w:p w:rsidR="006A527E" w:rsidRPr="005C7C25" w:rsidRDefault="006A527E" w:rsidP="00D508AD">
      <w:pPr>
        <w:ind w:firstLineChars="200" w:firstLine="31680"/>
        <w:rPr>
          <w:rFonts w:ascii="宋体"/>
          <w:szCs w:val="21"/>
        </w:rPr>
      </w:pPr>
      <w:r w:rsidRPr="005C7C25">
        <w:rPr>
          <w:rFonts w:ascii="宋体" w:hAnsi="宋体" w:hint="eastAsia"/>
          <w:szCs w:val="21"/>
        </w:rPr>
        <w:t>【药品名称】</w:t>
      </w:r>
    </w:p>
    <w:p w:rsidR="006A527E" w:rsidRPr="005A0470" w:rsidRDefault="006A527E" w:rsidP="00D508AD">
      <w:pPr>
        <w:ind w:firstLineChars="200" w:firstLine="31680"/>
        <w:rPr>
          <w:rFonts w:ascii="宋体"/>
          <w:szCs w:val="21"/>
        </w:rPr>
      </w:pPr>
      <w:r w:rsidRPr="005C7C25">
        <w:rPr>
          <w:rFonts w:ascii="宋体" w:hAnsi="宋体" w:hint="eastAsia"/>
          <w:szCs w:val="21"/>
        </w:rPr>
        <w:t>通用名称：</w:t>
      </w:r>
      <w:r w:rsidRPr="005A0470">
        <w:rPr>
          <w:rFonts w:ascii="宋体" w:hAnsi="宋体" w:hint="eastAsia"/>
          <w:szCs w:val="21"/>
        </w:rPr>
        <w:t>那敏伪麻胶囊</w:t>
      </w:r>
    </w:p>
    <w:p w:rsidR="006A527E" w:rsidRPr="005A0470" w:rsidRDefault="006A527E" w:rsidP="00D508AD">
      <w:pPr>
        <w:ind w:firstLineChars="200" w:firstLine="31680"/>
        <w:rPr>
          <w:rFonts w:ascii="宋体"/>
          <w:szCs w:val="21"/>
        </w:rPr>
      </w:pPr>
      <w:r w:rsidRPr="005A0470">
        <w:rPr>
          <w:rFonts w:ascii="宋体" w:hAnsi="宋体" w:hint="eastAsia"/>
          <w:szCs w:val="21"/>
        </w:rPr>
        <w:t>英文名称：</w:t>
      </w:r>
    </w:p>
    <w:p w:rsidR="006A527E" w:rsidRPr="005A0470" w:rsidRDefault="006A527E" w:rsidP="00D508AD">
      <w:pPr>
        <w:ind w:firstLineChars="200" w:firstLine="31680"/>
        <w:rPr>
          <w:rFonts w:ascii="宋体"/>
          <w:szCs w:val="21"/>
        </w:rPr>
      </w:pPr>
      <w:r w:rsidRPr="005A0470">
        <w:rPr>
          <w:rFonts w:ascii="宋体" w:hAnsi="宋体" w:hint="eastAsia"/>
          <w:szCs w:val="21"/>
        </w:rPr>
        <w:t>汉语拼音：</w:t>
      </w:r>
    </w:p>
    <w:p w:rsidR="006A527E" w:rsidRPr="005A0470" w:rsidRDefault="006A527E" w:rsidP="00D508AD">
      <w:pPr>
        <w:ind w:firstLineChars="200" w:firstLine="31680"/>
        <w:rPr>
          <w:rFonts w:ascii="宋体"/>
          <w:szCs w:val="21"/>
        </w:rPr>
      </w:pPr>
      <w:r w:rsidRPr="005A0470">
        <w:rPr>
          <w:rFonts w:ascii="宋体" w:hAnsi="宋体" w:hint="eastAsia"/>
          <w:szCs w:val="21"/>
        </w:rPr>
        <w:t>【成份】</w:t>
      </w:r>
      <w:r w:rsidRPr="005A0470">
        <w:rPr>
          <w:rFonts w:ascii="宋体" w:hAnsi="宋体"/>
          <w:szCs w:val="21"/>
        </w:rPr>
        <w:t xml:space="preserve"> </w:t>
      </w:r>
      <w:r w:rsidRPr="005A0470">
        <w:rPr>
          <w:rFonts w:ascii="宋体" w:hAnsi="宋体" w:hint="eastAsia"/>
          <w:szCs w:val="21"/>
        </w:rPr>
        <w:t>本品为复方制剂，其组份为：每粒含盐酸伪麻黄碱</w:t>
      </w:r>
      <w:r w:rsidRPr="005A0470">
        <w:rPr>
          <w:rFonts w:ascii="宋体" w:hAnsi="宋体"/>
          <w:szCs w:val="21"/>
        </w:rPr>
        <w:t>60</w:t>
      </w:r>
      <w:r w:rsidRPr="005A0470">
        <w:rPr>
          <w:rFonts w:ascii="宋体" w:hAnsi="宋体" w:hint="eastAsia"/>
          <w:szCs w:val="21"/>
        </w:rPr>
        <w:t>毫克，马来酸氯苯那敏</w:t>
      </w:r>
      <w:r w:rsidRPr="005A0470">
        <w:rPr>
          <w:rFonts w:ascii="宋体" w:hAnsi="宋体"/>
          <w:szCs w:val="21"/>
        </w:rPr>
        <w:t>4</w:t>
      </w:r>
      <w:r w:rsidRPr="005A0470">
        <w:rPr>
          <w:rFonts w:ascii="宋体" w:hAnsi="宋体" w:hint="eastAsia"/>
          <w:szCs w:val="21"/>
        </w:rPr>
        <w:t>毫克。</w:t>
      </w:r>
    </w:p>
    <w:p w:rsidR="006A527E" w:rsidRPr="005A0470" w:rsidRDefault="006A527E" w:rsidP="00D508AD">
      <w:pPr>
        <w:ind w:firstLineChars="200" w:firstLine="31680"/>
        <w:rPr>
          <w:rFonts w:ascii="宋体"/>
          <w:szCs w:val="21"/>
        </w:rPr>
      </w:pPr>
      <w:r w:rsidRPr="005A0470">
        <w:rPr>
          <w:rFonts w:ascii="宋体" w:hAnsi="宋体" w:hint="eastAsia"/>
          <w:szCs w:val="21"/>
        </w:rPr>
        <w:t>【性状】</w:t>
      </w:r>
    </w:p>
    <w:p w:rsidR="006A527E" w:rsidRPr="005A0470" w:rsidRDefault="006A527E" w:rsidP="00D508AD">
      <w:pPr>
        <w:ind w:firstLineChars="200" w:firstLine="31680"/>
        <w:rPr>
          <w:rFonts w:ascii="宋体"/>
          <w:szCs w:val="21"/>
        </w:rPr>
      </w:pPr>
      <w:r w:rsidRPr="005A0470">
        <w:rPr>
          <w:rFonts w:ascii="宋体" w:hAnsi="宋体" w:hint="eastAsia"/>
          <w:szCs w:val="21"/>
        </w:rPr>
        <w:t>【适应症】本品可减轻由于普通感冒、流行性感冒引起的上呼吸道症状和鼻窦炎、枯草热所致的各种症状，特别适用于缓解上述疾病的早期临床症状，如鼻塞、流涕、打喷嚏等症状。</w:t>
      </w:r>
    </w:p>
    <w:p w:rsidR="006A527E" w:rsidRPr="005A0470" w:rsidRDefault="006A527E" w:rsidP="00D508AD">
      <w:pPr>
        <w:ind w:firstLineChars="200" w:firstLine="31680"/>
        <w:rPr>
          <w:rFonts w:ascii="宋体"/>
          <w:szCs w:val="21"/>
        </w:rPr>
      </w:pPr>
      <w:r w:rsidRPr="005A0470">
        <w:rPr>
          <w:rFonts w:ascii="宋体" w:hAnsi="宋体" w:hint="eastAsia"/>
          <w:szCs w:val="21"/>
        </w:rPr>
        <w:t>【规格】本品为复方制剂，每粒含盐酸伪麻黄碱</w:t>
      </w:r>
      <w:r w:rsidRPr="005A0470">
        <w:rPr>
          <w:rFonts w:ascii="宋体" w:hAnsi="宋体"/>
          <w:szCs w:val="21"/>
        </w:rPr>
        <w:t>60</w:t>
      </w:r>
      <w:r w:rsidRPr="005A0470">
        <w:rPr>
          <w:rFonts w:ascii="宋体" w:hAnsi="宋体" w:hint="eastAsia"/>
          <w:szCs w:val="21"/>
        </w:rPr>
        <w:t>毫克，马来酸氯苯那敏</w:t>
      </w:r>
      <w:r w:rsidRPr="005A0470">
        <w:rPr>
          <w:rFonts w:ascii="宋体" w:hAnsi="宋体"/>
          <w:szCs w:val="21"/>
        </w:rPr>
        <w:t>4</w:t>
      </w:r>
      <w:r w:rsidRPr="005A0470">
        <w:rPr>
          <w:rFonts w:ascii="宋体" w:hAnsi="宋体" w:hint="eastAsia"/>
          <w:szCs w:val="21"/>
        </w:rPr>
        <w:t>毫克。</w:t>
      </w:r>
    </w:p>
    <w:p w:rsidR="006A527E" w:rsidRPr="005A0470" w:rsidRDefault="006A527E" w:rsidP="00D508AD">
      <w:pPr>
        <w:ind w:firstLineChars="200" w:firstLine="31680"/>
        <w:rPr>
          <w:rFonts w:ascii="宋体"/>
          <w:szCs w:val="21"/>
        </w:rPr>
      </w:pPr>
      <w:r w:rsidRPr="005A0470">
        <w:rPr>
          <w:rFonts w:ascii="宋体" w:hAnsi="宋体" w:hint="eastAsia"/>
          <w:szCs w:val="21"/>
        </w:rPr>
        <w:t>【用法用量】口服。</w:t>
      </w:r>
      <w:r w:rsidRPr="005A0470">
        <w:rPr>
          <w:rFonts w:ascii="宋体" w:hAnsi="宋体"/>
          <w:szCs w:val="21"/>
        </w:rPr>
        <w:t xml:space="preserve"> </w:t>
      </w:r>
      <w:r w:rsidRPr="005A0470">
        <w:rPr>
          <w:rFonts w:ascii="宋体" w:hAnsi="宋体" w:hint="eastAsia"/>
          <w:szCs w:val="21"/>
        </w:rPr>
        <w:t>一次</w:t>
      </w:r>
      <w:r w:rsidRPr="005A0470">
        <w:rPr>
          <w:rFonts w:ascii="宋体" w:hAnsi="宋体"/>
          <w:szCs w:val="21"/>
        </w:rPr>
        <w:t>1</w:t>
      </w:r>
      <w:r w:rsidRPr="005A0470">
        <w:rPr>
          <w:rFonts w:ascii="宋体" w:hAnsi="宋体" w:hint="eastAsia"/>
          <w:szCs w:val="21"/>
        </w:rPr>
        <w:t>粒，一日</w:t>
      </w:r>
      <w:r w:rsidRPr="005A0470">
        <w:rPr>
          <w:rFonts w:ascii="宋体" w:hAnsi="宋体"/>
          <w:szCs w:val="21"/>
        </w:rPr>
        <w:t>3</w:t>
      </w:r>
      <w:r w:rsidRPr="005A0470">
        <w:rPr>
          <w:rFonts w:ascii="宋体" w:hAnsi="宋体" w:hint="eastAsia"/>
          <w:szCs w:val="21"/>
        </w:rPr>
        <w:t>次。</w:t>
      </w:r>
      <w:r w:rsidRPr="005A0470">
        <w:rPr>
          <w:rFonts w:ascii="宋体" w:hAnsi="宋体"/>
          <w:szCs w:val="21"/>
        </w:rPr>
        <w:t>24</w:t>
      </w:r>
      <w:r w:rsidRPr="005A0470">
        <w:rPr>
          <w:rFonts w:ascii="宋体" w:hAnsi="宋体" w:hint="eastAsia"/>
          <w:szCs w:val="21"/>
        </w:rPr>
        <w:t>小时内不超过</w:t>
      </w:r>
      <w:r w:rsidRPr="005A0470">
        <w:rPr>
          <w:rFonts w:ascii="宋体" w:hAnsi="宋体"/>
          <w:szCs w:val="21"/>
        </w:rPr>
        <w:t>4</w:t>
      </w:r>
      <w:r w:rsidRPr="005A0470">
        <w:rPr>
          <w:rFonts w:ascii="宋体" w:hAnsi="宋体" w:hint="eastAsia"/>
          <w:szCs w:val="21"/>
        </w:rPr>
        <w:t>次。</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【不良反应】</w:t>
      </w:r>
      <w:r w:rsidRPr="005C7C25">
        <w:rPr>
          <w:rFonts w:ascii="宋体" w:hAnsi="宋体"/>
          <w:szCs w:val="21"/>
        </w:rPr>
        <w:t xml:space="preserve"> </w:t>
      </w:r>
    </w:p>
    <w:p w:rsidR="006A527E" w:rsidRPr="005C7C25" w:rsidRDefault="006A527E" w:rsidP="00D508AD">
      <w:pPr>
        <w:ind w:firstLineChars="250" w:firstLine="31680"/>
        <w:rPr>
          <w:rFonts w:ascii="宋体"/>
          <w:szCs w:val="21"/>
        </w:rPr>
      </w:pPr>
      <w:r>
        <w:rPr>
          <w:rFonts w:ascii="宋体" w:hAnsi="宋体" w:hint="eastAsia"/>
          <w:szCs w:val="21"/>
        </w:rPr>
        <w:t>本品</w:t>
      </w:r>
      <w:r w:rsidRPr="005C7C25">
        <w:rPr>
          <w:rFonts w:ascii="宋体" w:hAnsi="宋体" w:hint="eastAsia"/>
          <w:szCs w:val="21"/>
        </w:rPr>
        <w:t>常见不良反应为可见头晕、困倦、口干、胃部不适、乏力、大便干燥等。</w:t>
      </w:r>
    </w:p>
    <w:p w:rsidR="006A527E" w:rsidRPr="00530529" w:rsidRDefault="006A527E" w:rsidP="00D508AD">
      <w:pPr>
        <w:ind w:firstLineChars="200" w:firstLine="31680"/>
        <w:rPr>
          <w:rFonts w:ascii="宋体"/>
          <w:szCs w:val="21"/>
        </w:rPr>
      </w:pPr>
      <w:r>
        <w:rPr>
          <w:rFonts w:ascii="宋体" w:hAnsi="宋体" w:hint="eastAsia"/>
          <w:szCs w:val="21"/>
        </w:rPr>
        <w:t>单用</w:t>
      </w:r>
      <w:r w:rsidRPr="005C7C25">
        <w:rPr>
          <w:rFonts w:ascii="宋体" w:hAnsi="宋体" w:hint="eastAsia"/>
          <w:szCs w:val="21"/>
        </w:rPr>
        <w:t>盐酸伪麻黄碱可引起的不良反应：伪麻黄碱</w:t>
      </w:r>
      <w:r>
        <w:rPr>
          <w:rFonts w:ascii="宋体" w:hAnsi="宋体" w:hint="eastAsia"/>
          <w:szCs w:val="21"/>
        </w:rPr>
        <w:t>是拟交感神经药物，</w:t>
      </w:r>
      <w:r w:rsidRPr="00334A9C">
        <w:rPr>
          <w:rFonts w:ascii="宋体" w:hAnsi="宋体" w:hint="eastAsia"/>
          <w:szCs w:val="21"/>
        </w:rPr>
        <w:t>可能会视物模糊、头痛、烦躁、失眠、恶心、呕吐、口渴、心悸、尿频的发生率</w:t>
      </w:r>
      <w:r>
        <w:rPr>
          <w:rFonts w:ascii="宋体" w:hAnsi="宋体" w:hint="eastAsia"/>
          <w:szCs w:val="21"/>
        </w:rPr>
        <w:t>增加。可出现错觉与幻觉，有些还能发展成心律失常、循环衰竭、惊悸、昏迷和呼吸衰竭。对于高敏患者</w:t>
      </w:r>
      <w:r w:rsidRPr="00334A9C">
        <w:rPr>
          <w:rFonts w:ascii="宋体" w:hAnsi="宋体" w:hint="eastAsia"/>
          <w:szCs w:val="21"/>
        </w:rPr>
        <w:t>可能引起轻度中枢系统症状，如神经过敏、失眠、视物模糊、兴</w:t>
      </w:r>
      <w:r>
        <w:rPr>
          <w:rFonts w:ascii="宋体" w:hAnsi="宋体" w:hint="eastAsia"/>
          <w:szCs w:val="21"/>
        </w:rPr>
        <w:t>奋、头昏、乏力，现已有报道头痛、恶心、困倦、心悸、血压波动、心律</w:t>
      </w:r>
      <w:r w:rsidRPr="00334A9C">
        <w:rPr>
          <w:rFonts w:ascii="宋体" w:hAnsi="宋体" w:hint="eastAsia"/>
          <w:szCs w:val="21"/>
        </w:rPr>
        <w:t>失常等症，同时拟交感神经药物还可能出现如幻觉、紧张、战栗、呼吸困难、排尿困难、循环衰竭等不良反应。</w:t>
      </w:r>
    </w:p>
    <w:p w:rsidR="006A527E" w:rsidRPr="005C7C25" w:rsidRDefault="006A527E" w:rsidP="00D508AD">
      <w:pPr>
        <w:ind w:firstLineChars="200" w:firstLine="31680"/>
        <w:rPr>
          <w:rFonts w:ascii="宋体" w:cs="Arial"/>
          <w:color w:val="000000"/>
          <w:szCs w:val="21"/>
        </w:rPr>
      </w:pPr>
      <w:r>
        <w:rPr>
          <w:rFonts w:ascii="宋体" w:hAnsi="宋体" w:hint="eastAsia"/>
          <w:szCs w:val="21"/>
        </w:rPr>
        <w:t>单用</w:t>
      </w:r>
      <w:r w:rsidRPr="005C7C25">
        <w:rPr>
          <w:rFonts w:ascii="宋体" w:hAnsi="宋体" w:hint="eastAsia"/>
          <w:szCs w:val="21"/>
        </w:rPr>
        <w:t>马来酸氯苯那敏可引起的不良反应：</w:t>
      </w:r>
      <w:r w:rsidRPr="005C7C25">
        <w:rPr>
          <w:rFonts w:ascii="宋体" w:hAnsi="宋体" w:cs="Arial" w:hint="eastAsia"/>
          <w:color w:val="000000"/>
          <w:szCs w:val="21"/>
        </w:rPr>
        <w:t>少见胸闷、心悸、咽喉痛、疲劳、皮肤淤斑、出血倾向；还可出现嗜睡、痰液黏稠等；由于本药的抗胆碱作用，可引起鼻腔黏膜干燥；个别患者使用本药后有失眠、烦躁等中枢兴奋症状，甚至有诱发癫痫的可能；本药虽属抗组胺药，但也有少数患者在用药后出现药物过敏反应，如瘙痒、皮疹、胃肠道过敏等，甚至还有因服用本药而出现血常规改变者。</w:t>
      </w:r>
    </w:p>
    <w:p w:rsidR="006A527E" w:rsidRPr="005C7C25" w:rsidRDefault="006A527E" w:rsidP="00D508AD">
      <w:pPr>
        <w:ind w:firstLineChars="200" w:firstLine="31680"/>
        <w:rPr>
          <w:rFonts w:ascii="宋体"/>
          <w:szCs w:val="21"/>
        </w:rPr>
      </w:pPr>
      <w:r w:rsidRPr="005C7C25">
        <w:rPr>
          <w:rFonts w:ascii="宋体" w:hAnsi="宋体" w:hint="eastAsia"/>
          <w:szCs w:val="21"/>
        </w:rPr>
        <w:t>【禁忌】</w:t>
      </w:r>
      <w:r w:rsidRPr="005C7C25">
        <w:rPr>
          <w:rFonts w:ascii="宋体" w:hAnsi="宋体"/>
          <w:szCs w:val="21"/>
        </w:rPr>
        <w:t xml:space="preserve"> </w:t>
      </w:r>
      <w:r w:rsidRPr="005C7C25">
        <w:rPr>
          <w:rFonts w:ascii="宋体" w:hAnsi="宋体" w:hint="eastAsia"/>
          <w:szCs w:val="21"/>
        </w:rPr>
        <w:t>本品禁用于对本品中所含成份及肾上腺素类药物或其他化学结构与之相似的药物有过敏或特异质反应的患者。本品禁用于正在接受单胺氧化酶抑制剂治疗或</w:t>
      </w:r>
      <w:r w:rsidRPr="005C7C25">
        <w:rPr>
          <w:rFonts w:ascii="宋体" w:hAnsi="宋体"/>
          <w:szCs w:val="21"/>
        </w:rPr>
        <w:t>14</w:t>
      </w:r>
      <w:r w:rsidRPr="005C7C25">
        <w:rPr>
          <w:rFonts w:ascii="宋体" w:hAnsi="宋体" w:hint="eastAsia"/>
          <w:szCs w:val="21"/>
        </w:rPr>
        <w:t>日内接受过这类治疗或刚停止这类治疗的患者。本品亦禁用于有窄角型青光眼、尿潴留、</w:t>
      </w:r>
      <w:r w:rsidRPr="005C7C25">
        <w:rPr>
          <w:rFonts w:ascii="宋体" w:hAnsi="宋体" w:cs="Arial" w:hint="eastAsia"/>
          <w:color w:val="000000"/>
          <w:szCs w:val="21"/>
        </w:rPr>
        <w:t>癫痫、</w:t>
      </w:r>
      <w:r>
        <w:rPr>
          <w:rFonts w:ascii="宋体" w:hAnsi="宋体" w:cs="Arial" w:hint="eastAsia"/>
          <w:color w:val="000000"/>
          <w:kern w:val="0"/>
          <w:szCs w:val="21"/>
        </w:rPr>
        <w:t>精神疾病、</w:t>
      </w:r>
      <w:r w:rsidRPr="005C7C25">
        <w:rPr>
          <w:rFonts w:ascii="宋体" w:hAnsi="宋体" w:hint="eastAsia"/>
          <w:szCs w:val="21"/>
        </w:rPr>
        <w:t>严重高血压或严重冠状动脉疾病患者。</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【注意事项】</w:t>
      </w:r>
      <w:r w:rsidRPr="005C7C25">
        <w:rPr>
          <w:rFonts w:ascii="宋体" w:hAnsi="宋体"/>
          <w:szCs w:val="21"/>
        </w:rPr>
        <w:t xml:space="preserve"> </w:t>
      </w:r>
    </w:p>
    <w:p w:rsidR="006A527E" w:rsidRPr="005C7C25" w:rsidRDefault="006A527E" w:rsidP="00D508AD">
      <w:pPr>
        <w:ind w:firstLineChars="200" w:firstLine="31680"/>
        <w:rPr>
          <w:rFonts w:ascii="宋体"/>
          <w:szCs w:val="21"/>
        </w:rPr>
      </w:pPr>
      <w:r w:rsidRPr="005C7C25">
        <w:rPr>
          <w:rFonts w:ascii="宋体" w:hAnsi="宋体"/>
          <w:szCs w:val="21"/>
        </w:rPr>
        <w:t xml:space="preserve">1. </w:t>
      </w:r>
      <w:r w:rsidRPr="005C7C25">
        <w:rPr>
          <w:rFonts w:ascii="宋体" w:hAnsi="宋体" w:hint="eastAsia"/>
          <w:szCs w:val="21"/>
        </w:rPr>
        <w:t>运动员慎用。</w:t>
      </w:r>
    </w:p>
    <w:p w:rsidR="006A527E" w:rsidRPr="005C7C25" w:rsidRDefault="006A527E" w:rsidP="00D508AD">
      <w:pPr>
        <w:ind w:firstLineChars="200" w:firstLine="31680"/>
        <w:rPr>
          <w:rFonts w:ascii="宋体"/>
          <w:szCs w:val="21"/>
        </w:rPr>
      </w:pPr>
      <w:r w:rsidRPr="005C7C25">
        <w:rPr>
          <w:rFonts w:ascii="宋体" w:hAnsi="宋体"/>
          <w:szCs w:val="21"/>
        </w:rPr>
        <w:t>2.</w:t>
      </w:r>
      <w:r w:rsidRPr="005C7C25">
        <w:rPr>
          <w:rFonts w:ascii="宋体" w:hAnsi="宋体" w:hint="eastAsia"/>
          <w:szCs w:val="21"/>
        </w:rPr>
        <w:t>消化性溃疡、幽门十二指肠梗阻、前列腺肥大、膀胱颈梗阻、心血管疾病、眼内压增加、甲状腺机能亢进者、肾功能不全者、糖尿病、</w:t>
      </w:r>
      <w:r w:rsidRPr="005C7C25">
        <w:rPr>
          <w:rFonts w:ascii="宋体" w:hAnsi="宋体" w:cs="Arial" w:hint="eastAsia"/>
          <w:color w:val="000000"/>
          <w:szCs w:val="21"/>
        </w:rPr>
        <w:t>哮喘</w:t>
      </w:r>
      <w:r w:rsidRPr="005C7C25">
        <w:rPr>
          <w:rFonts w:ascii="宋体" w:hAnsi="宋体" w:hint="eastAsia"/>
          <w:szCs w:val="21"/>
        </w:rPr>
        <w:t>患者应慎用；接受洋地黄治疗的患者慎用。</w:t>
      </w:r>
    </w:p>
    <w:p w:rsidR="006A527E" w:rsidRPr="005C7C25" w:rsidRDefault="006A527E" w:rsidP="00D508AD">
      <w:pPr>
        <w:ind w:firstLineChars="200" w:firstLine="31680"/>
        <w:rPr>
          <w:rFonts w:ascii="宋体"/>
          <w:szCs w:val="21"/>
        </w:rPr>
      </w:pPr>
      <w:r w:rsidRPr="005C7C25">
        <w:rPr>
          <w:rFonts w:ascii="宋体" w:hAnsi="宋体"/>
          <w:szCs w:val="21"/>
        </w:rPr>
        <w:t>3.</w:t>
      </w:r>
      <w:r w:rsidRPr="005C7C25">
        <w:rPr>
          <w:rFonts w:ascii="宋体" w:hAnsi="宋体" w:hint="eastAsia"/>
          <w:szCs w:val="21"/>
        </w:rPr>
        <w:t>拟交感神经药可能引起中枢神经系统兴奋、抽搐、和／或伴有低血压、循环虚脱。</w:t>
      </w:r>
      <w:r w:rsidRPr="005C7C25">
        <w:rPr>
          <w:rFonts w:ascii="宋体" w:hAnsi="宋体"/>
          <w:szCs w:val="21"/>
        </w:rPr>
        <w:t>60</w:t>
      </w:r>
      <w:r w:rsidRPr="005C7C25">
        <w:rPr>
          <w:rFonts w:ascii="宋体" w:hAnsi="宋体" w:hint="eastAsia"/>
          <w:szCs w:val="21"/>
        </w:rPr>
        <w:t>岁或</w:t>
      </w:r>
      <w:r w:rsidRPr="005C7C25">
        <w:rPr>
          <w:rFonts w:ascii="宋体" w:hAnsi="宋体"/>
          <w:szCs w:val="21"/>
        </w:rPr>
        <w:t>60</w:t>
      </w:r>
      <w:r w:rsidRPr="005C7C25">
        <w:rPr>
          <w:rFonts w:ascii="宋体" w:hAnsi="宋体" w:hint="eastAsia"/>
          <w:szCs w:val="21"/>
        </w:rPr>
        <w:t>岁以上患者用拟交感神经药更易引起精神错乱、幻觉、抽搐、中枢神经系统抑制和死亡等不良反应，因而对年龄大的患者使用相同作用制剂时应谨慎。</w:t>
      </w:r>
    </w:p>
    <w:p w:rsidR="006A527E" w:rsidRPr="005C7C25" w:rsidRDefault="006A527E" w:rsidP="00D508AD">
      <w:pPr>
        <w:ind w:firstLineChars="200" w:firstLine="31680"/>
        <w:rPr>
          <w:rFonts w:ascii="宋体"/>
          <w:szCs w:val="21"/>
        </w:rPr>
      </w:pPr>
      <w:r w:rsidRPr="005C7C25">
        <w:rPr>
          <w:rFonts w:ascii="宋体" w:hAnsi="宋体"/>
          <w:szCs w:val="21"/>
        </w:rPr>
        <w:t>4.</w:t>
      </w:r>
      <w:r w:rsidRPr="005C7C25">
        <w:rPr>
          <w:rFonts w:ascii="宋体" w:hAnsi="宋体" w:hint="eastAsia"/>
          <w:szCs w:val="21"/>
        </w:rPr>
        <w:t>接受单胺氧化酶（</w:t>
      </w:r>
      <w:r w:rsidRPr="005C7C25">
        <w:rPr>
          <w:rFonts w:ascii="宋体" w:hAnsi="宋体"/>
          <w:szCs w:val="21"/>
        </w:rPr>
        <w:t>MAO</w:t>
      </w:r>
      <w:r w:rsidRPr="005C7C25">
        <w:rPr>
          <w:rFonts w:ascii="宋体" w:hAnsi="宋体" w:hint="eastAsia"/>
          <w:szCs w:val="21"/>
        </w:rPr>
        <w:t>）抑制剂的患者用拟交感神经药时，可能发生高血压反应，包括高血压危象。甲基多巴、美加明、利血平和藜芦生物碱的抗高血压作用可能被拟交感神经药所降低。β</w:t>
      </w:r>
      <w:r w:rsidRPr="005C7C25">
        <w:rPr>
          <w:rFonts w:ascii="宋体"/>
          <w:szCs w:val="21"/>
        </w:rPr>
        <w:t>-</w:t>
      </w:r>
      <w:r w:rsidRPr="005C7C25">
        <w:rPr>
          <w:rFonts w:ascii="宋体" w:hAnsi="宋体" w:hint="eastAsia"/>
          <w:szCs w:val="21"/>
        </w:rPr>
        <w:t>肾上腺素能的阻断剂可能与拟交感神经药有相互作用。当同时用伪麻黄碱和洋地黄时可能增加异位起搏点的活性。抗酸剂增加伪麻黄碱的吸收率。</w:t>
      </w:r>
    </w:p>
    <w:p w:rsidR="006A527E" w:rsidRPr="005C7C25" w:rsidRDefault="006A527E" w:rsidP="00D508AD">
      <w:pPr>
        <w:ind w:firstLineChars="200" w:firstLine="31680"/>
        <w:rPr>
          <w:rFonts w:ascii="宋体"/>
          <w:szCs w:val="21"/>
        </w:rPr>
      </w:pPr>
      <w:r w:rsidRPr="005C7C25">
        <w:rPr>
          <w:rFonts w:ascii="宋体" w:hAnsi="宋体"/>
          <w:szCs w:val="21"/>
        </w:rPr>
        <w:t>5.</w:t>
      </w:r>
      <w:r w:rsidRPr="005C7C25">
        <w:rPr>
          <w:rFonts w:ascii="宋体" w:hAnsi="宋体" w:hint="eastAsia"/>
          <w:szCs w:val="21"/>
        </w:rPr>
        <w:t>伪麻黄碱与其他中枢神经系统兴奋剂一样已被滥用。高剂量时可产生欣快感、食欲下降、体力增加的感觉、兴奋，但亦伴有焦虑、激惹和多言。继续使用任何中枢神经兴奋剂可产生耐受性，增加剂量最终造成中毒，很快停药可产生抑郁。</w:t>
      </w:r>
    </w:p>
    <w:p w:rsidR="006A527E" w:rsidRPr="005C7C25" w:rsidRDefault="006A527E" w:rsidP="00D508AD">
      <w:pPr>
        <w:ind w:firstLineChars="250" w:firstLine="31680"/>
        <w:rPr>
          <w:rFonts w:ascii="宋体"/>
          <w:szCs w:val="21"/>
        </w:rPr>
      </w:pPr>
      <w:r w:rsidRPr="005C7C25">
        <w:rPr>
          <w:rFonts w:ascii="宋体" w:hAnsi="宋体"/>
          <w:szCs w:val="21"/>
        </w:rPr>
        <w:t>6.</w:t>
      </w:r>
      <w:r w:rsidRPr="005C7C25">
        <w:rPr>
          <w:rFonts w:ascii="宋体" w:hAnsi="宋体" w:hint="eastAsia"/>
          <w:szCs w:val="21"/>
        </w:rPr>
        <w:t>用药</w:t>
      </w:r>
      <w:r w:rsidRPr="005C7C25">
        <w:rPr>
          <w:rFonts w:ascii="宋体" w:hAnsi="宋体"/>
          <w:szCs w:val="21"/>
        </w:rPr>
        <w:t>3</w:t>
      </w:r>
      <w:r w:rsidRPr="008F1EEA">
        <w:rPr>
          <w:rFonts w:ascii="宋体" w:hAnsi="宋体" w:hint="eastAsia"/>
          <w:szCs w:val="21"/>
        </w:rPr>
        <w:t>～</w:t>
      </w:r>
      <w:r w:rsidRPr="005C7C25">
        <w:rPr>
          <w:rFonts w:ascii="宋体" w:hAnsi="宋体"/>
          <w:szCs w:val="21"/>
        </w:rPr>
        <w:t>7</w:t>
      </w:r>
      <w:r w:rsidRPr="005C7C25">
        <w:rPr>
          <w:rFonts w:ascii="宋体" w:hAnsi="宋体" w:hint="eastAsia"/>
          <w:szCs w:val="21"/>
        </w:rPr>
        <w:t>天，症状未缓解，请咨询医师。服用本品期间不得饮酒或含有酒精的饮料。不能同时服用与本品成份相似的其他抗感冒药。服药期间不得驾驶机、车、船、从事高空作业、机械作业及操作精密仪器。</w:t>
      </w:r>
    </w:p>
    <w:p w:rsidR="006A527E" w:rsidRPr="005C7C25" w:rsidRDefault="006A527E" w:rsidP="00D508AD">
      <w:pPr>
        <w:ind w:firstLineChars="250" w:firstLine="31680"/>
        <w:rPr>
          <w:rFonts w:ascii="宋体" w:cs="Arial"/>
          <w:color w:val="000000"/>
          <w:szCs w:val="21"/>
        </w:rPr>
      </w:pPr>
      <w:r w:rsidRPr="005C7C25">
        <w:rPr>
          <w:rFonts w:ascii="宋体" w:hAnsi="宋体" w:cs="Arial"/>
          <w:color w:val="000000"/>
          <w:szCs w:val="21"/>
        </w:rPr>
        <w:t>7.</w:t>
      </w:r>
      <w:r w:rsidRPr="005C7C25">
        <w:rPr>
          <w:rFonts w:ascii="宋体" w:hAnsi="宋体" w:cs="Arial" w:hint="eastAsia"/>
          <w:color w:val="000000"/>
          <w:szCs w:val="21"/>
        </w:rPr>
        <w:t>交叉过敏</w:t>
      </w:r>
      <w:r w:rsidRPr="005C7C25">
        <w:rPr>
          <w:rFonts w:ascii="宋体" w:hAnsi="宋体" w:cs="Arial"/>
          <w:color w:val="000000"/>
          <w:szCs w:val="21"/>
        </w:rPr>
        <w:t xml:space="preserve"> </w:t>
      </w:r>
      <w:r>
        <w:rPr>
          <w:rFonts w:ascii="宋体" w:hAnsi="宋体" w:cs="Arial" w:hint="eastAsia"/>
          <w:color w:val="000000"/>
          <w:szCs w:val="21"/>
        </w:rPr>
        <w:t>：</w:t>
      </w:r>
      <w:r w:rsidRPr="005C7C25">
        <w:rPr>
          <w:rFonts w:ascii="宋体" w:hAnsi="宋体" w:cs="Arial"/>
          <w:color w:val="000000"/>
          <w:szCs w:val="21"/>
        </w:rPr>
        <w:t>(1)</w:t>
      </w:r>
      <w:r w:rsidRPr="005C7C25">
        <w:rPr>
          <w:rFonts w:ascii="宋体" w:hAnsi="宋体" w:cs="Arial" w:hint="eastAsia"/>
          <w:color w:val="000000"/>
          <w:szCs w:val="21"/>
        </w:rPr>
        <w:t>对其他抗组胺药或拟交感神经药</w:t>
      </w:r>
      <w:r w:rsidRPr="005C7C25">
        <w:rPr>
          <w:rFonts w:ascii="宋体" w:hAnsi="宋体" w:cs="Arial"/>
          <w:color w:val="000000"/>
          <w:szCs w:val="21"/>
        </w:rPr>
        <w:t>(</w:t>
      </w:r>
      <w:r w:rsidRPr="005C7C25">
        <w:rPr>
          <w:rFonts w:ascii="宋体" w:hAnsi="宋体" w:cs="Arial" w:hint="eastAsia"/>
          <w:color w:val="000000"/>
          <w:szCs w:val="21"/>
        </w:rPr>
        <w:t>麻黄碱、肾上腺素、异丙肾上腺素、间羟异丙肾上腺素、去甲肾上腺素等</w:t>
      </w:r>
      <w:r w:rsidRPr="005C7C25">
        <w:rPr>
          <w:rFonts w:ascii="宋体" w:hAnsi="宋体" w:cs="Arial"/>
          <w:color w:val="000000"/>
          <w:szCs w:val="21"/>
        </w:rPr>
        <w:t>)</w:t>
      </w:r>
      <w:r w:rsidRPr="005C7C25">
        <w:rPr>
          <w:rFonts w:ascii="宋体" w:hAnsi="宋体" w:cs="Arial" w:hint="eastAsia"/>
          <w:color w:val="000000"/>
          <w:szCs w:val="21"/>
        </w:rPr>
        <w:t>过敏者，对</w:t>
      </w:r>
      <w:r w:rsidRPr="005C7C25">
        <w:rPr>
          <w:rFonts w:ascii="宋体" w:hAnsi="宋体" w:hint="eastAsia"/>
          <w:szCs w:val="21"/>
        </w:rPr>
        <w:t>马来酸氯苯那敏</w:t>
      </w:r>
      <w:r w:rsidRPr="005C7C25">
        <w:rPr>
          <w:rFonts w:ascii="宋体" w:hAnsi="宋体" w:cs="Arial" w:hint="eastAsia"/>
          <w:color w:val="000000"/>
          <w:szCs w:val="21"/>
        </w:rPr>
        <w:t>也可能过敏</w:t>
      </w:r>
      <w:r>
        <w:rPr>
          <w:rFonts w:ascii="宋体" w:hAnsi="宋体" w:cs="Arial" w:hint="eastAsia"/>
          <w:color w:val="000000"/>
          <w:szCs w:val="21"/>
        </w:rPr>
        <w:t>；</w:t>
      </w:r>
      <w:r w:rsidRPr="005C7C25">
        <w:rPr>
          <w:rFonts w:ascii="宋体" w:hAnsi="宋体" w:cs="Arial"/>
          <w:color w:val="000000"/>
          <w:szCs w:val="21"/>
        </w:rPr>
        <w:t>(2)</w:t>
      </w:r>
      <w:r w:rsidRPr="005C7C25">
        <w:rPr>
          <w:rFonts w:ascii="宋体" w:hAnsi="宋体" w:cs="Arial" w:hint="eastAsia"/>
          <w:color w:val="000000"/>
          <w:szCs w:val="21"/>
        </w:rPr>
        <w:t>对碘过敏者也可能对</w:t>
      </w:r>
      <w:r w:rsidRPr="005C7C25">
        <w:rPr>
          <w:rFonts w:ascii="宋体" w:hAnsi="宋体" w:hint="eastAsia"/>
          <w:szCs w:val="21"/>
        </w:rPr>
        <w:t>马来酸氯苯那敏</w:t>
      </w:r>
      <w:r w:rsidRPr="005C7C25">
        <w:rPr>
          <w:rFonts w:ascii="宋体" w:hAnsi="宋体" w:cs="Arial" w:hint="eastAsia"/>
          <w:color w:val="000000"/>
          <w:szCs w:val="21"/>
        </w:rPr>
        <w:t>过敏。</w:t>
      </w:r>
    </w:p>
    <w:p w:rsidR="006A527E" w:rsidRPr="005C7C25" w:rsidRDefault="006A527E" w:rsidP="00D508AD">
      <w:pPr>
        <w:ind w:firstLineChars="200" w:firstLine="31680"/>
        <w:rPr>
          <w:rFonts w:ascii="宋体"/>
          <w:szCs w:val="21"/>
        </w:rPr>
      </w:pPr>
      <w:r w:rsidRPr="005C7C25">
        <w:rPr>
          <w:rFonts w:ascii="宋体" w:hAnsi="宋体" w:hint="eastAsia"/>
          <w:szCs w:val="21"/>
        </w:rPr>
        <w:t>【孕妇及哺乳妇女用药】尚无在妊娠期安全使用本品的资料，只有对胎儿利大于弊时才能使用本品。由于伪麻黄碱和马来酸氯苯那敏均能从乳汁中分泌，</w:t>
      </w:r>
      <w:r w:rsidRPr="005C7C25">
        <w:rPr>
          <w:rFonts w:ascii="宋体" w:hAnsi="宋体" w:cs="Arial" w:hint="eastAsia"/>
          <w:color w:val="000000"/>
          <w:szCs w:val="21"/>
        </w:rPr>
        <w:t>且</w:t>
      </w:r>
      <w:r w:rsidRPr="005C7C25">
        <w:rPr>
          <w:rFonts w:ascii="宋体" w:hAnsi="宋体" w:hint="eastAsia"/>
          <w:szCs w:val="21"/>
        </w:rPr>
        <w:t>马来酸氯苯那敏</w:t>
      </w:r>
      <w:r w:rsidRPr="005C7C25">
        <w:rPr>
          <w:rFonts w:ascii="宋体" w:hAnsi="宋体" w:cs="Arial" w:hint="eastAsia"/>
          <w:color w:val="000000"/>
          <w:szCs w:val="21"/>
        </w:rPr>
        <w:t>抗</w:t>
      </w:r>
      <w:r w:rsidRPr="005C7C25">
        <w:rPr>
          <w:rFonts w:ascii="宋体" w:hAnsi="宋体" w:cs="Arial"/>
          <w:color w:val="000000"/>
          <w:szCs w:val="21"/>
        </w:rPr>
        <w:t>M-</w:t>
      </w:r>
      <w:r w:rsidRPr="005C7C25">
        <w:rPr>
          <w:rFonts w:ascii="宋体" w:hAnsi="宋体" w:cs="Arial" w:hint="eastAsia"/>
          <w:color w:val="000000"/>
          <w:szCs w:val="21"/>
        </w:rPr>
        <w:t>胆碱受体作用可抑制泌乳，</w:t>
      </w:r>
      <w:r w:rsidRPr="005C7C25">
        <w:rPr>
          <w:rFonts w:ascii="宋体" w:hAnsi="宋体" w:hint="eastAsia"/>
          <w:szCs w:val="21"/>
        </w:rPr>
        <w:t>因此对于哺乳期妇女应考虑停止哺乳或停止服药。</w:t>
      </w:r>
    </w:p>
    <w:p w:rsidR="006A527E" w:rsidRPr="005C7C25" w:rsidRDefault="006A527E" w:rsidP="00D508AD">
      <w:pPr>
        <w:ind w:firstLineChars="200" w:firstLine="31680"/>
        <w:rPr>
          <w:rFonts w:ascii="宋体"/>
          <w:szCs w:val="21"/>
        </w:rPr>
      </w:pPr>
      <w:r w:rsidRPr="005C7C25">
        <w:rPr>
          <w:rFonts w:ascii="宋体" w:hAnsi="宋体" w:hint="eastAsia"/>
          <w:szCs w:val="21"/>
        </w:rPr>
        <w:t>【儿童用药】尚无小于</w:t>
      </w:r>
      <w:r w:rsidRPr="005C7C25">
        <w:rPr>
          <w:rFonts w:ascii="宋体" w:hAnsi="宋体"/>
          <w:szCs w:val="21"/>
        </w:rPr>
        <w:t>12</w:t>
      </w:r>
      <w:r w:rsidRPr="005C7C25">
        <w:rPr>
          <w:rFonts w:ascii="宋体" w:hAnsi="宋体" w:hint="eastAsia"/>
          <w:szCs w:val="21"/>
        </w:rPr>
        <w:t>岁的儿童使用本品的安全性及有效性的资料，本品不推荐用于</w:t>
      </w:r>
      <w:r w:rsidRPr="005C7C25">
        <w:rPr>
          <w:rFonts w:ascii="宋体" w:hAnsi="宋体"/>
          <w:szCs w:val="21"/>
        </w:rPr>
        <w:t>12</w:t>
      </w:r>
      <w:r w:rsidRPr="005C7C25">
        <w:rPr>
          <w:rFonts w:ascii="宋体" w:hAnsi="宋体" w:hint="eastAsia"/>
          <w:szCs w:val="21"/>
        </w:rPr>
        <w:t>岁以下儿童。</w:t>
      </w:r>
    </w:p>
    <w:p w:rsidR="006A527E" w:rsidRPr="006B01F6" w:rsidRDefault="006A527E" w:rsidP="00D508AD">
      <w:pPr>
        <w:ind w:firstLineChars="200" w:firstLine="31680"/>
        <w:rPr>
          <w:rFonts w:ascii="宋体"/>
          <w:szCs w:val="21"/>
        </w:rPr>
      </w:pPr>
      <w:r w:rsidRPr="005C7C25">
        <w:rPr>
          <w:rFonts w:ascii="宋体" w:hAnsi="宋体" w:hint="eastAsia"/>
          <w:szCs w:val="21"/>
        </w:rPr>
        <w:t>【老年用药】</w:t>
      </w:r>
      <w:r w:rsidRPr="005C7C25">
        <w:rPr>
          <w:rFonts w:ascii="宋体" w:hAnsi="宋体"/>
          <w:szCs w:val="21"/>
        </w:rPr>
        <w:t>60</w:t>
      </w:r>
      <w:r w:rsidRPr="005C7C25">
        <w:rPr>
          <w:rFonts w:ascii="宋体" w:hAnsi="宋体" w:hint="eastAsia"/>
          <w:szCs w:val="21"/>
        </w:rPr>
        <w:t>岁或</w:t>
      </w:r>
      <w:r w:rsidRPr="005C7C25">
        <w:rPr>
          <w:rFonts w:ascii="宋体" w:hAnsi="宋体"/>
          <w:szCs w:val="21"/>
        </w:rPr>
        <w:t>60</w:t>
      </w:r>
      <w:r w:rsidRPr="005C7C25">
        <w:rPr>
          <w:rFonts w:ascii="宋体" w:hAnsi="宋体" w:hint="eastAsia"/>
          <w:szCs w:val="21"/>
        </w:rPr>
        <w:t>岁以上患者用拟交感神经药更易引起精神错乱、幻觉、抽搐、中枢神经系统抑制和死亡等不良反应，因而对年龄大的患者使用相同作用制剂时应谨慎。</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【药物相互作用】</w:t>
      </w:r>
      <w:r w:rsidRPr="005C7C25">
        <w:rPr>
          <w:rFonts w:ascii="宋体" w:hAnsi="宋体"/>
          <w:szCs w:val="21"/>
        </w:rPr>
        <w:t xml:space="preserve"> </w:t>
      </w:r>
    </w:p>
    <w:p w:rsidR="006A527E" w:rsidRPr="005C7C25" w:rsidRDefault="006A527E" w:rsidP="00D508AD">
      <w:pPr>
        <w:ind w:firstLineChars="200" w:firstLine="31680"/>
        <w:rPr>
          <w:rFonts w:ascii="宋体"/>
          <w:szCs w:val="21"/>
        </w:rPr>
      </w:pPr>
      <w:r w:rsidRPr="005C7C25">
        <w:rPr>
          <w:rFonts w:ascii="宋体" w:hAnsi="宋体" w:cs="Arial"/>
          <w:color w:val="000000"/>
          <w:szCs w:val="21"/>
        </w:rPr>
        <w:t>1.</w:t>
      </w:r>
      <w:r w:rsidRPr="005C7C25">
        <w:rPr>
          <w:rFonts w:ascii="宋体" w:hAnsi="宋体" w:cs="Arial" w:hint="eastAsia"/>
          <w:color w:val="000000"/>
          <w:szCs w:val="21"/>
        </w:rPr>
        <w:t>伪麻黄碱与单胺氧化酶抑制药</w:t>
      </w:r>
      <w:r w:rsidRPr="005C7C25">
        <w:rPr>
          <w:rFonts w:ascii="宋体" w:hAnsi="宋体" w:cs="Arial"/>
          <w:color w:val="000000"/>
          <w:szCs w:val="21"/>
        </w:rPr>
        <w:t>(</w:t>
      </w:r>
      <w:r w:rsidRPr="005C7C25">
        <w:rPr>
          <w:rFonts w:ascii="宋体" w:hAnsi="宋体" w:cs="Arial" w:hint="eastAsia"/>
          <w:color w:val="000000"/>
          <w:szCs w:val="21"/>
        </w:rPr>
        <w:t>氯吉兰、呋喃唑酮、异丙烟肼、异卡波肼、吗氯贝胺、烟肼酰胺、帕吉林、苯乙肼、丙卡巴肼、塞利吉林、托洛沙酮、苯环丙胺</w:t>
      </w:r>
      <w:r w:rsidRPr="005C7C25">
        <w:rPr>
          <w:rFonts w:ascii="宋体" w:hAnsi="宋体" w:cs="Arial"/>
          <w:color w:val="000000"/>
          <w:szCs w:val="21"/>
        </w:rPr>
        <w:t>)</w:t>
      </w:r>
      <w:r w:rsidRPr="005C7C25">
        <w:rPr>
          <w:rFonts w:ascii="宋体" w:hAnsi="宋体" w:cs="Arial" w:hint="eastAsia"/>
          <w:color w:val="000000"/>
          <w:szCs w:val="21"/>
        </w:rPr>
        <w:t>合用可出现重度高血压、高热、头痛，因去甲肾上腺素的作用增强。故禁止伪麻黄碱与单胺氧化酶抑制药合用，停用单胺氧化酶抑制药</w:t>
      </w:r>
      <w:r w:rsidRPr="005C7C25">
        <w:rPr>
          <w:rFonts w:ascii="宋体" w:hAnsi="宋体" w:cs="Arial"/>
          <w:color w:val="000000"/>
          <w:szCs w:val="21"/>
        </w:rPr>
        <w:t>14</w:t>
      </w:r>
      <w:r w:rsidRPr="005C7C25">
        <w:rPr>
          <w:rFonts w:ascii="宋体" w:hAnsi="宋体" w:cs="Arial" w:hint="eastAsia"/>
          <w:color w:val="000000"/>
          <w:szCs w:val="21"/>
        </w:rPr>
        <w:t>日后方可使用伪麻黄碱。</w:t>
      </w:r>
      <w:r w:rsidRPr="005C7C25">
        <w:rPr>
          <w:rFonts w:ascii="宋体" w:cs="Arial"/>
          <w:color w:val="000000"/>
          <w:szCs w:val="21"/>
        </w:rPr>
        <w:br/>
      </w:r>
      <w:r w:rsidRPr="005C7C25">
        <w:rPr>
          <w:rFonts w:ascii="宋体" w:hAnsi="宋体" w:cs="Arial"/>
          <w:color w:val="000000"/>
          <w:szCs w:val="21"/>
        </w:rPr>
        <w:t xml:space="preserve">    2.</w:t>
      </w:r>
      <w:r w:rsidRPr="005C7C25">
        <w:rPr>
          <w:rFonts w:ascii="宋体" w:hAnsi="宋体"/>
          <w:szCs w:val="21"/>
        </w:rPr>
        <w:t xml:space="preserve"> </w:t>
      </w:r>
      <w:r w:rsidRPr="005C7C25">
        <w:rPr>
          <w:rFonts w:ascii="宋体" w:hAnsi="宋体" w:hint="eastAsia"/>
          <w:szCs w:val="21"/>
        </w:rPr>
        <w:t>抗酸剂</w:t>
      </w:r>
      <w:r w:rsidRPr="00334A9C">
        <w:rPr>
          <w:rFonts w:ascii="宋体" w:hAnsi="宋体" w:hint="eastAsia"/>
          <w:szCs w:val="21"/>
        </w:rPr>
        <w:t>（如奥美拉唑等）</w:t>
      </w:r>
      <w:r w:rsidRPr="005C7C25">
        <w:rPr>
          <w:rFonts w:ascii="宋体" w:hAnsi="宋体" w:hint="eastAsia"/>
          <w:szCs w:val="21"/>
        </w:rPr>
        <w:t>可增加伪麻黄碱的吸收率。</w:t>
      </w:r>
      <w:r w:rsidRPr="005C7C25">
        <w:rPr>
          <w:rFonts w:ascii="宋体" w:hAnsi="宋体" w:cs="Arial" w:hint="eastAsia"/>
          <w:color w:val="000000"/>
          <w:szCs w:val="21"/>
        </w:rPr>
        <w:t>伪麻黄碱与碳酸氢钠合用可导致伪麻黄碱毒性</w:t>
      </w:r>
      <w:r w:rsidRPr="005C7C25">
        <w:rPr>
          <w:rFonts w:ascii="宋体" w:hAnsi="宋体" w:cs="Arial"/>
          <w:color w:val="000000"/>
          <w:szCs w:val="21"/>
        </w:rPr>
        <w:t>(</w:t>
      </w:r>
      <w:r w:rsidRPr="005C7C25">
        <w:rPr>
          <w:rFonts w:ascii="宋体" w:hAnsi="宋体" w:cs="Arial" w:hint="eastAsia"/>
          <w:color w:val="000000"/>
          <w:szCs w:val="21"/>
        </w:rPr>
        <w:t>激动、高血压、心悸</w:t>
      </w:r>
      <w:r w:rsidRPr="005C7C25">
        <w:rPr>
          <w:rFonts w:ascii="宋体" w:hAnsi="宋体" w:cs="Arial"/>
          <w:color w:val="000000"/>
          <w:szCs w:val="21"/>
        </w:rPr>
        <w:t>)</w:t>
      </w:r>
      <w:r w:rsidRPr="005C7C25">
        <w:rPr>
          <w:rFonts w:ascii="宋体" w:hAnsi="宋体" w:cs="Arial" w:hint="eastAsia"/>
          <w:color w:val="000000"/>
          <w:szCs w:val="21"/>
        </w:rPr>
        <w:t>，合用时需监测可能发生的不良反应，必要时减量，常需碱化尿液的患者可能需要减少两者的剂量。</w:t>
      </w:r>
      <w:r w:rsidRPr="005C7C25">
        <w:rPr>
          <w:rFonts w:ascii="宋体" w:cs="Arial"/>
          <w:color w:val="000000"/>
          <w:szCs w:val="21"/>
        </w:rPr>
        <w:br/>
      </w:r>
      <w:r w:rsidRPr="005C7C25">
        <w:rPr>
          <w:rFonts w:ascii="宋体" w:hAnsi="宋体" w:cs="Arial"/>
          <w:color w:val="000000"/>
          <w:szCs w:val="21"/>
        </w:rPr>
        <w:t xml:space="preserve">    3.</w:t>
      </w:r>
      <w:r w:rsidRPr="005C7C25">
        <w:rPr>
          <w:rFonts w:ascii="宋体" w:hAnsi="宋体" w:cs="Arial" w:hint="eastAsia"/>
          <w:color w:val="000000"/>
          <w:szCs w:val="21"/>
        </w:rPr>
        <w:t>伪麻黄碱与双氢麦角胺合用可导致血压急剧升高，故禁止两者合用。</w:t>
      </w:r>
      <w:r w:rsidRPr="005C7C25">
        <w:rPr>
          <w:rFonts w:ascii="宋体" w:cs="Arial"/>
          <w:color w:val="000000"/>
          <w:szCs w:val="21"/>
        </w:rPr>
        <w:br/>
      </w:r>
      <w:r w:rsidRPr="005C7C25">
        <w:rPr>
          <w:rFonts w:ascii="宋体" w:hAnsi="宋体" w:cs="Arial"/>
          <w:color w:val="000000"/>
          <w:szCs w:val="21"/>
        </w:rPr>
        <w:t xml:space="preserve">    4.</w:t>
      </w:r>
      <w:r w:rsidRPr="005C7C25">
        <w:rPr>
          <w:rFonts w:ascii="宋体" w:hAnsi="宋体" w:cs="Arial" w:hint="eastAsia"/>
          <w:color w:val="000000"/>
          <w:szCs w:val="21"/>
        </w:rPr>
        <w:t>伪麻黄碱与吗啉噁酮合用可出现血压升高，因后者可抑制前者的代谢，合用时需谨慎。</w:t>
      </w:r>
      <w:r w:rsidRPr="005C7C25">
        <w:rPr>
          <w:rFonts w:ascii="宋体" w:cs="Arial"/>
          <w:color w:val="000000"/>
          <w:szCs w:val="21"/>
        </w:rPr>
        <w:br/>
      </w:r>
      <w:r w:rsidRPr="005C7C25">
        <w:rPr>
          <w:rFonts w:ascii="宋体" w:hAnsi="宋体" w:cs="Arial"/>
          <w:color w:val="000000"/>
          <w:szCs w:val="21"/>
        </w:rPr>
        <w:t xml:space="preserve">    5.</w:t>
      </w:r>
      <w:r w:rsidRPr="005C7C25">
        <w:rPr>
          <w:rFonts w:ascii="宋体" w:hAnsi="宋体" w:cs="Arial" w:hint="eastAsia"/>
          <w:color w:val="000000"/>
          <w:szCs w:val="21"/>
        </w:rPr>
        <w:t>拟交感神经药与枳壳合用可出现高血压危象</w:t>
      </w:r>
      <w:r w:rsidRPr="005C7C25">
        <w:rPr>
          <w:rFonts w:ascii="宋体" w:hAnsi="宋体" w:cs="Arial"/>
          <w:color w:val="000000"/>
          <w:szCs w:val="21"/>
        </w:rPr>
        <w:t>(</w:t>
      </w:r>
      <w:r w:rsidRPr="005C7C25">
        <w:rPr>
          <w:rFonts w:ascii="宋体" w:hAnsi="宋体" w:cs="Arial" w:hint="eastAsia"/>
          <w:color w:val="000000"/>
          <w:szCs w:val="21"/>
        </w:rPr>
        <w:t>头痛、高热、高血压</w:t>
      </w:r>
      <w:r w:rsidRPr="005C7C25">
        <w:rPr>
          <w:rFonts w:ascii="宋体" w:hAnsi="宋体" w:cs="Arial"/>
          <w:color w:val="000000"/>
          <w:szCs w:val="21"/>
        </w:rPr>
        <w:t>)</w:t>
      </w:r>
      <w:r w:rsidRPr="005C7C25">
        <w:rPr>
          <w:rFonts w:ascii="宋体" w:hAnsi="宋体" w:cs="Arial" w:hint="eastAsia"/>
          <w:color w:val="000000"/>
          <w:szCs w:val="21"/>
        </w:rPr>
        <w:t>，机制为相加的拟交感神经作用，故应避免拟交感神经药与枳壳合用。</w:t>
      </w:r>
      <w:r w:rsidRPr="005C7C25">
        <w:rPr>
          <w:rFonts w:ascii="宋体" w:cs="Arial"/>
          <w:color w:val="000000"/>
          <w:szCs w:val="21"/>
        </w:rPr>
        <w:br/>
      </w:r>
      <w:r w:rsidRPr="005C7C25">
        <w:rPr>
          <w:rFonts w:ascii="宋体" w:hAnsi="宋体" w:cs="Arial"/>
          <w:color w:val="000000"/>
          <w:szCs w:val="21"/>
        </w:rPr>
        <w:t xml:space="preserve">    6.</w:t>
      </w:r>
      <w:r w:rsidRPr="005C7C25">
        <w:rPr>
          <w:rFonts w:ascii="宋体" w:hAnsi="宋体" w:cs="Arial" w:hint="eastAsia"/>
          <w:color w:val="000000"/>
          <w:szCs w:val="21"/>
        </w:rPr>
        <w:t>伪麻黄碱可增强甲氧胺福林的升压作用，合用时应谨慎，并监测血压。</w:t>
      </w:r>
      <w:r w:rsidRPr="005C7C25">
        <w:rPr>
          <w:rFonts w:ascii="宋体" w:cs="Arial"/>
          <w:color w:val="000000"/>
          <w:szCs w:val="21"/>
        </w:rPr>
        <w:br/>
      </w:r>
      <w:r w:rsidRPr="005C7C25">
        <w:rPr>
          <w:rFonts w:ascii="宋体" w:hAnsi="宋体" w:cs="Arial"/>
          <w:color w:val="000000"/>
          <w:szCs w:val="21"/>
        </w:rPr>
        <w:t xml:space="preserve">    7.</w:t>
      </w:r>
      <w:r w:rsidRPr="005C7C25">
        <w:rPr>
          <w:rFonts w:ascii="宋体" w:hAnsi="宋体" w:cs="Arial" w:hint="eastAsia"/>
          <w:color w:val="000000"/>
          <w:szCs w:val="21"/>
        </w:rPr>
        <w:t>伪麻黄碱与甲基多巴合用可导致血压升高和心律失常，合用时应监测血压，若出现高血压，停用伪麻黄碱。</w:t>
      </w:r>
      <w:r w:rsidRPr="005C7C25">
        <w:rPr>
          <w:rFonts w:ascii="宋体" w:cs="Arial"/>
          <w:color w:val="000000"/>
          <w:szCs w:val="21"/>
        </w:rPr>
        <w:br/>
      </w:r>
      <w:r w:rsidRPr="005C7C25">
        <w:rPr>
          <w:rFonts w:ascii="宋体" w:hAnsi="宋体" w:cs="Arial"/>
          <w:color w:val="000000"/>
          <w:szCs w:val="21"/>
        </w:rPr>
        <w:t xml:space="preserve">    8.</w:t>
      </w:r>
      <w:r w:rsidRPr="005C7C25">
        <w:rPr>
          <w:rFonts w:ascii="宋体" w:hAnsi="宋体" w:cs="Arial" w:hint="eastAsia"/>
          <w:color w:val="000000"/>
          <w:szCs w:val="21"/>
        </w:rPr>
        <w:t>伪麻黄碱与胍乙啶合用可导致血压升高和心律失常，因前者可拮抗后者的中枢作用。合用时应监测血压和心律，若发生不良反应，停用伪麻黄碱。</w:t>
      </w:r>
      <w:r w:rsidRPr="005C7C25">
        <w:rPr>
          <w:rFonts w:ascii="宋体" w:cs="Arial"/>
          <w:color w:val="000000"/>
          <w:szCs w:val="21"/>
        </w:rPr>
        <w:br/>
      </w:r>
      <w:r w:rsidRPr="005C7C25">
        <w:rPr>
          <w:rFonts w:ascii="宋体" w:hAnsi="宋体" w:cs="Arial"/>
          <w:color w:val="000000"/>
          <w:szCs w:val="21"/>
        </w:rPr>
        <w:t xml:space="preserve">    9.</w:t>
      </w:r>
      <w:r w:rsidRPr="005C7C25">
        <w:rPr>
          <w:rFonts w:ascii="宋体" w:hAnsi="宋体" w:cs="Arial" w:hint="eastAsia"/>
          <w:color w:val="000000"/>
          <w:szCs w:val="21"/>
        </w:rPr>
        <w:t>伪麻黄碱与碘苄胍</w:t>
      </w:r>
      <w:r w:rsidRPr="005C7C25">
        <w:rPr>
          <w:rFonts w:ascii="宋体" w:hAnsi="宋体" w:cs="Arial"/>
          <w:color w:val="000000"/>
          <w:szCs w:val="21"/>
        </w:rPr>
        <w:t>I-131</w:t>
      </w:r>
      <w:r w:rsidRPr="005C7C25">
        <w:rPr>
          <w:rFonts w:ascii="宋体" w:hAnsi="宋体" w:cs="Arial" w:hint="eastAsia"/>
          <w:color w:val="000000"/>
          <w:szCs w:val="21"/>
        </w:rPr>
        <w:t>合用可导致扫描仪测定时出现假阴性结果，因前者可减少后者的吸收。使用碘苄胍</w:t>
      </w:r>
      <w:r w:rsidRPr="005C7C25">
        <w:rPr>
          <w:rFonts w:ascii="宋体" w:hAnsi="宋体" w:cs="Arial"/>
          <w:color w:val="000000"/>
          <w:szCs w:val="21"/>
        </w:rPr>
        <w:t>I-131</w:t>
      </w:r>
      <w:r w:rsidRPr="005C7C25">
        <w:rPr>
          <w:rFonts w:ascii="宋体" w:hAnsi="宋体" w:cs="Arial" w:hint="eastAsia"/>
          <w:color w:val="000000"/>
          <w:szCs w:val="21"/>
        </w:rPr>
        <w:t>前应停用伪麻黄碱。</w:t>
      </w:r>
    </w:p>
    <w:p w:rsidR="006A527E" w:rsidRPr="005C7C25" w:rsidRDefault="006A527E" w:rsidP="00D508AD">
      <w:pPr>
        <w:ind w:firstLineChars="200" w:firstLine="31680"/>
        <w:rPr>
          <w:rFonts w:ascii="宋体"/>
          <w:szCs w:val="21"/>
        </w:rPr>
      </w:pPr>
      <w:r w:rsidRPr="005C7C25">
        <w:rPr>
          <w:rFonts w:ascii="宋体" w:hAnsi="宋体"/>
          <w:szCs w:val="21"/>
        </w:rPr>
        <w:t>10.</w:t>
      </w:r>
      <w:r w:rsidRPr="005C7C25">
        <w:rPr>
          <w:rFonts w:ascii="宋体" w:hAnsi="宋体" w:hint="eastAsia"/>
          <w:szCs w:val="21"/>
        </w:rPr>
        <w:t>拟交感神经药可降低美加明、利血平和藜芦生物碱的抗高血压作用。</w:t>
      </w:r>
    </w:p>
    <w:p w:rsidR="006A527E" w:rsidRPr="005C7C25" w:rsidRDefault="006A527E" w:rsidP="00D508AD">
      <w:pPr>
        <w:ind w:firstLineChars="200" w:firstLine="31680"/>
        <w:rPr>
          <w:rFonts w:ascii="宋体"/>
          <w:szCs w:val="21"/>
        </w:rPr>
      </w:pPr>
      <w:r w:rsidRPr="005C7C25">
        <w:rPr>
          <w:rFonts w:ascii="宋体" w:hAnsi="宋体"/>
          <w:szCs w:val="21"/>
        </w:rPr>
        <w:t>11.</w:t>
      </w:r>
      <w:r w:rsidRPr="005C7C25">
        <w:rPr>
          <w:rFonts w:ascii="宋体" w:hAnsi="宋体" w:hint="eastAsia"/>
          <w:szCs w:val="21"/>
        </w:rPr>
        <w:t>β</w:t>
      </w:r>
      <w:r w:rsidRPr="005C7C25">
        <w:rPr>
          <w:rFonts w:ascii="宋体"/>
          <w:szCs w:val="21"/>
        </w:rPr>
        <w:t>-</w:t>
      </w:r>
      <w:r w:rsidRPr="005C7C25">
        <w:rPr>
          <w:rFonts w:ascii="宋体" w:hAnsi="宋体" w:hint="eastAsia"/>
          <w:szCs w:val="21"/>
        </w:rPr>
        <w:t>肾上腺素类的阻断剂</w:t>
      </w:r>
      <w:r w:rsidRPr="00334A9C">
        <w:rPr>
          <w:rFonts w:ascii="宋体" w:hAnsi="宋体" w:hint="eastAsia"/>
          <w:szCs w:val="21"/>
        </w:rPr>
        <w:t>（如普萘洛尔、美托洛尔、拉贝洛尔等）</w:t>
      </w:r>
      <w:r w:rsidRPr="005C7C25">
        <w:rPr>
          <w:rFonts w:ascii="宋体" w:hAnsi="宋体" w:hint="eastAsia"/>
          <w:szCs w:val="21"/>
        </w:rPr>
        <w:t>可能与拟交感神经药有相互作用。</w:t>
      </w:r>
    </w:p>
    <w:p w:rsidR="006A527E" w:rsidRPr="005C7C25" w:rsidRDefault="006A527E" w:rsidP="00D508AD">
      <w:pPr>
        <w:ind w:firstLineChars="200" w:firstLine="31680"/>
        <w:rPr>
          <w:rFonts w:ascii="宋体"/>
          <w:szCs w:val="21"/>
        </w:rPr>
      </w:pPr>
      <w:r w:rsidRPr="005C7C25">
        <w:rPr>
          <w:rFonts w:ascii="宋体" w:hAnsi="宋体"/>
          <w:szCs w:val="21"/>
        </w:rPr>
        <w:t>12.</w:t>
      </w:r>
      <w:r w:rsidRPr="005C7C25">
        <w:rPr>
          <w:rFonts w:ascii="宋体" w:hAnsi="宋体" w:hint="eastAsia"/>
          <w:szCs w:val="21"/>
        </w:rPr>
        <w:t>伪麻黄碱和洋地黄同时应用时可能增加异位起搏点的活性。</w:t>
      </w:r>
    </w:p>
    <w:p w:rsidR="006A527E" w:rsidRPr="005C7C25" w:rsidRDefault="006A527E" w:rsidP="00D508AD">
      <w:pPr>
        <w:ind w:firstLineChars="250" w:firstLine="31680"/>
        <w:rPr>
          <w:rFonts w:ascii="宋体"/>
          <w:szCs w:val="21"/>
        </w:rPr>
      </w:pPr>
      <w:r w:rsidRPr="005C7C25">
        <w:rPr>
          <w:rFonts w:ascii="宋体" w:hAnsi="宋体"/>
          <w:szCs w:val="21"/>
        </w:rPr>
        <w:t>13.</w:t>
      </w:r>
      <w:r w:rsidRPr="005C7C25">
        <w:rPr>
          <w:rFonts w:ascii="宋体" w:hAnsi="宋体" w:hint="eastAsia"/>
          <w:szCs w:val="21"/>
        </w:rPr>
        <w:t>本品不宜与酚妥拉明并用。</w:t>
      </w:r>
    </w:p>
    <w:p w:rsidR="006A527E" w:rsidRPr="005C7C25" w:rsidRDefault="006A527E" w:rsidP="00D508AD">
      <w:pPr>
        <w:ind w:firstLineChars="250" w:firstLine="31680"/>
        <w:rPr>
          <w:rFonts w:ascii="宋体" w:cs="Arial"/>
          <w:color w:val="000000"/>
          <w:szCs w:val="21"/>
        </w:rPr>
      </w:pPr>
      <w:r w:rsidRPr="005C7C25">
        <w:rPr>
          <w:rFonts w:ascii="宋体" w:hAnsi="宋体" w:cs="Arial"/>
          <w:color w:val="000000"/>
          <w:szCs w:val="21"/>
        </w:rPr>
        <w:t>14.</w:t>
      </w:r>
      <w:r w:rsidRPr="005C7C25">
        <w:rPr>
          <w:rFonts w:ascii="宋体" w:hAnsi="宋体" w:cs="Arial" w:hint="eastAsia"/>
          <w:color w:val="000000"/>
          <w:szCs w:val="21"/>
        </w:rPr>
        <w:t>同时服用中枢神经系统抑制药</w:t>
      </w:r>
      <w:r w:rsidRPr="005C7C25">
        <w:rPr>
          <w:rFonts w:ascii="宋体" w:hAnsi="宋体" w:cs="Arial"/>
          <w:color w:val="000000"/>
          <w:szCs w:val="21"/>
        </w:rPr>
        <w:t>(</w:t>
      </w:r>
      <w:r w:rsidRPr="005C7C25">
        <w:rPr>
          <w:rFonts w:ascii="宋体" w:hAnsi="宋体" w:cs="Arial" w:hint="eastAsia"/>
          <w:color w:val="000000"/>
          <w:szCs w:val="21"/>
        </w:rPr>
        <w:t>镇静药、催眠药、安定药</w:t>
      </w:r>
      <w:r w:rsidRPr="005C7C25">
        <w:rPr>
          <w:rFonts w:ascii="宋体" w:hAnsi="宋体" w:cs="Arial"/>
          <w:color w:val="000000"/>
          <w:szCs w:val="21"/>
        </w:rPr>
        <w:t>)</w:t>
      </w:r>
      <w:r w:rsidRPr="005C7C25">
        <w:rPr>
          <w:rFonts w:ascii="宋体" w:hAnsi="宋体" w:cs="Arial" w:hint="eastAsia"/>
          <w:color w:val="000000"/>
          <w:szCs w:val="21"/>
        </w:rPr>
        <w:t>，可加强</w:t>
      </w:r>
      <w:r w:rsidRPr="005C7C25">
        <w:rPr>
          <w:rFonts w:ascii="宋体" w:hAnsi="宋体" w:hint="eastAsia"/>
          <w:szCs w:val="21"/>
        </w:rPr>
        <w:t>马来酸氯苯那敏</w:t>
      </w:r>
      <w:r w:rsidRPr="005C7C25">
        <w:rPr>
          <w:rFonts w:ascii="宋体" w:hAnsi="宋体" w:cs="Arial" w:hint="eastAsia"/>
          <w:color w:val="000000"/>
          <w:szCs w:val="21"/>
        </w:rPr>
        <w:t>的抗组胺和中枢抑制作用。</w:t>
      </w:r>
      <w:r w:rsidRPr="005C7C25">
        <w:rPr>
          <w:rFonts w:ascii="宋体" w:cs="Arial"/>
          <w:color w:val="000000"/>
          <w:szCs w:val="21"/>
        </w:rPr>
        <w:br/>
      </w:r>
      <w:r w:rsidRPr="005C7C25">
        <w:rPr>
          <w:rFonts w:ascii="宋体" w:hAnsi="宋体" w:cs="Arial"/>
          <w:color w:val="000000"/>
          <w:szCs w:val="21"/>
        </w:rPr>
        <w:t xml:space="preserve">    15.</w:t>
      </w:r>
      <w:r w:rsidRPr="005C7C25">
        <w:rPr>
          <w:rFonts w:ascii="宋体" w:hAnsi="宋体" w:cs="Arial" w:hint="eastAsia"/>
          <w:color w:val="000000"/>
          <w:szCs w:val="21"/>
        </w:rPr>
        <w:t>与奎尼丁合用，可增强</w:t>
      </w:r>
      <w:r w:rsidRPr="005C7C25">
        <w:rPr>
          <w:rFonts w:ascii="宋体" w:hAnsi="宋体" w:hint="eastAsia"/>
          <w:szCs w:val="21"/>
        </w:rPr>
        <w:t>马来酸氯苯那敏</w:t>
      </w:r>
      <w:r w:rsidRPr="005C7C25">
        <w:rPr>
          <w:rFonts w:ascii="宋体" w:hAnsi="宋体" w:cs="Arial" w:hint="eastAsia"/>
          <w:color w:val="000000"/>
          <w:szCs w:val="21"/>
        </w:rPr>
        <w:t>抗胆碱作用。</w:t>
      </w:r>
      <w:r w:rsidRPr="005C7C25">
        <w:rPr>
          <w:rFonts w:ascii="宋体" w:cs="Arial"/>
          <w:color w:val="000000"/>
          <w:szCs w:val="21"/>
        </w:rPr>
        <w:br/>
      </w:r>
      <w:r w:rsidRPr="005C7C25">
        <w:rPr>
          <w:rFonts w:ascii="宋体" w:hAnsi="宋体" w:cs="Arial"/>
          <w:color w:val="000000"/>
          <w:szCs w:val="21"/>
        </w:rPr>
        <w:t xml:space="preserve">    16.</w:t>
      </w:r>
      <w:r w:rsidRPr="005C7C25">
        <w:rPr>
          <w:rFonts w:ascii="宋体" w:hAnsi="宋体"/>
          <w:szCs w:val="21"/>
        </w:rPr>
        <w:t xml:space="preserve"> </w:t>
      </w:r>
      <w:r w:rsidRPr="005C7C25">
        <w:rPr>
          <w:rFonts w:ascii="宋体" w:hAnsi="宋体" w:hint="eastAsia"/>
          <w:szCs w:val="21"/>
        </w:rPr>
        <w:t>马来酸氯苯那敏</w:t>
      </w:r>
      <w:r w:rsidRPr="005C7C25">
        <w:rPr>
          <w:rFonts w:ascii="宋体" w:hAnsi="宋体" w:cs="Arial" w:hint="eastAsia"/>
          <w:color w:val="000000"/>
          <w:szCs w:val="21"/>
        </w:rPr>
        <w:t>可增强金刚烷胺、氟哌啶醇、抗胆碱药、抗抑郁药</w:t>
      </w:r>
      <w:r w:rsidRPr="005C7C25">
        <w:rPr>
          <w:rFonts w:ascii="宋体" w:hAnsi="宋体" w:cs="Arial"/>
          <w:color w:val="000000"/>
          <w:szCs w:val="21"/>
        </w:rPr>
        <w:t>(</w:t>
      </w:r>
      <w:r w:rsidRPr="005C7C25">
        <w:rPr>
          <w:rFonts w:ascii="宋体" w:hAnsi="宋体" w:cs="Arial" w:hint="eastAsia"/>
          <w:color w:val="000000"/>
          <w:szCs w:val="21"/>
        </w:rPr>
        <w:t>如三环类抗抑郁药</w:t>
      </w:r>
      <w:r w:rsidRPr="005C7C25">
        <w:rPr>
          <w:rFonts w:ascii="宋体" w:hAnsi="宋体" w:cs="Arial"/>
          <w:color w:val="000000"/>
          <w:szCs w:val="21"/>
        </w:rPr>
        <w:t>)</w:t>
      </w:r>
      <w:r w:rsidRPr="005C7C25">
        <w:rPr>
          <w:rFonts w:ascii="宋体" w:hAnsi="宋体" w:cs="Arial" w:hint="eastAsia"/>
          <w:color w:val="000000"/>
          <w:szCs w:val="21"/>
        </w:rPr>
        <w:t>、吩噻嗪类以及拟交感神经药等的药效。</w:t>
      </w:r>
      <w:r w:rsidRPr="005C7C25">
        <w:rPr>
          <w:rFonts w:ascii="宋体" w:cs="Arial"/>
          <w:color w:val="000000"/>
          <w:szCs w:val="21"/>
        </w:rPr>
        <w:br/>
      </w:r>
      <w:r w:rsidRPr="005C7C25">
        <w:rPr>
          <w:rFonts w:ascii="宋体" w:hAnsi="宋体" w:cs="Arial"/>
          <w:color w:val="000000"/>
          <w:szCs w:val="21"/>
        </w:rPr>
        <w:t xml:space="preserve">    17.</w:t>
      </w:r>
      <w:r w:rsidRPr="005C7C25">
        <w:rPr>
          <w:rFonts w:ascii="宋体" w:hAnsi="宋体"/>
          <w:szCs w:val="21"/>
        </w:rPr>
        <w:t xml:space="preserve"> </w:t>
      </w:r>
      <w:r w:rsidRPr="005C7C25">
        <w:rPr>
          <w:rFonts w:ascii="宋体" w:hAnsi="宋体" w:hint="eastAsia"/>
          <w:szCs w:val="21"/>
        </w:rPr>
        <w:t>马来酸氯苯那敏</w:t>
      </w:r>
      <w:r w:rsidRPr="005C7C25">
        <w:rPr>
          <w:rFonts w:ascii="宋体" w:hAnsi="宋体" w:cs="Arial" w:hint="eastAsia"/>
          <w:color w:val="000000"/>
          <w:szCs w:val="21"/>
        </w:rPr>
        <w:t>能抑制肝微粒体酶，引起苯妥英蓄积中毒，因此两者合用时，应测定苯妥英的血药浓度。如果出现毒性反应，需减少苯妥英的剂量或停用本药。</w:t>
      </w:r>
      <w:r w:rsidRPr="005C7C25">
        <w:rPr>
          <w:rFonts w:ascii="宋体" w:cs="Arial"/>
          <w:color w:val="000000"/>
          <w:szCs w:val="21"/>
        </w:rPr>
        <w:br/>
      </w:r>
      <w:r w:rsidRPr="005C7C25">
        <w:rPr>
          <w:rFonts w:ascii="宋体" w:hAnsi="宋体" w:cs="Arial"/>
          <w:color w:val="000000"/>
          <w:szCs w:val="21"/>
        </w:rPr>
        <w:t xml:space="preserve">    18.</w:t>
      </w:r>
      <w:r w:rsidRPr="005C7C25">
        <w:rPr>
          <w:rFonts w:ascii="宋体" w:hAnsi="宋体"/>
          <w:szCs w:val="21"/>
        </w:rPr>
        <w:t xml:space="preserve"> </w:t>
      </w:r>
      <w:r w:rsidRPr="005C7C25">
        <w:rPr>
          <w:rFonts w:ascii="宋体" w:hAnsi="宋体" w:hint="eastAsia"/>
          <w:szCs w:val="21"/>
        </w:rPr>
        <w:t>马来酸氯苯那敏</w:t>
      </w:r>
      <w:r w:rsidRPr="005C7C25">
        <w:rPr>
          <w:rFonts w:ascii="宋体" w:hAnsi="宋体" w:cs="Arial" w:hint="eastAsia"/>
          <w:color w:val="000000"/>
          <w:szCs w:val="21"/>
        </w:rPr>
        <w:t>与普萘洛尔合用，产生相互拮抗作用。</w:t>
      </w:r>
      <w:r w:rsidRPr="005C7C25">
        <w:rPr>
          <w:rFonts w:ascii="宋体" w:cs="Arial"/>
          <w:color w:val="000000"/>
          <w:szCs w:val="21"/>
        </w:rPr>
        <w:br/>
      </w:r>
      <w:r w:rsidRPr="005C7C25">
        <w:rPr>
          <w:rFonts w:ascii="宋体" w:hAnsi="宋体" w:cs="Arial"/>
          <w:color w:val="000000"/>
          <w:szCs w:val="21"/>
        </w:rPr>
        <w:t xml:space="preserve">    19</w:t>
      </w:r>
      <w:r>
        <w:rPr>
          <w:rFonts w:ascii="宋体" w:hAnsi="宋体" w:cs="Arial"/>
          <w:color w:val="000000"/>
          <w:szCs w:val="21"/>
        </w:rPr>
        <w:t>.</w:t>
      </w:r>
      <w:r w:rsidRPr="005C7C25">
        <w:rPr>
          <w:rFonts w:ascii="宋体" w:hAnsi="宋体" w:cs="Arial" w:hint="eastAsia"/>
          <w:color w:val="000000"/>
          <w:szCs w:val="21"/>
        </w:rPr>
        <w:t>乙醇可增强</w:t>
      </w:r>
      <w:r w:rsidRPr="005C7C25">
        <w:rPr>
          <w:rFonts w:ascii="宋体" w:hAnsi="宋体" w:hint="eastAsia"/>
          <w:szCs w:val="21"/>
        </w:rPr>
        <w:t>马来酸氯苯那敏</w:t>
      </w:r>
      <w:r w:rsidRPr="005C7C25">
        <w:rPr>
          <w:rFonts w:ascii="宋体" w:hAnsi="宋体" w:cs="Arial" w:hint="eastAsia"/>
          <w:color w:val="000000"/>
          <w:szCs w:val="21"/>
        </w:rPr>
        <w:t>抗组胺和中枢抑制作用，故用药期间不得饮酒。</w:t>
      </w:r>
    </w:p>
    <w:p w:rsidR="006A527E" w:rsidRPr="005C7C25" w:rsidRDefault="006A527E" w:rsidP="00D508AD">
      <w:pPr>
        <w:ind w:firstLineChars="250" w:firstLine="31680"/>
        <w:rPr>
          <w:rFonts w:ascii="宋体"/>
          <w:szCs w:val="21"/>
        </w:rPr>
      </w:pPr>
    </w:p>
    <w:p w:rsidR="006A527E" w:rsidRPr="005C7C25" w:rsidRDefault="006A527E" w:rsidP="00D508AD">
      <w:pPr>
        <w:ind w:firstLineChars="200" w:firstLine="31680"/>
        <w:rPr>
          <w:rFonts w:ascii="宋体" w:hAnsi="宋体"/>
          <w:szCs w:val="21"/>
        </w:rPr>
      </w:pPr>
      <w:r w:rsidRPr="005C7C25">
        <w:rPr>
          <w:rFonts w:ascii="宋体" w:hAnsi="宋体" w:hint="eastAsia"/>
          <w:szCs w:val="21"/>
        </w:rPr>
        <w:t>【药物过量】</w:t>
      </w:r>
      <w:r w:rsidRPr="005C7C25">
        <w:rPr>
          <w:rFonts w:ascii="宋体" w:hAnsi="宋体"/>
          <w:szCs w:val="21"/>
        </w:rPr>
        <w:t xml:space="preserve"> </w:t>
      </w:r>
    </w:p>
    <w:p w:rsidR="006A527E" w:rsidRPr="005C7C25" w:rsidRDefault="006A527E" w:rsidP="00D508AD">
      <w:pPr>
        <w:ind w:firstLineChars="200" w:firstLine="31680"/>
        <w:rPr>
          <w:rFonts w:ascii="宋体"/>
          <w:szCs w:val="21"/>
        </w:rPr>
      </w:pPr>
      <w:r w:rsidRPr="005C7C25">
        <w:rPr>
          <w:rFonts w:ascii="宋体" w:hAnsi="宋体" w:cs="Arial" w:hint="eastAsia"/>
          <w:color w:val="000000"/>
          <w:szCs w:val="21"/>
        </w:rPr>
        <w:t>伪麻黄碱</w:t>
      </w:r>
      <w:r w:rsidRPr="005C7C25">
        <w:rPr>
          <w:rFonts w:ascii="宋体" w:hAnsi="宋体" w:hint="eastAsia"/>
          <w:szCs w:val="21"/>
        </w:rPr>
        <w:t>大剂量用药后，可能出现下述拟交感症状：视物模糊、烦躁、失眠、头痛、恶心、呕吐、多汗、口渴、心动过速、心前区疼痛、心悸、尿频尿急、肌无力、肌紧张、焦虑、烦躁、失眠</w:t>
      </w:r>
      <w:r>
        <w:rPr>
          <w:rFonts w:ascii="宋体" w:hAnsi="宋体" w:hint="eastAsia"/>
          <w:szCs w:val="21"/>
        </w:rPr>
        <w:t>，许多病人还可能出现精神毒性症状如错觉和幻觉，有些还可能出现心律</w:t>
      </w:r>
      <w:r w:rsidRPr="005C7C25">
        <w:rPr>
          <w:rFonts w:ascii="宋体" w:hAnsi="宋体" w:hint="eastAsia"/>
          <w:szCs w:val="21"/>
        </w:rPr>
        <w:t>失常、循环衰竭、抽搐、昏迷和呼吸衰竭。</w:t>
      </w:r>
    </w:p>
    <w:p w:rsidR="006A527E" w:rsidRPr="005C7C25" w:rsidRDefault="006A527E" w:rsidP="00D508AD">
      <w:pPr>
        <w:ind w:firstLineChars="200" w:firstLine="31680"/>
        <w:rPr>
          <w:rFonts w:ascii="宋体"/>
          <w:szCs w:val="21"/>
        </w:rPr>
      </w:pPr>
      <w:r w:rsidRPr="005C7C25">
        <w:rPr>
          <w:rFonts w:ascii="宋体" w:hAnsi="宋体" w:hint="eastAsia"/>
          <w:szCs w:val="21"/>
        </w:rPr>
        <w:t>马来酸氯苯那敏</w:t>
      </w:r>
      <w:r w:rsidRPr="005C7C25">
        <w:rPr>
          <w:rFonts w:ascii="宋体" w:hAnsi="宋体" w:cs="Arial" w:hint="eastAsia"/>
          <w:color w:val="000000"/>
          <w:szCs w:val="21"/>
        </w:rPr>
        <w:t>用药过量的表现有：排尿困难或疼痛，头晕，口腔、鼻、喉部干燥，头痛，食欲减退，恶心，上腹部不适或胃痛，皮疹。儿童中毒时，多呈中枢兴奋症状，可出现烦躁、焦虑、入睡困难和神经过敏；成人中毒时，一般先出现中枢抑制症状，继而出现中枢兴奋症状</w:t>
      </w:r>
      <w:r w:rsidRPr="005C7C25">
        <w:rPr>
          <w:rFonts w:ascii="宋体" w:hAnsi="宋体" w:cs="Arial"/>
          <w:color w:val="000000"/>
          <w:szCs w:val="21"/>
        </w:rPr>
        <w:t>(</w:t>
      </w:r>
      <w:r w:rsidRPr="005C7C25">
        <w:rPr>
          <w:rFonts w:ascii="宋体" w:hAnsi="宋体" w:cs="Arial" w:hint="eastAsia"/>
          <w:color w:val="000000"/>
          <w:szCs w:val="21"/>
        </w:rPr>
        <w:t>甚至抽搐、惊厥等</w:t>
      </w:r>
      <w:r w:rsidRPr="005C7C25">
        <w:rPr>
          <w:rFonts w:ascii="宋体" w:hAnsi="宋体" w:cs="Arial"/>
          <w:color w:val="000000"/>
          <w:szCs w:val="21"/>
        </w:rPr>
        <w:t>)</w:t>
      </w:r>
      <w:r w:rsidRPr="005C7C25">
        <w:rPr>
          <w:rFonts w:ascii="宋体" w:hAnsi="宋体" w:cs="Arial" w:hint="eastAsia"/>
          <w:color w:val="000000"/>
          <w:szCs w:val="21"/>
        </w:rPr>
        <w:t>，然后又进入抑制状态，并危及呼吸及循环功能。</w:t>
      </w:r>
      <w:r w:rsidRPr="005C7C25">
        <w:rPr>
          <w:rFonts w:ascii="宋体" w:cs="Arial"/>
          <w:color w:val="000000"/>
          <w:szCs w:val="21"/>
        </w:rPr>
        <w:br/>
      </w:r>
      <w:r w:rsidRPr="005C7C25">
        <w:rPr>
          <w:rFonts w:ascii="宋体" w:hAnsi="宋体" w:cs="Arial"/>
          <w:color w:val="000000"/>
          <w:szCs w:val="21"/>
        </w:rPr>
        <w:t xml:space="preserve">    </w:t>
      </w:r>
      <w:r w:rsidRPr="005C7C25">
        <w:rPr>
          <w:rFonts w:ascii="宋体" w:hAnsi="宋体" w:cs="Arial" w:hint="eastAsia"/>
          <w:color w:val="000000"/>
          <w:szCs w:val="21"/>
        </w:rPr>
        <w:t>一旦出现过量中毒反应时，应及时催吐、洗胃、导泻以加速药物排出。若出现呼吸循环衰竭，应给予机械辅助呼吸等支持治疗，忌用中枢兴奋药；若出现惊厥，可使用硫喷妥钠予以控制；若出现血压过低，必要时可用去甲肾上腺素静脉滴注以维持血压，但不宜用肾上腺素。另外，抢救中切忌注射组胺作为解毒药。</w:t>
      </w:r>
    </w:p>
    <w:p w:rsidR="006A527E" w:rsidRPr="005C7C25" w:rsidRDefault="006A527E" w:rsidP="00D508AD">
      <w:pPr>
        <w:ind w:firstLineChars="200" w:firstLine="31680"/>
        <w:rPr>
          <w:rFonts w:ascii="宋体"/>
          <w:szCs w:val="21"/>
        </w:rPr>
      </w:pPr>
      <w:r w:rsidRPr="005C7C25">
        <w:rPr>
          <w:rFonts w:ascii="宋体" w:hAnsi="宋体" w:hint="eastAsia"/>
          <w:szCs w:val="21"/>
        </w:rPr>
        <w:t>【药理毒理】盐酸伪麻黄碱为拟肾上腺素药，可收缩鼻粘膜血管，减轻鼻塞、流涕症状。马来酸氯苯那敏通过拮抗</w:t>
      </w:r>
      <w:r w:rsidRPr="005C7C25">
        <w:rPr>
          <w:rFonts w:ascii="宋体" w:hAnsi="宋体"/>
          <w:szCs w:val="21"/>
        </w:rPr>
        <w:t>H1</w:t>
      </w:r>
      <w:r w:rsidRPr="005C7C25">
        <w:rPr>
          <w:rFonts w:ascii="宋体" w:hAnsi="宋体" w:hint="eastAsia"/>
          <w:szCs w:val="21"/>
        </w:rPr>
        <w:t>受体而对抗组胺的过敏效应；本品不影响组胺的代谢，也不阻止体内组胺的释放。马来酸氯苯那敏有抗</w:t>
      </w:r>
      <w:r w:rsidRPr="005C7C25">
        <w:rPr>
          <w:rFonts w:ascii="宋体" w:hAnsi="宋体"/>
          <w:szCs w:val="21"/>
        </w:rPr>
        <w:t>M</w:t>
      </w:r>
      <w:r w:rsidRPr="005C7C25">
        <w:rPr>
          <w:rFonts w:ascii="宋体" w:hAnsi="宋体" w:hint="eastAsia"/>
          <w:szCs w:val="21"/>
        </w:rPr>
        <w:t>胆碱受体作用，并具有中枢抑制作用。</w:t>
      </w:r>
    </w:p>
    <w:p w:rsidR="006A527E" w:rsidRPr="005C7C25" w:rsidRDefault="006A527E" w:rsidP="00D508AD">
      <w:pPr>
        <w:ind w:firstLineChars="200" w:firstLine="31680"/>
        <w:rPr>
          <w:rFonts w:ascii="宋体"/>
          <w:szCs w:val="21"/>
        </w:rPr>
      </w:pPr>
      <w:r w:rsidRPr="005C7C25">
        <w:rPr>
          <w:rFonts w:ascii="宋体" w:hAnsi="宋体" w:hint="eastAsia"/>
          <w:szCs w:val="21"/>
        </w:rPr>
        <w:t>【药代动力学】食物对伪麻黄碱的药代动力学没有明显的影响，单剂服用本品后约有</w:t>
      </w:r>
      <w:r w:rsidRPr="005C7C25">
        <w:rPr>
          <w:rFonts w:ascii="宋体" w:hAnsi="宋体"/>
          <w:szCs w:val="21"/>
        </w:rPr>
        <w:t>0.4%</w:t>
      </w:r>
      <w:r w:rsidRPr="005C7C25">
        <w:rPr>
          <w:rFonts w:ascii="宋体" w:hAnsi="宋体" w:hint="eastAsia"/>
          <w:szCs w:val="21"/>
        </w:rPr>
        <w:t>～</w:t>
      </w:r>
      <w:r w:rsidRPr="005C7C25">
        <w:rPr>
          <w:rFonts w:ascii="宋体" w:hAnsi="宋体"/>
          <w:szCs w:val="21"/>
        </w:rPr>
        <w:t>0.7%</w:t>
      </w:r>
      <w:r w:rsidRPr="005C7C25">
        <w:rPr>
          <w:rFonts w:ascii="宋体" w:hAnsi="宋体" w:hint="eastAsia"/>
          <w:szCs w:val="21"/>
        </w:rPr>
        <w:t>伪麻黄碱经由乳汁分泌，乳汁中的伪麻黄碱浓度约为血浆浓度的</w:t>
      </w:r>
      <w:r w:rsidRPr="005C7C25">
        <w:rPr>
          <w:rFonts w:ascii="宋体" w:hAnsi="宋体"/>
          <w:szCs w:val="21"/>
        </w:rPr>
        <w:t>2</w:t>
      </w:r>
      <w:r w:rsidRPr="005C7C25">
        <w:rPr>
          <w:rFonts w:ascii="宋体" w:hAnsi="宋体" w:hint="eastAsia"/>
          <w:szCs w:val="21"/>
        </w:rPr>
        <w:t>～</w:t>
      </w:r>
      <w:r w:rsidRPr="005C7C25">
        <w:rPr>
          <w:rFonts w:ascii="宋体" w:hAnsi="宋体"/>
          <w:szCs w:val="21"/>
        </w:rPr>
        <w:t>3</w:t>
      </w:r>
      <w:r w:rsidRPr="005C7C25">
        <w:rPr>
          <w:rFonts w:ascii="宋体" w:hAnsi="宋体" w:hint="eastAsia"/>
          <w:szCs w:val="21"/>
        </w:rPr>
        <w:t>倍。马来酸氯苯那敏</w:t>
      </w:r>
      <w:r w:rsidRPr="005C7C25">
        <w:rPr>
          <w:rFonts w:ascii="宋体" w:hAnsi="宋体" w:cs="Arial" w:hint="eastAsia"/>
          <w:color w:val="000000"/>
          <w:szCs w:val="21"/>
        </w:rPr>
        <w:t>口服后吸收快而完全，但口服后首过效应强，本药血浆蛋白结合率</w:t>
      </w:r>
      <w:r w:rsidRPr="005C7C25">
        <w:rPr>
          <w:rFonts w:ascii="宋体" w:hAnsi="宋体" w:cs="Arial"/>
          <w:color w:val="000000"/>
          <w:szCs w:val="21"/>
        </w:rPr>
        <w:t>72%</w:t>
      </w:r>
      <w:r w:rsidRPr="005C7C25">
        <w:rPr>
          <w:rFonts w:ascii="宋体" w:hAnsi="宋体" w:cs="Arial" w:hint="eastAsia"/>
          <w:color w:val="000000"/>
          <w:szCs w:val="21"/>
        </w:rPr>
        <w:t>，药物可透过胎盘，也可分泌入乳汁，主要经肝脏代谢，中间代谢产物无药理活性，</w:t>
      </w:r>
      <w:r w:rsidRPr="005C7C25">
        <w:rPr>
          <w:rFonts w:ascii="宋体" w:hAnsi="宋体" w:cs="Arial"/>
          <w:color w:val="000000"/>
          <w:szCs w:val="21"/>
        </w:rPr>
        <w:t>24</w:t>
      </w:r>
      <w:r w:rsidRPr="005C7C25">
        <w:rPr>
          <w:rFonts w:ascii="宋体" w:hAnsi="宋体" w:cs="Arial" w:hint="eastAsia"/>
          <w:color w:val="000000"/>
          <w:szCs w:val="21"/>
        </w:rPr>
        <w:t>小时内随尿液、粪便及汗液排泄。</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【贮藏】</w:t>
      </w:r>
      <w:r w:rsidRPr="005C7C25">
        <w:rPr>
          <w:rFonts w:ascii="宋体" w:hAnsi="宋体"/>
          <w:szCs w:val="21"/>
        </w:rPr>
        <w:t xml:space="preserve"> </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【包装】</w:t>
      </w:r>
      <w:r w:rsidRPr="005C7C25">
        <w:rPr>
          <w:rFonts w:ascii="宋体" w:hAnsi="宋体"/>
          <w:szCs w:val="21"/>
        </w:rPr>
        <w:t xml:space="preserve"> </w:t>
      </w:r>
    </w:p>
    <w:p w:rsidR="006A527E" w:rsidRPr="005C7C25" w:rsidRDefault="006A527E" w:rsidP="00D508AD">
      <w:pPr>
        <w:ind w:firstLineChars="200" w:firstLine="31680"/>
        <w:rPr>
          <w:rFonts w:ascii="宋体"/>
          <w:szCs w:val="21"/>
        </w:rPr>
      </w:pPr>
      <w:r w:rsidRPr="005C7C25">
        <w:rPr>
          <w:rFonts w:ascii="宋体" w:hAnsi="宋体" w:hint="eastAsia"/>
          <w:szCs w:val="21"/>
        </w:rPr>
        <w:t>【有效期】</w:t>
      </w:r>
    </w:p>
    <w:p w:rsidR="006A527E" w:rsidRPr="005C7C25" w:rsidRDefault="006A527E" w:rsidP="00D508AD">
      <w:pPr>
        <w:ind w:firstLineChars="200" w:firstLine="31680"/>
        <w:rPr>
          <w:rFonts w:ascii="宋体"/>
          <w:szCs w:val="21"/>
        </w:rPr>
      </w:pPr>
      <w:r w:rsidRPr="005C7C25">
        <w:rPr>
          <w:rFonts w:ascii="宋体" w:hAnsi="宋体" w:hint="eastAsia"/>
          <w:szCs w:val="21"/>
        </w:rPr>
        <w:t>【执行标准】</w:t>
      </w:r>
    </w:p>
    <w:p w:rsidR="006A527E" w:rsidRPr="005C7C25" w:rsidRDefault="006A527E" w:rsidP="00D508AD">
      <w:pPr>
        <w:ind w:firstLineChars="200" w:firstLine="31680"/>
        <w:rPr>
          <w:rFonts w:ascii="宋体"/>
          <w:szCs w:val="21"/>
        </w:rPr>
      </w:pPr>
      <w:r w:rsidRPr="005C7C25">
        <w:rPr>
          <w:rFonts w:ascii="宋体" w:hAnsi="宋体" w:hint="eastAsia"/>
          <w:szCs w:val="21"/>
        </w:rPr>
        <w:t>【批准文号】</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【生产企业】</w:t>
      </w:r>
      <w:r w:rsidRPr="005C7C25">
        <w:rPr>
          <w:rFonts w:ascii="宋体" w:hAnsi="宋体"/>
          <w:szCs w:val="21"/>
        </w:rPr>
        <w:t xml:space="preserve"> </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企业名称：</w:t>
      </w:r>
      <w:r w:rsidRPr="005C7C25">
        <w:rPr>
          <w:rFonts w:ascii="宋体" w:hAnsi="宋体"/>
          <w:szCs w:val="21"/>
        </w:rPr>
        <w:t xml:space="preserve"> </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生产地址：</w:t>
      </w:r>
      <w:r w:rsidRPr="005C7C25">
        <w:rPr>
          <w:rFonts w:ascii="宋体" w:hAnsi="宋体"/>
          <w:szCs w:val="21"/>
        </w:rPr>
        <w:t xml:space="preserve"> </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电话：</w:t>
      </w:r>
      <w:r w:rsidRPr="005C7C25">
        <w:rPr>
          <w:rFonts w:ascii="宋体" w:hAnsi="宋体"/>
          <w:szCs w:val="21"/>
        </w:rPr>
        <w:t xml:space="preserve"> </w:t>
      </w:r>
    </w:p>
    <w:p w:rsidR="006A527E" w:rsidRPr="005C7C25" w:rsidRDefault="006A527E" w:rsidP="00D508AD">
      <w:pPr>
        <w:ind w:firstLineChars="200" w:firstLine="31680"/>
        <w:rPr>
          <w:rFonts w:ascii="宋体"/>
          <w:szCs w:val="21"/>
        </w:rPr>
      </w:pPr>
      <w:r w:rsidRPr="005C7C25">
        <w:rPr>
          <w:rFonts w:ascii="宋体" w:hAnsi="宋体" w:hint="eastAsia"/>
          <w:szCs w:val="21"/>
        </w:rPr>
        <w:t>传真：</w:t>
      </w:r>
    </w:p>
    <w:p w:rsidR="006A527E" w:rsidRPr="005C7C25" w:rsidRDefault="006A527E" w:rsidP="00D508AD">
      <w:pPr>
        <w:ind w:firstLineChars="200" w:firstLine="31680"/>
        <w:rPr>
          <w:rFonts w:ascii="宋体"/>
          <w:szCs w:val="21"/>
        </w:rPr>
      </w:pPr>
      <w:r w:rsidRPr="005C7C25">
        <w:rPr>
          <w:rFonts w:ascii="宋体" w:hAnsi="宋体" w:hint="eastAsia"/>
          <w:szCs w:val="21"/>
        </w:rPr>
        <w:t>邮编：</w:t>
      </w:r>
    </w:p>
    <w:p w:rsidR="006A527E" w:rsidRPr="005C7C25" w:rsidRDefault="006A527E" w:rsidP="00D508AD">
      <w:pPr>
        <w:ind w:firstLineChars="200" w:firstLine="31680"/>
        <w:rPr>
          <w:rFonts w:ascii="宋体" w:hAnsi="宋体"/>
          <w:szCs w:val="21"/>
        </w:rPr>
      </w:pPr>
      <w:r w:rsidRPr="005C7C25">
        <w:rPr>
          <w:rFonts w:ascii="宋体" w:hAnsi="宋体" w:hint="eastAsia"/>
          <w:szCs w:val="21"/>
        </w:rPr>
        <w:t>网址：</w:t>
      </w:r>
      <w:r w:rsidRPr="005C7C25">
        <w:rPr>
          <w:rFonts w:ascii="宋体" w:hAnsi="宋体"/>
          <w:szCs w:val="21"/>
        </w:rPr>
        <w:t xml:space="preserve"> </w:t>
      </w:r>
    </w:p>
    <w:p w:rsidR="006A527E" w:rsidRPr="005C7C25" w:rsidRDefault="006A527E" w:rsidP="005C7C25">
      <w:pPr>
        <w:rPr>
          <w:rFonts w:ascii="宋体"/>
          <w:szCs w:val="21"/>
        </w:rPr>
      </w:pPr>
    </w:p>
    <w:sectPr w:rsidR="006A527E" w:rsidRPr="005C7C25" w:rsidSect="000F5A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27E" w:rsidRDefault="006A527E" w:rsidP="00A744B2">
      <w:r>
        <w:separator/>
      </w:r>
    </w:p>
  </w:endnote>
  <w:endnote w:type="continuationSeparator" w:id="0">
    <w:p w:rsidR="006A527E" w:rsidRDefault="006A527E" w:rsidP="00A744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27E" w:rsidRDefault="006A527E" w:rsidP="00A744B2">
      <w:r>
        <w:separator/>
      </w:r>
    </w:p>
  </w:footnote>
  <w:footnote w:type="continuationSeparator" w:id="0">
    <w:p w:rsidR="006A527E" w:rsidRDefault="006A527E" w:rsidP="00A744B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474A"/>
    <w:rsid w:val="0001261F"/>
    <w:rsid w:val="000238ED"/>
    <w:rsid w:val="0008352D"/>
    <w:rsid w:val="000C4486"/>
    <w:rsid w:val="000F5A93"/>
    <w:rsid w:val="0010017E"/>
    <w:rsid w:val="001B2D7A"/>
    <w:rsid w:val="001E5D60"/>
    <w:rsid w:val="002E18A3"/>
    <w:rsid w:val="002F0EFF"/>
    <w:rsid w:val="0033193A"/>
    <w:rsid w:val="00334A9C"/>
    <w:rsid w:val="00383DB9"/>
    <w:rsid w:val="0039295F"/>
    <w:rsid w:val="0043287A"/>
    <w:rsid w:val="00455EFD"/>
    <w:rsid w:val="00463AA0"/>
    <w:rsid w:val="0050111C"/>
    <w:rsid w:val="00530529"/>
    <w:rsid w:val="00537636"/>
    <w:rsid w:val="00577077"/>
    <w:rsid w:val="00586A4F"/>
    <w:rsid w:val="005A0470"/>
    <w:rsid w:val="005C7C25"/>
    <w:rsid w:val="005F73B0"/>
    <w:rsid w:val="006005DC"/>
    <w:rsid w:val="006456FD"/>
    <w:rsid w:val="006614A9"/>
    <w:rsid w:val="00672261"/>
    <w:rsid w:val="006A527E"/>
    <w:rsid w:val="006B01F6"/>
    <w:rsid w:val="006D474A"/>
    <w:rsid w:val="006F3759"/>
    <w:rsid w:val="007602F2"/>
    <w:rsid w:val="007D4FBF"/>
    <w:rsid w:val="00821D9A"/>
    <w:rsid w:val="008C0A02"/>
    <w:rsid w:val="008E5B25"/>
    <w:rsid w:val="008F1EEA"/>
    <w:rsid w:val="0091272C"/>
    <w:rsid w:val="00971AF2"/>
    <w:rsid w:val="009C1AF6"/>
    <w:rsid w:val="00A744B2"/>
    <w:rsid w:val="00AC5E1C"/>
    <w:rsid w:val="00B84B39"/>
    <w:rsid w:val="00BA232B"/>
    <w:rsid w:val="00BB4688"/>
    <w:rsid w:val="00C04C69"/>
    <w:rsid w:val="00C2704E"/>
    <w:rsid w:val="00C816ED"/>
    <w:rsid w:val="00D508AD"/>
    <w:rsid w:val="00DC1232"/>
    <w:rsid w:val="00E70A9D"/>
    <w:rsid w:val="00EE417A"/>
    <w:rsid w:val="00F17411"/>
    <w:rsid w:val="00FC5FB8"/>
    <w:rsid w:val="00FF68C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74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6D474A"/>
    <w:rPr>
      <w:rFonts w:cs="Times New Roman"/>
      <w:color w:val="0000FF"/>
      <w:u w:val="single"/>
    </w:rPr>
  </w:style>
  <w:style w:type="paragraph" w:styleId="Header">
    <w:name w:val="header"/>
    <w:basedOn w:val="Normal"/>
    <w:link w:val="HeaderChar"/>
    <w:uiPriority w:val="99"/>
    <w:semiHidden/>
    <w:rsid w:val="00A744B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sid w:val="00A744B2"/>
    <w:rPr>
      <w:rFonts w:ascii="Times New Roman" w:eastAsia="宋体" w:hAnsi="Times New Roman" w:cs="Times New Roman"/>
      <w:sz w:val="18"/>
      <w:szCs w:val="18"/>
    </w:rPr>
  </w:style>
  <w:style w:type="paragraph" w:styleId="Footer">
    <w:name w:val="footer"/>
    <w:basedOn w:val="Normal"/>
    <w:link w:val="FooterChar"/>
    <w:uiPriority w:val="99"/>
    <w:semiHidden/>
    <w:rsid w:val="00A744B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sid w:val="00A744B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6788490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Pages>
  <Words>542</Words>
  <Characters>3093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dc:title>
  <dc:subject/>
  <dc:creator>赵德恒</dc:creator>
  <cp:keywords/>
  <dc:description/>
  <cp:lastModifiedBy>USER</cp:lastModifiedBy>
  <cp:revision>3</cp:revision>
  <dcterms:created xsi:type="dcterms:W3CDTF">2012-11-28T00:33:00Z</dcterms:created>
  <dcterms:modified xsi:type="dcterms:W3CDTF">2012-11-30T06:26:00Z</dcterms:modified>
</cp:coreProperties>
</file>