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6BFA8" w14:textId="044D15E6" w:rsidR="000968B5" w:rsidRPr="008B6261" w:rsidRDefault="008872BE" w:rsidP="00AB740F">
      <w:pPr>
        <w:snapToGrid w:val="0"/>
        <w:spacing w:line="520" w:lineRule="exact"/>
        <w:jc w:val="center"/>
        <w:rPr>
          <w:rFonts w:ascii="Times New Roman" w:eastAsia="方正小标宋简体" w:hAnsi="Times New Roman"/>
          <w:color w:val="000000"/>
          <w:sz w:val="44"/>
          <w:szCs w:val="44"/>
        </w:rPr>
      </w:pPr>
      <w:r>
        <w:rPr>
          <w:rFonts w:ascii="Times New Roman" w:eastAsia="方正小标宋简体" w:hAnsi="Times New Roman" w:hint="eastAsia"/>
          <w:color w:val="000000"/>
          <w:sz w:val="44"/>
          <w:szCs w:val="44"/>
        </w:rPr>
        <w:t>深度学习</w:t>
      </w:r>
      <w:r w:rsidR="003C66E0" w:rsidRPr="001A27F7">
        <w:rPr>
          <w:rFonts w:ascii="Times New Roman" w:eastAsia="方正小标宋简体" w:hAnsi="Times New Roman" w:hint="eastAsia"/>
          <w:color w:val="000000"/>
          <w:sz w:val="44"/>
          <w:szCs w:val="44"/>
        </w:rPr>
        <w:t>动态心电分析软件</w:t>
      </w:r>
      <w:r w:rsidR="008A11F3" w:rsidRPr="008B6261">
        <w:rPr>
          <w:rFonts w:ascii="Times New Roman" w:eastAsia="方正小标宋简体" w:hAnsi="Times New Roman" w:hint="eastAsia"/>
          <w:color w:val="000000"/>
          <w:sz w:val="44"/>
          <w:szCs w:val="44"/>
        </w:rPr>
        <w:t>技术</w:t>
      </w:r>
      <w:r w:rsidR="000968B5" w:rsidRPr="008B6261">
        <w:rPr>
          <w:rFonts w:ascii="Times New Roman" w:eastAsia="方正小标宋简体" w:hAnsi="Times New Roman"/>
          <w:color w:val="000000"/>
          <w:sz w:val="44"/>
          <w:szCs w:val="44"/>
        </w:rPr>
        <w:t>审评要点</w:t>
      </w:r>
    </w:p>
    <w:p w14:paraId="75637B2D" w14:textId="77777777" w:rsidR="00AB740F" w:rsidRPr="008B6261" w:rsidRDefault="00AB740F" w:rsidP="00AB740F">
      <w:pPr>
        <w:snapToGrid w:val="0"/>
        <w:spacing w:line="520" w:lineRule="exact"/>
        <w:jc w:val="center"/>
        <w:rPr>
          <w:rFonts w:ascii="Times New Roman" w:eastAsia="方正小标宋简体" w:hAnsi="Times New Roman"/>
          <w:color w:val="000000"/>
          <w:sz w:val="44"/>
          <w:szCs w:val="44"/>
        </w:rPr>
      </w:pPr>
      <w:r w:rsidRPr="008B6261">
        <w:rPr>
          <w:rFonts w:ascii="Times New Roman" w:eastAsia="方正小标宋简体" w:hAnsi="Times New Roman"/>
          <w:color w:val="000000"/>
          <w:sz w:val="44"/>
          <w:szCs w:val="44"/>
        </w:rPr>
        <w:t>（征求意见稿）</w:t>
      </w:r>
    </w:p>
    <w:p w14:paraId="047963D0" w14:textId="77777777" w:rsidR="0026120F" w:rsidRPr="008B6261" w:rsidRDefault="0026120F" w:rsidP="00AB740F">
      <w:pPr>
        <w:snapToGrid w:val="0"/>
        <w:spacing w:line="520" w:lineRule="exact"/>
        <w:ind w:firstLineChars="200" w:firstLine="640"/>
        <w:rPr>
          <w:rFonts w:ascii="Times New Roman" w:eastAsia="黑体" w:hAnsi="Times New Roman"/>
          <w:color w:val="000000"/>
          <w:sz w:val="32"/>
          <w:szCs w:val="32"/>
        </w:rPr>
      </w:pPr>
    </w:p>
    <w:p w14:paraId="267E3A41" w14:textId="5F94D86F" w:rsidR="003C66E0" w:rsidRPr="00502096" w:rsidRDefault="003C66E0" w:rsidP="003C66E0">
      <w:pPr>
        <w:adjustRightInd w:val="0"/>
        <w:snapToGrid w:val="0"/>
        <w:spacing w:line="520" w:lineRule="exact"/>
        <w:ind w:firstLineChars="200" w:firstLine="640"/>
        <w:rPr>
          <w:rFonts w:ascii="Times New Roman" w:eastAsia="仿宋_GB2312" w:hAnsi="Times New Roman"/>
          <w:sz w:val="32"/>
          <w:szCs w:val="32"/>
        </w:rPr>
      </w:pPr>
      <w:r w:rsidRPr="00502096">
        <w:rPr>
          <w:rFonts w:ascii="Times New Roman" w:eastAsia="仿宋_GB2312" w:hAnsi="Times New Roman" w:hint="eastAsia"/>
          <w:sz w:val="32"/>
          <w:szCs w:val="32"/>
        </w:rPr>
        <w:t>本审评要点是动态心电分析软件的安全性、有效性和质量控制方面有重要影响的技术要求</w:t>
      </w:r>
      <w:r w:rsidRPr="00502096">
        <w:rPr>
          <w:rFonts w:ascii="Times New Roman" w:eastAsia="仿宋_GB2312" w:hAnsi="Times New Roman" w:hint="eastAsia"/>
          <w:sz w:val="32"/>
          <w:szCs w:val="32"/>
        </w:rPr>
        <w:t>/</w:t>
      </w:r>
      <w:r w:rsidRPr="00502096">
        <w:rPr>
          <w:rFonts w:ascii="Times New Roman" w:eastAsia="仿宋_GB2312" w:hAnsi="Times New Roman" w:hint="eastAsia"/>
          <w:sz w:val="32"/>
          <w:szCs w:val="32"/>
        </w:rPr>
        <w:t>审评共识的文件，通过综合分析动态心电分析软件的风险和受益信息</w:t>
      </w:r>
      <w:r w:rsidRPr="008B6261">
        <w:rPr>
          <w:rFonts w:ascii="Times New Roman" w:eastAsia="仿宋_GB2312" w:hAnsi="Times New Roman"/>
          <w:sz w:val="32"/>
        </w:rPr>
        <w:t>和</w:t>
      </w:r>
      <w:r w:rsidRPr="008B6261">
        <w:rPr>
          <w:rFonts w:ascii="Times New Roman" w:eastAsia="仿宋_GB2312" w:hAnsi="Times New Roman" w:hint="eastAsia"/>
          <w:sz w:val="32"/>
        </w:rPr>
        <w:t>/</w:t>
      </w:r>
      <w:r w:rsidRPr="008B6261">
        <w:rPr>
          <w:rFonts w:ascii="Times New Roman" w:eastAsia="仿宋_GB2312" w:hAnsi="Times New Roman" w:hint="eastAsia"/>
          <w:sz w:val="32"/>
        </w:rPr>
        <w:t>或</w:t>
      </w:r>
      <w:r w:rsidRPr="00502096">
        <w:rPr>
          <w:rFonts w:ascii="Times New Roman" w:eastAsia="仿宋_GB2312" w:hAnsi="Times New Roman" w:hint="eastAsia"/>
          <w:sz w:val="32"/>
          <w:szCs w:val="32"/>
        </w:rPr>
        <w:t>动态心电分析软件</w:t>
      </w:r>
      <w:r w:rsidRPr="008B6261">
        <w:rPr>
          <w:rFonts w:ascii="Times New Roman" w:eastAsia="仿宋_GB2312" w:hAnsi="Times New Roman"/>
          <w:sz w:val="32"/>
        </w:rPr>
        <w:t>领域</w:t>
      </w:r>
      <w:r w:rsidRPr="008B6261">
        <w:rPr>
          <w:rFonts w:ascii="Times New Roman" w:eastAsia="仿宋_GB2312" w:hAnsi="Times New Roman" w:hint="eastAsia"/>
          <w:sz w:val="32"/>
        </w:rPr>
        <w:t>的科学研究</w:t>
      </w:r>
      <w:r w:rsidRPr="00502096">
        <w:rPr>
          <w:rFonts w:ascii="Times New Roman" w:eastAsia="仿宋_GB2312" w:hAnsi="Times New Roman" w:hint="eastAsia"/>
          <w:sz w:val="32"/>
          <w:szCs w:val="32"/>
        </w:rPr>
        <w:t>，提炼汇总为本文件，用于规范技术审评工作，统一技术审评尺度。</w:t>
      </w:r>
    </w:p>
    <w:p w14:paraId="538D966B" w14:textId="77777777" w:rsidR="003C66E0" w:rsidRPr="00502096" w:rsidRDefault="003C66E0" w:rsidP="003C66E0">
      <w:pPr>
        <w:adjustRightInd w:val="0"/>
        <w:snapToGrid w:val="0"/>
        <w:spacing w:line="520" w:lineRule="exact"/>
        <w:ind w:firstLineChars="200" w:firstLine="640"/>
        <w:rPr>
          <w:rFonts w:ascii="Times New Roman" w:eastAsia="仿宋_GB2312" w:hAnsi="Times New Roman"/>
          <w:sz w:val="32"/>
          <w:szCs w:val="32"/>
        </w:rPr>
      </w:pPr>
      <w:r w:rsidRPr="00502096">
        <w:rPr>
          <w:rFonts w:ascii="Times New Roman" w:eastAsia="仿宋_GB2312" w:hAnsi="Times New Roman" w:hint="eastAsia"/>
          <w:sz w:val="32"/>
          <w:szCs w:val="32"/>
        </w:rPr>
        <w:t>本审评要点是对动态心电分析软件预期能达到安全和性能指标的验证</w:t>
      </w:r>
      <w:r w:rsidRPr="00502096">
        <w:rPr>
          <w:rFonts w:ascii="Times New Roman" w:eastAsia="仿宋_GB2312" w:hAnsi="Times New Roman" w:hint="eastAsia"/>
          <w:sz w:val="32"/>
          <w:szCs w:val="32"/>
        </w:rPr>
        <w:t>/</w:t>
      </w:r>
      <w:r w:rsidRPr="00502096">
        <w:rPr>
          <w:rFonts w:ascii="Times New Roman" w:eastAsia="仿宋_GB2312" w:hAnsi="Times New Roman" w:hint="eastAsia"/>
          <w:sz w:val="32"/>
          <w:szCs w:val="32"/>
        </w:rPr>
        <w:t>确认要求，供注册申请人准备注册申报资料的指导性文件，但不包括注册审批所涉及的行政事项，亦不作为法规强制执行，需在遵循法律规章、规范性文件和强制性医疗器械标准的前提下，结合产品的具体特性，使用本审评要点。</w:t>
      </w:r>
    </w:p>
    <w:p w14:paraId="7C80C3A9" w14:textId="79D079A8" w:rsidR="00FC415B" w:rsidRPr="008B6261" w:rsidRDefault="003C66E0" w:rsidP="003C66E0">
      <w:pPr>
        <w:spacing w:line="520" w:lineRule="exact"/>
        <w:ind w:firstLineChars="200" w:firstLine="640"/>
        <w:rPr>
          <w:rFonts w:ascii="Times New Roman" w:eastAsia="仿宋_GB2312" w:hAnsi="Times New Roman"/>
          <w:sz w:val="32"/>
        </w:rPr>
      </w:pPr>
      <w:r w:rsidRPr="00502096">
        <w:rPr>
          <w:rFonts w:ascii="Times New Roman" w:eastAsia="仿宋_GB2312" w:hAnsi="Times New Roman" w:hint="eastAsia"/>
          <w:sz w:val="32"/>
          <w:szCs w:val="32"/>
        </w:rPr>
        <w:t>本审评要点是在当前认知水平下制定的。随着技术审评经验的积累和科学技术的不断发展，本审评要点的相关内容也将适时地调整或及时转化为注册审查指导原则。</w:t>
      </w:r>
    </w:p>
    <w:p w14:paraId="72DF36E2" w14:textId="77777777" w:rsidR="000968B5" w:rsidRPr="008B6261" w:rsidRDefault="000968B5" w:rsidP="00AB740F">
      <w:pPr>
        <w:snapToGrid w:val="0"/>
        <w:spacing w:line="520" w:lineRule="exact"/>
        <w:ind w:firstLineChars="200" w:firstLine="640"/>
        <w:rPr>
          <w:rFonts w:ascii="Times New Roman" w:eastAsia="黑体" w:hAnsi="Times New Roman"/>
          <w:color w:val="000000"/>
          <w:sz w:val="32"/>
          <w:szCs w:val="32"/>
        </w:rPr>
      </w:pPr>
      <w:r w:rsidRPr="008B6261">
        <w:rPr>
          <w:rFonts w:ascii="Times New Roman" w:eastAsia="黑体" w:hAnsi="Times New Roman"/>
          <w:color w:val="000000"/>
          <w:sz w:val="32"/>
          <w:szCs w:val="32"/>
        </w:rPr>
        <w:t>一、适用范围</w:t>
      </w:r>
    </w:p>
    <w:p w14:paraId="78496C1E" w14:textId="29681468" w:rsidR="00FC415B" w:rsidRPr="008B6261" w:rsidRDefault="0026120F" w:rsidP="00AB740F">
      <w:pPr>
        <w:snapToGrid w:val="0"/>
        <w:spacing w:line="520" w:lineRule="exact"/>
        <w:ind w:firstLineChars="200" w:firstLine="640"/>
        <w:rPr>
          <w:rFonts w:ascii="Times New Roman" w:eastAsia="仿宋_GB2312" w:hAnsi="Times New Roman"/>
          <w:color w:val="000000" w:themeColor="text1"/>
          <w:sz w:val="32"/>
          <w:szCs w:val="32"/>
        </w:rPr>
      </w:pPr>
      <w:r w:rsidRPr="008B6261">
        <w:rPr>
          <w:rFonts w:ascii="Times New Roman" w:eastAsia="仿宋_GB2312" w:hAnsi="Times New Roman"/>
          <w:color w:val="000000" w:themeColor="text1"/>
          <w:sz w:val="32"/>
          <w:szCs w:val="32"/>
        </w:rPr>
        <w:t>本审评要点</w:t>
      </w:r>
      <w:r w:rsidR="003C66E0" w:rsidRPr="005C684C">
        <w:rPr>
          <w:rFonts w:ascii="仿宋_GB2312" w:eastAsia="仿宋_GB2312" w:hint="eastAsia"/>
          <w:sz w:val="32"/>
          <w:szCs w:val="32"/>
        </w:rPr>
        <w:t>适用于</w:t>
      </w:r>
      <w:r w:rsidR="00CF26F1">
        <w:rPr>
          <w:rFonts w:ascii="仿宋_GB2312" w:eastAsia="仿宋_GB2312" w:hint="eastAsia"/>
          <w:sz w:val="32"/>
          <w:szCs w:val="32"/>
        </w:rPr>
        <w:t>基于深度学习技术的</w:t>
      </w:r>
      <w:r w:rsidR="003C66E0" w:rsidRPr="001A27F7">
        <w:rPr>
          <w:rFonts w:ascii="仿宋_GB2312" w:eastAsia="仿宋_GB2312" w:hint="eastAsia"/>
          <w:sz w:val="32"/>
          <w:szCs w:val="32"/>
        </w:rPr>
        <w:t>动态心电分析软件</w:t>
      </w:r>
      <w:r w:rsidR="003C66E0" w:rsidRPr="005C684C">
        <w:rPr>
          <w:rFonts w:ascii="仿宋_GB2312" w:eastAsia="仿宋_GB2312" w:hint="eastAsia"/>
          <w:sz w:val="32"/>
          <w:szCs w:val="32"/>
        </w:rPr>
        <w:t>产品注册</w:t>
      </w:r>
      <w:r w:rsidR="003C66E0">
        <w:rPr>
          <w:rFonts w:ascii="仿宋_GB2312" w:eastAsia="仿宋_GB2312" w:hint="eastAsia"/>
          <w:sz w:val="32"/>
          <w:szCs w:val="32"/>
        </w:rPr>
        <w:t>。</w:t>
      </w:r>
      <w:r w:rsidR="003C66E0">
        <w:rPr>
          <w:rFonts w:ascii="Times New Roman" w:eastAsia="仿宋_GB2312" w:hAnsi="Times New Roman" w:hint="eastAsia"/>
          <w:color w:val="000000" w:themeColor="text1"/>
          <w:sz w:val="32"/>
          <w:szCs w:val="32"/>
        </w:rPr>
        <w:t>按照现行有效的</w:t>
      </w:r>
      <w:r w:rsidR="003C66E0" w:rsidRPr="00B731A1">
        <w:rPr>
          <w:rFonts w:ascii="Times New Roman" w:eastAsia="仿宋_GB2312" w:hAnsi="Times New Roman" w:hint="eastAsia"/>
          <w:color w:val="000000" w:themeColor="text1"/>
          <w:sz w:val="32"/>
          <w:szCs w:val="32"/>
        </w:rPr>
        <w:t>《医疗器械分类目录》</w:t>
      </w:r>
      <w:r w:rsidR="003C66E0">
        <w:rPr>
          <w:rFonts w:ascii="Times New Roman" w:eastAsia="仿宋_GB2312" w:hAnsi="Times New Roman" w:hint="eastAsia"/>
          <w:color w:val="000000" w:themeColor="text1"/>
          <w:sz w:val="32"/>
          <w:szCs w:val="32"/>
        </w:rPr>
        <w:t>，该</w:t>
      </w:r>
      <w:r w:rsidR="003C66E0">
        <w:rPr>
          <w:rFonts w:ascii="Times New Roman" w:eastAsia="仿宋_GB2312" w:hAnsi="Times New Roman"/>
          <w:color w:val="000000" w:themeColor="text1"/>
          <w:sz w:val="32"/>
          <w:szCs w:val="32"/>
        </w:rPr>
        <w:t>类</w:t>
      </w:r>
      <w:r w:rsidR="002C3856">
        <w:rPr>
          <w:rFonts w:ascii="Times New Roman" w:eastAsia="仿宋_GB2312" w:hAnsi="Times New Roman" w:hint="eastAsia"/>
          <w:color w:val="000000" w:themeColor="text1"/>
          <w:sz w:val="32"/>
          <w:szCs w:val="32"/>
        </w:rPr>
        <w:t>产品</w:t>
      </w:r>
      <w:r w:rsidR="00DD3E21">
        <w:rPr>
          <w:rFonts w:ascii="Times New Roman" w:eastAsia="仿宋_GB2312" w:hAnsi="Times New Roman" w:hint="eastAsia"/>
          <w:color w:val="000000" w:themeColor="text1"/>
          <w:sz w:val="32"/>
          <w:szCs w:val="32"/>
        </w:rPr>
        <w:t>分类编码为</w:t>
      </w:r>
      <w:r w:rsidR="00DD3E21">
        <w:rPr>
          <w:rFonts w:ascii="Times New Roman" w:eastAsia="仿宋_GB2312" w:hAnsi="Times New Roman" w:hint="eastAsia"/>
          <w:color w:val="000000" w:themeColor="text1"/>
          <w:sz w:val="32"/>
          <w:szCs w:val="32"/>
        </w:rPr>
        <w:t>2</w:t>
      </w:r>
      <w:r w:rsidR="00DD3E21">
        <w:rPr>
          <w:rFonts w:ascii="Times New Roman" w:eastAsia="仿宋_GB2312" w:hAnsi="Times New Roman"/>
          <w:color w:val="000000" w:themeColor="text1"/>
          <w:sz w:val="32"/>
          <w:szCs w:val="32"/>
        </w:rPr>
        <w:t>1-04-02</w:t>
      </w:r>
      <w:r w:rsidR="00DD3E21">
        <w:rPr>
          <w:rFonts w:ascii="Times New Roman" w:eastAsia="仿宋_GB2312" w:hAnsi="Times New Roman" w:hint="eastAsia"/>
          <w:color w:val="000000" w:themeColor="text1"/>
          <w:sz w:val="32"/>
          <w:szCs w:val="32"/>
        </w:rPr>
        <w:t>，管理类别为</w:t>
      </w:r>
      <w:r w:rsidR="0055519B">
        <w:rPr>
          <w:rFonts w:ascii="Times New Roman" w:eastAsia="仿宋_GB2312" w:hAnsi="Times New Roman" w:hint="eastAsia"/>
          <w:color w:val="000000" w:themeColor="text1"/>
          <w:sz w:val="32"/>
          <w:szCs w:val="32"/>
        </w:rPr>
        <w:t>第</w:t>
      </w:r>
      <w:r w:rsidR="00DD3E21">
        <w:rPr>
          <w:rFonts w:ascii="Times New Roman" w:eastAsia="仿宋_GB2312" w:hAnsi="Times New Roman" w:hint="eastAsia"/>
          <w:color w:val="000000" w:themeColor="text1"/>
          <w:sz w:val="32"/>
          <w:szCs w:val="32"/>
        </w:rPr>
        <w:t>三类</w:t>
      </w:r>
      <w:r w:rsidR="003C66E0">
        <w:rPr>
          <w:rFonts w:ascii="Times New Roman" w:eastAsia="仿宋_GB2312" w:hAnsi="Times New Roman" w:hint="eastAsia"/>
          <w:bCs/>
          <w:color w:val="000000" w:themeColor="text1"/>
          <w:sz w:val="32"/>
          <w:szCs w:val="32"/>
        </w:rPr>
        <w:t>。</w:t>
      </w:r>
      <w:r w:rsidR="00280D31">
        <w:rPr>
          <w:rFonts w:ascii="Times New Roman" w:eastAsia="仿宋_GB2312" w:hAnsi="Times New Roman" w:hint="eastAsia"/>
          <w:bCs/>
          <w:color w:val="000000" w:themeColor="text1"/>
          <w:sz w:val="32"/>
          <w:szCs w:val="32"/>
        </w:rPr>
        <w:t>本审评要点不适用于</w:t>
      </w:r>
      <w:r w:rsidR="00CF26F1">
        <w:rPr>
          <w:rFonts w:ascii="Times New Roman" w:eastAsia="仿宋_GB2312" w:hAnsi="Times New Roman" w:hint="eastAsia"/>
          <w:bCs/>
          <w:color w:val="000000" w:themeColor="text1"/>
          <w:sz w:val="32"/>
          <w:szCs w:val="32"/>
        </w:rPr>
        <w:t>使用传统算法进行分析处理的动态心电分析软件</w:t>
      </w:r>
      <w:r w:rsidR="00280D31">
        <w:rPr>
          <w:rFonts w:ascii="Times New Roman" w:eastAsia="仿宋_GB2312" w:hAnsi="Times New Roman" w:hint="eastAsia"/>
          <w:bCs/>
          <w:color w:val="000000" w:themeColor="text1"/>
          <w:sz w:val="32"/>
          <w:szCs w:val="32"/>
        </w:rPr>
        <w:t>，</w:t>
      </w:r>
      <w:r w:rsidR="00280D31">
        <w:rPr>
          <w:rFonts w:ascii="Times New Roman" w:eastAsia="仿宋_GB2312" w:hAnsi="Times New Roman" w:hint="eastAsia"/>
          <w:color w:val="000000" w:themeColor="text1"/>
          <w:sz w:val="32"/>
          <w:szCs w:val="32"/>
        </w:rPr>
        <w:t>此类产品</w:t>
      </w:r>
      <w:r w:rsidR="00280D31">
        <w:rPr>
          <w:rFonts w:ascii="Times New Roman" w:eastAsia="仿宋_GB2312" w:hAnsi="Times New Roman" w:hint="eastAsia"/>
          <w:bCs/>
          <w:color w:val="000000" w:themeColor="text1"/>
          <w:sz w:val="32"/>
          <w:szCs w:val="32"/>
        </w:rPr>
        <w:t>分类编码为</w:t>
      </w:r>
      <w:r w:rsidR="00DD3E21">
        <w:rPr>
          <w:rFonts w:ascii="Times New Roman" w:eastAsia="仿宋_GB2312" w:hAnsi="Times New Roman" w:hint="eastAsia"/>
          <w:bCs/>
          <w:color w:val="000000" w:themeColor="text1"/>
          <w:sz w:val="32"/>
          <w:szCs w:val="32"/>
        </w:rPr>
        <w:t>2</w:t>
      </w:r>
      <w:r w:rsidR="00DD3E21">
        <w:rPr>
          <w:rFonts w:ascii="Times New Roman" w:eastAsia="仿宋_GB2312" w:hAnsi="Times New Roman"/>
          <w:bCs/>
          <w:color w:val="000000" w:themeColor="text1"/>
          <w:sz w:val="32"/>
          <w:szCs w:val="32"/>
        </w:rPr>
        <w:t>1-03-02</w:t>
      </w:r>
      <w:r w:rsidR="00DD3E21">
        <w:rPr>
          <w:rFonts w:ascii="Times New Roman" w:eastAsia="仿宋_GB2312" w:hAnsi="Times New Roman" w:hint="eastAsia"/>
          <w:bCs/>
          <w:color w:val="000000" w:themeColor="text1"/>
          <w:sz w:val="32"/>
          <w:szCs w:val="32"/>
        </w:rPr>
        <w:t>，</w:t>
      </w:r>
      <w:r w:rsidR="00280D31">
        <w:rPr>
          <w:rFonts w:ascii="Times New Roman" w:eastAsia="仿宋_GB2312" w:hAnsi="Times New Roman" w:hint="eastAsia"/>
          <w:bCs/>
          <w:color w:val="000000" w:themeColor="text1"/>
          <w:sz w:val="32"/>
          <w:szCs w:val="32"/>
        </w:rPr>
        <w:t>管理类别为</w:t>
      </w:r>
      <w:r w:rsidR="0055519B">
        <w:rPr>
          <w:rFonts w:ascii="Times New Roman" w:eastAsia="仿宋_GB2312" w:hAnsi="Times New Roman" w:hint="eastAsia"/>
          <w:bCs/>
          <w:color w:val="000000" w:themeColor="text1"/>
          <w:sz w:val="32"/>
          <w:szCs w:val="32"/>
        </w:rPr>
        <w:t>第</w:t>
      </w:r>
      <w:r w:rsidR="00280D31">
        <w:rPr>
          <w:rFonts w:ascii="Times New Roman" w:eastAsia="仿宋_GB2312" w:hAnsi="Times New Roman" w:hint="eastAsia"/>
          <w:bCs/>
          <w:color w:val="000000" w:themeColor="text1"/>
          <w:sz w:val="32"/>
          <w:szCs w:val="32"/>
        </w:rPr>
        <w:t>二类</w:t>
      </w:r>
      <w:r w:rsidR="00CF26F1">
        <w:rPr>
          <w:rFonts w:ascii="Times New Roman" w:eastAsia="仿宋_GB2312" w:hAnsi="Times New Roman" w:hint="eastAsia"/>
          <w:color w:val="000000" w:themeColor="text1"/>
          <w:sz w:val="32"/>
          <w:szCs w:val="32"/>
        </w:rPr>
        <w:t>。</w:t>
      </w:r>
    </w:p>
    <w:p w14:paraId="411843AE" w14:textId="450FC302" w:rsidR="00FC415B" w:rsidRPr="008B6261" w:rsidRDefault="00FC415B"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该类</w:t>
      </w:r>
      <w:r w:rsidR="00FA4940" w:rsidRPr="001A27F7">
        <w:rPr>
          <w:rFonts w:ascii="Times New Roman" w:eastAsia="仿宋_GB2312" w:hAnsi="Times New Roman" w:hint="eastAsia"/>
          <w:color w:val="000000"/>
          <w:sz w:val="32"/>
          <w:szCs w:val="32"/>
        </w:rPr>
        <w:t>产品</w:t>
      </w:r>
      <w:r w:rsidR="00FA4940">
        <w:rPr>
          <w:rFonts w:ascii="Times New Roman" w:eastAsia="仿宋_GB2312" w:hAnsi="Times New Roman" w:hint="eastAsia"/>
          <w:color w:val="000000"/>
          <w:sz w:val="32"/>
          <w:szCs w:val="32"/>
        </w:rPr>
        <w:t>为独立软件，采用深度学习技术对动态心电数据进行分析和分类，实现</w:t>
      </w:r>
      <w:r w:rsidR="00FA4940" w:rsidRPr="001A27F7">
        <w:rPr>
          <w:rFonts w:ascii="Times New Roman" w:eastAsia="仿宋_GB2312" w:hAnsi="Times New Roman" w:hint="eastAsia"/>
          <w:color w:val="000000"/>
          <w:sz w:val="32"/>
          <w:szCs w:val="32"/>
        </w:rPr>
        <w:t>心搏检测和分类、</w:t>
      </w:r>
      <w:r w:rsidR="00FA4940">
        <w:rPr>
          <w:rFonts w:ascii="Times New Roman" w:eastAsia="仿宋_GB2312" w:hAnsi="Times New Roman" w:hint="eastAsia"/>
          <w:color w:val="000000"/>
          <w:sz w:val="32"/>
          <w:szCs w:val="32"/>
        </w:rPr>
        <w:t>心律</w:t>
      </w:r>
      <w:r w:rsidR="00FA4940" w:rsidRPr="001A27F7">
        <w:rPr>
          <w:rFonts w:ascii="Times New Roman" w:eastAsia="仿宋_GB2312" w:hAnsi="Times New Roman" w:hint="eastAsia"/>
          <w:color w:val="000000"/>
          <w:sz w:val="32"/>
          <w:szCs w:val="32"/>
        </w:rPr>
        <w:t>失常的自动分析、</w:t>
      </w:r>
      <w:r w:rsidR="00FA4940" w:rsidRPr="001A27F7">
        <w:rPr>
          <w:rFonts w:ascii="Times New Roman" w:eastAsia="仿宋_GB2312" w:hAnsi="Times New Roman"/>
          <w:color w:val="000000"/>
          <w:sz w:val="32"/>
          <w:szCs w:val="32"/>
        </w:rPr>
        <w:t>ST</w:t>
      </w:r>
      <w:r w:rsidR="00FA4940" w:rsidRPr="001A27F7">
        <w:rPr>
          <w:rFonts w:ascii="Times New Roman" w:eastAsia="仿宋_GB2312" w:hAnsi="Times New Roman"/>
          <w:color w:val="000000"/>
          <w:sz w:val="32"/>
          <w:szCs w:val="32"/>
        </w:rPr>
        <w:t>段测量、起搏信号检测等，实现对动态心电图的辅</w:t>
      </w:r>
      <w:r w:rsidR="00FA4940" w:rsidRPr="001A27F7">
        <w:rPr>
          <w:rFonts w:ascii="Times New Roman" w:eastAsia="仿宋_GB2312" w:hAnsi="Times New Roman"/>
          <w:color w:val="000000"/>
          <w:sz w:val="32"/>
          <w:szCs w:val="32"/>
        </w:rPr>
        <w:lastRenderedPageBreak/>
        <w:t>助诊断功能。</w:t>
      </w:r>
    </w:p>
    <w:p w14:paraId="304CF9CC" w14:textId="3EE91E05" w:rsidR="000968B5" w:rsidRPr="008B6261" w:rsidRDefault="00390CB7" w:rsidP="00AB740F">
      <w:pPr>
        <w:snapToGrid w:val="0"/>
        <w:spacing w:line="520" w:lineRule="exact"/>
        <w:ind w:firstLineChars="200" w:firstLine="640"/>
        <w:rPr>
          <w:rFonts w:ascii="Times New Roman" w:eastAsia="黑体" w:hAnsi="Times New Roman"/>
          <w:color w:val="000000"/>
          <w:sz w:val="32"/>
          <w:szCs w:val="32"/>
        </w:rPr>
      </w:pPr>
      <w:r w:rsidRPr="008B6261">
        <w:rPr>
          <w:rFonts w:ascii="Times New Roman" w:eastAsia="黑体" w:hAnsi="Times New Roman" w:hint="eastAsia"/>
          <w:color w:val="000000"/>
          <w:sz w:val="32"/>
          <w:szCs w:val="32"/>
        </w:rPr>
        <w:t>二</w:t>
      </w:r>
      <w:r w:rsidR="000968B5" w:rsidRPr="008B6261">
        <w:rPr>
          <w:rFonts w:ascii="Times New Roman" w:eastAsia="黑体" w:hAnsi="Times New Roman"/>
          <w:color w:val="000000"/>
          <w:sz w:val="32"/>
          <w:szCs w:val="32"/>
        </w:rPr>
        <w:t>、审评主要关注点</w:t>
      </w:r>
    </w:p>
    <w:p w14:paraId="6F7765FA" w14:textId="77777777" w:rsidR="00611BFD" w:rsidRPr="008B6261" w:rsidRDefault="00611BFD" w:rsidP="00AB740F">
      <w:pPr>
        <w:snapToGrid w:val="0"/>
        <w:spacing w:line="520" w:lineRule="exact"/>
        <w:ind w:firstLineChars="200" w:firstLine="640"/>
        <w:rPr>
          <w:rFonts w:ascii="Times New Roman" w:eastAsia="楷体_GB2312" w:hAnsi="Times New Roman"/>
          <w:color w:val="000000"/>
          <w:sz w:val="32"/>
          <w:szCs w:val="32"/>
        </w:rPr>
      </w:pPr>
      <w:bookmarkStart w:id="0" w:name="_GoBack"/>
      <w:bookmarkEnd w:id="0"/>
      <w:r w:rsidRPr="008B6261">
        <w:rPr>
          <w:rFonts w:ascii="Times New Roman" w:eastAsia="楷体_GB2312" w:hAnsi="Times New Roman"/>
          <w:color w:val="000000"/>
          <w:sz w:val="32"/>
          <w:szCs w:val="32"/>
        </w:rPr>
        <w:t>（一）监管信息</w:t>
      </w:r>
    </w:p>
    <w:p w14:paraId="52902433" w14:textId="77777777" w:rsidR="00611BFD" w:rsidRPr="008B6261" w:rsidRDefault="00611BFD"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1.</w:t>
      </w:r>
      <w:r w:rsidRPr="008B6261">
        <w:rPr>
          <w:rFonts w:ascii="Times New Roman" w:eastAsia="仿宋_GB2312" w:hAnsi="Times New Roman"/>
          <w:color w:val="000000"/>
          <w:sz w:val="32"/>
          <w:szCs w:val="32"/>
        </w:rPr>
        <w:t>产品名称</w:t>
      </w:r>
    </w:p>
    <w:p w14:paraId="7EC9A672" w14:textId="3E48032A" w:rsidR="00611BFD" w:rsidRPr="008B6261" w:rsidRDefault="009B1486"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themeColor="text1"/>
          <w:sz w:val="32"/>
          <w:szCs w:val="32"/>
        </w:rPr>
        <w:t>产品名称规范为</w:t>
      </w:r>
      <w:r w:rsidR="00176DCF" w:rsidRPr="001A27F7">
        <w:rPr>
          <w:rFonts w:ascii="仿宋_GB2312" w:eastAsia="仿宋_GB2312" w:hint="eastAsia"/>
          <w:sz w:val="32"/>
          <w:szCs w:val="32"/>
        </w:rPr>
        <w:t>动态心电分析软件</w:t>
      </w:r>
      <w:r w:rsidR="00611BFD" w:rsidRPr="008B6261">
        <w:rPr>
          <w:rFonts w:ascii="Times New Roman" w:eastAsia="仿宋_GB2312" w:hAnsi="Times New Roman"/>
          <w:color w:val="000000"/>
          <w:sz w:val="32"/>
          <w:szCs w:val="32"/>
        </w:rPr>
        <w:t>。</w:t>
      </w:r>
    </w:p>
    <w:p w14:paraId="19034F2A" w14:textId="77777777" w:rsidR="00611BFD" w:rsidRPr="008B6261" w:rsidRDefault="00611BFD"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2.</w:t>
      </w:r>
      <w:r w:rsidR="002C63AB" w:rsidRPr="008B6261">
        <w:rPr>
          <w:rFonts w:ascii="Times New Roman" w:eastAsia="仿宋_GB2312" w:hAnsi="Times New Roman"/>
          <w:color w:val="000000"/>
          <w:sz w:val="32"/>
          <w:szCs w:val="32"/>
        </w:rPr>
        <w:t>适用范围</w:t>
      </w:r>
    </w:p>
    <w:p w14:paraId="63BD75E0" w14:textId="0B6FCB62" w:rsidR="0072081D" w:rsidRDefault="00B32731" w:rsidP="00AB740F">
      <w:pPr>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明确联合使用设备及产品涉及的自动分析功能。</w:t>
      </w:r>
    </w:p>
    <w:p w14:paraId="2F00B987" w14:textId="30D5E85D" w:rsidR="00EF7E9A" w:rsidRPr="008B6261" w:rsidRDefault="00B32731" w:rsidP="00AB740F">
      <w:pPr>
        <w:snapToGrid w:val="0"/>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sz w:val="32"/>
          <w:szCs w:val="32"/>
        </w:rPr>
        <w:t>适用范围举例：</w:t>
      </w:r>
      <w:r w:rsidR="00176DCF" w:rsidRPr="00782AF8">
        <w:rPr>
          <w:rFonts w:ascii="Times New Roman" w:eastAsia="仿宋_GB2312" w:hAnsi="Times New Roman"/>
          <w:sz w:val="32"/>
          <w:szCs w:val="32"/>
        </w:rPr>
        <w:t>该产品与</w:t>
      </w:r>
      <w:r w:rsidR="00176DCF">
        <w:rPr>
          <w:rFonts w:ascii="Times New Roman" w:eastAsia="仿宋_GB2312" w:hAnsi="Times New Roman" w:hint="eastAsia"/>
          <w:sz w:val="32"/>
          <w:szCs w:val="32"/>
        </w:rPr>
        <w:t>X</w:t>
      </w:r>
      <w:r w:rsidR="00176DCF">
        <w:rPr>
          <w:rFonts w:ascii="Times New Roman" w:eastAsia="仿宋_GB2312" w:hAnsi="Times New Roman"/>
          <w:sz w:val="32"/>
          <w:szCs w:val="32"/>
        </w:rPr>
        <w:t>X</w:t>
      </w:r>
      <w:r w:rsidR="00176DCF" w:rsidRPr="00782AF8">
        <w:rPr>
          <w:rFonts w:ascii="Times New Roman" w:eastAsia="仿宋_GB2312" w:hAnsi="Times New Roman"/>
          <w:sz w:val="32"/>
          <w:szCs w:val="32"/>
        </w:rPr>
        <w:t>动态心电图设备或经验证的动态心电图设备联合使用，在医疗机构中辅助执业医师分析成人动态心电图数据。该产品的自动分析功能支持心搏检测和分类、心律失常的自动分析、</w:t>
      </w:r>
      <w:r w:rsidR="00176DCF" w:rsidRPr="00782AF8">
        <w:rPr>
          <w:rFonts w:ascii="Times New Roman" w:eastAsia="仿宋_GB2312" w:hAnsi="Times New Roman"/>
          <w:sz w:val="32"/>
          <w:szCs w:val="32"/>
        </w:rPr>
        <w:t>ST</w:t>
      </w:r>
      <w:r w:rsidR="00176DCF" w:rsidRPr="00782AF8">
        <w:rPr>
          <w:rFonts w:ascii="Times New Roman" w:eastAsia="仿宋_GB2312" w:hAnsi="Times New Roman"/>
          <w:sz w:val="32"/>
          <w:szCs w:val="32"/>
        </w:rPr>
        <w:t>段测量、起搏信号检测，结果仅作为诊断参考。执业医生须综合患者的所有检查结果、临床症状和既往病史，结合心电图专业知识和临床经验，做出最终诊断。</w:t>
      </w:r>
    </w:p>
    <w:p w14:paraId="49DA3D85" w14:textId="77777777" w:rsidR="00593329" w:rsidRPr="008B6261" w:rsidRDefault="00593329" w:rsidP="00AB740F">
      <w:pPr>
        <w:snapToGrid w:val="0"/>
        <w:spacing w:line="520" w:lineRule="exact"/>
        <w:ind w:firstLineChars="200" w:firstLine="640"/>
        <w:rPr>
          <w:rFonts w:ascii="Times New Roman" w:eastAsia="仿宋_GB2312" w:hAnsi="Times New Roman"/>
          <w:color w:val="000000" w:themeColor="text1"/>
          <w:sz w:val="32"/>
          <w:szCs w:val="32"/>
        </w:rPr>
      </w:pPr>
      <w:r w:rsidRPr="008B6261">
        <w:rPr>
          <w:rFonts w:ascii="Times New Roman" w:eastAsia="仿宋_GB2312" w:hAnsi="Times New Roman"/>
          <w:color w:val="000000" w:themeColor="text1"/>
          <w:sz w:val="32"/>
          <w:szCs w:val="32"/>
        </w:rPr>
        <w:t>3.</w:t>
      </w:r>
      <w:r w:rsidRPr="008B6261">
        <w:rPr>
          <w:rFonts w:ascii="Times New Roman" w:eastAsia="仿宋_GB2312" w:hAnsi="Times New Roman"/>
          <w:color w:val="000000" w:themeColor="text1"/>
          <w:sz w:val="32"/>
          <w:szCs w:val="32"/>
        </w:rPr>
        <w:t>结构及</w:t>
      </w:r>
      <w:r w:rsidR="002C63AB" w:rsidRPr="008B6261">
        <w:rPr>
          <w:rFonts w:ascii="Times New Roman" w:eastAsia="仿宋_GB2312" w:hAnsi="Times New Roman"/>
          <w:color w:val="000000" w:themeColor="text1"/>
          <w:sz w:val="32"/>
          <w:szCs w:val="32"/>
        </w:rPr>
        <w:t>组成</w:t>
      </w:r>
    </w:p>
    <w:p w14:paraId="5476EA1C" w14:textId="7911C450" w:rsidR="00593329" w:rsidRPr="008B6261" w:rsidRDefault="00DD38DA" w:rsidP="00AB740F">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themeColor="text1"/>
          <w:sz w:val="32"/>
          <w:szCs w:val="32"/>
        </w:rPr>
        <w:t>明确软件交付内容及功能模块</w:t>
      </w:r>
      <w:r w:rsidR="00593329" w:rsidRPr="008B6261">
        <w:rPr>
          <w:rFonts w:ascii="Times New Roman" w:eastAsia="仿宋_GB2312" w:hAnsi="Times New Roman"/>
          <w:color w:val="000000" w:themeColor="text1"/>
          <w:sz w:val="32"/>
          <w:szCs w:val="32"/>
        </w:rPr>
        <w:t>。结构及组成举例：</w:t>
      </w:r>
      <w:r w:rsidRPr="00782AF8">
        <w:rPr>
          <w:rFonts w:ascii="Times New Roman" w:eastAsia="仿宋_GB2312" w:hAnsi="Times New Roman" w:hint="eastAsia"/>
          <w:color w:val="000000"/>
          <w:sz w:val="32"/>
          <w:szCs w:val="32"/>
        </w:rPr>
        <w:t>产品由软件安装文件组成。功能模块包括数据管理模块、数据分析模块（含深度学习心电分析模块、常规分析模块）、辅助分析工具模块、报告管理模块。</w:t>
      </w:r>
    </w:p>
    <w:p w14:paraId="7100295B" w14:textId="77777777" w:rsidR="000968B5" w:rsidRPr="008B6261" w:rsidRDefault="000968B5" w:rsidP="00AB740F">
      <w:pPr>
        <w:snapToGrid w:val="0"/>
        <w:spacing w:line="520" w:lineRule="exact"/>
        <w:ind w:firstLineChars="200" w:firstLine="640"/>
        <w:rPr>
          <w:rFonts w:ascii="Times New Roman" w:eastAsia="楷体_GB2312" w:hAnsi="Times New Roman"/>
          <w:color w:val="000000"/>
          <w:sz w:val="32"/>
          <w:szCs w:val="32"/>
        </w:rPr>
      </w:pPr>
      <w:r w:rsidRPr="008B6261">
        <w:rPr>
          <w:rFonts w:ascii="Times New Roman" w:eastAsia="楷体_GB2312" w:hAnsi="Times New Roman"/>
          <w:color w:val="000000"/>
          <w:sz w:val="32"/>
          <w:szCs w:val="32"/>
        </w:rPr>
        <w:t>（</w:t>
      </w:r>
      <w:r w:rsidR="00F87B51" w:rsidRPr="008B6261">
        <w:rPr>
          <w:rFonts w:ascii="Times New Roman" w:eastAsia="楷体_GB2312" w:hAnsi="Times New Roman"/>
          <w:color w:val="000000"/>
          <w:sz w:val="32"/>
          <w:szCs w:val="32"/>
        </w:rPr>
        <w:t>二</w:t>
      </w:r>
      <w:r w:rsidRPr="008B6261">
        <w:rPr>
          <w:rFonts w:ascii="Times New Roman" w:eastAsia="楷体_GB2312" w:hAnsi="Times New Roman"/>
          <w:color w:val="000000"/>
          <w:sz w:val="32"/>
          <w:szCs w:val="32"/>
        </w:rPr>
        <w:t>）综述资料</w:t>
      </w:r>
    </w:p>
    <w:p w14:paraId="2E3F8B8F" w14:textId="77777777" w:rsidR="00CE3764" w:rsidRPr="008B6261" w:rsidRDefault="00743867"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1.</w:t>
      </w:r>
      <w:r w:rsidR="00CE3764" w:rsidRPr="008B6261">
        <w:rPr>
          <w:rFonts w:ascii="Times New Roman" w:eastAsia="仿宋_GB2312" w:hAnsi="Times New Roman"/>
          <w:color w:val="000000"/>
          <w:sz w:val="32"/>
          <w:szCs w:val="32"/>
        </w:rPr>
        <w:t>产品描述</w:t>
      </w:r>
    </w:p>
    <w:p w14:paraId="0CBCC27A" w14:textId="49C61976" w:rsidR="00103E0D" w:rsidRPr="00826CD4" w:rsidRDefault="00071ED0" w:rsidP="00AE4228">
      <w:pPr>
        <w:adjustRightInd w:val="0"/>
        <w:snapToGrid w:val="0"/>
        <w:spacing w:line="520" w:lineRule="exact"/>
        <w:ind w:firstLineChars="200" w:firstLine="640"/>
        <w:rPr>
          <w:rFonts w:ascii="Times New Roman" w:eastAsia="仿宋_GB2312" w:hAnsi="Times New Roman"/>
          <w:sz w:val="32"/>
          <w:szCs w:val="32"/>
        </w:rPr>
      </w:pPr>
      <w:r w:rsidRPr="00826CD4">
        <w:rPr>
          <w:rFonts w:ascii="Times New Roman" w:eastAsia="仿宋_GB2312" w:hAnsi="Times New Roman"/>
          <w:sz w:val="32"/>
          <w:szCs w:val="32"/>
        </w:rPr>
        <w:t>详细描述该产品的</w:t>
      </w:r>
      <w:r w:rsidRPr="00826CD4">
        <w:rPr>
          <w:rFonts w:ascii="Times New Roman" w:eastAsia="仿宋_GB2312" w:hAnsi="Times New Roman" w:hint="eastAsia"/>
          <w:sz w:val="32"/>
          <w:szCs w:val="32"/>
        </w:rPr>
        <w:t>动态心电分析</w:t>
      </w:r>
      <w:r w:rsidR="00D6327B">
        <w:rPr>
          <w:rFonts w:ascii="Times New Roman" w:eastAsia="仿宋_GB2312" w:hAnsi="Times New Roman"/>
          <w:sz w:val="32"/>
          <w:szCs w:val="32"/>
        </w:rPr>
        <w:t>功能及功能实现方法</w:t>
      </w:r>
      <w:r w:rsidRPr="00826CD4">
        <w:rPr>
          <w:rFonts w:ascii="Times New Roman" w:eastAsia="仿宋_GB2312" w:hAnsi="Times New Roman"/>
          <w:sz w:val="32"/>
          <w:szCs w:val="32"/>
        </w:rPr>
        <w:t>，</w:t>
      </w:r>
      <w:r>
        <w:rPr>
          <w:rFonts w:ascii="Times New Roman" w:eastAsia="仿宋_GB2312" w:hAnsi="Times New Roman" w:hint="eastAsia"/>
          <w:sz w:val="32"/>
          <w:szCs w:val="32"/>
        </w:rPr>
        <w:t>详</w:t>
      </w:r>
      <w:r w:rsidRPr="00826CD4">
        <w:rPr>
          <w:rFonts w:ascii="Times New Roman" w:eastAsia="仿宋_GB2312" w:hAnsi="Times New Roman"/>
          <w:sz w:val="32"/>
          <w:szCs w:val="32"/>
        </w:rPr>
        <w:t>述软件采用的主要算法</w:t>
      </w:r>
      <w:r w:rsidR="00AE4228">
        <w:rPr>
          <w:rFonts w:ascii="Times New Roman" w:eastAsia="仿宋_GB2312" w:hAnsi="Times New Roman" w:hint="eastAsia"/>
          <w:sz w:val="32"/>
          <w:szCs w:val="32"/>
        </w:rPr>
        <w:t>，</w:t>
      </w:r>
      <w:r w:rsidR="008F7C64">
        <w:rPr>
          <w:rFonts w:ascii="Times New Roman" w:eastAsia="仿宋_GB2312" w:hAnsi="Times New Roman" w:hint="eastAsia"/>
          <w:sz w:val="32"/>
          <w:szCs w:val="32"/>
        </w:rPr>
        <w:t>明确</w:t>
      </w:r>
      <w:r w:rsidR="00103E0D">
        <w:rPr>
          <w:rFonts w:ascii="Times New Roman" w:eastAsia="仿宋_GB2312" w:hAnsi="Times New Roman" w:hint="eastAsia"/>
          <w:sz w:val="32"/>
          <w:szCs w:val="32"/>
        </w:rPr>
        <w:t>深度学习</w:t>
      </w:r>
      <w:r w:rsidR="00AE4228">
        <w:rPr>
          <w:rFonts w:ascii="Times New Roman" w:eastAsia="仿宋_GB2312" w:hAnsi="Times New Roman" w:hint="eastAsia"/>
          <w:sz w:val="32"/>
          <w:szCs w:val="32"/>
        </w:rPr>
        <w:t>算法</w:t>
      </w:r>
      <w:r w:rsidR="007B1200">
        <w:rPr>
          <w:rFonts w:ascii="Times New Roman" w:eastAsia="仿宋_GB2312" w:hAnsi="Times New Roman" w:hint="eastAsia"/>
          <w:sz w:val="32"/>
          <w:szCs w:val="32"/>
        </w:rPr>
        <w:t>使用的环节</w:t>
      </w:r>
      <w:r w:rsidR="00103E0D">
        <w:rPr>
          <w:rFonts w:ascii="Times New Roman" w:eastAsia="仿宋_GB2312" w:hAnsi="Times New Roman" w:hint="eastAsia"/>
          <w:sz w:val="32"/>
          <w:szCs w:val="32"/>
        </w:rPr>
        <w:t>。</w:t>
      </w:r>
    </w:p>
    <w:p w14:paraId="0AD6D6EA" w14:textId="5C7A4CCE" w:rsidR="00837A20" w:rsidRDefault="00E16904" w:rsidP="00D6327B">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简述软件研发背景，包括</w:t>
      </w:r>
      <w:r w:rsidR="00071ED0" w:rsidRPr="00826CD4">
        <w:rPr>
          <w:rFonts w:ascii="Times New Roman" w:eastAsia="仿宋_GB2312" w:hAnsi="Times New Roman"/>
          <w:sz w:val="32"/>
          <w:szCs w:val="32"/>
        </w:rPr>
        <w:t>可辅助诊断疾病</w:t>
      </w:r>
      <w:r>
        <w:rPr>
          <w:rFonts w:ascii="Times New Roman" w:eastAsia="仿宋_GB2312" w:hAnsi="Times New Roman" w:hint="eastAsia"/>
          <w:sz w:val="32"/>
          <w:szCs w:val="32"/>
        </w:rPr>
        <w:t>类型及其</w:t>
      </w:r>
      <w:r w:rsidR="00071ED0" w:rsidRPr="00826CD4">
        <w:rPr>
          <w:rFonts w:ascii="Times New Roman" w:eastAsia="仿宋_GB2312" w:hAnsi="Times New Roman"/>
          <w:sz w:val="32"/>
          <w:szCs w:val="32"/>
        </w:rPr>
        <w:t>介绍，目前相关疾病临床诊断参考标准</w:t>
      </w:r>
      <w:r w:rsidR="00071ED0" w:rsidRPr="00826CD4">
        <w:rPr>
          <w:rFonts w:ascii="Times New Roman" w:eastAsia="仿宋_GB2312" w:hAnsi="Times New Roman" w:hint="eastAsia"/>
          <w:sz w:val="32"/>
          <w:szCs w:val="32"/>
        </w:rPr>
        <w:t>和依据</w:t>
      </w:r>
      <w:r w:rsidR="00071ED0" w:rsidRPr="00826CD4">
        <w:rPr>
          <w:rFonts w:ascii="Times New Roman" w:eastAsia="仿宋_GB2312" w:hAnsi="Times New Roman"/>
          <w:sz w:val="32"/>
          <w:szCs w:val="32"/>
        </w:rPr>
        <w:t>。申报产品的</w:t>
      </w:r>
      <w:r w:rsidR="00071ED0" w:rsidRPr="00826CD4">
        <w:rPr>
          <w:rFonts w:ascii="Times New Roman" w:eastAsia="仿宋_GB2312" w:hAnsi="Times New Roman" w:hint="eastAsia"/>
          <w:sz w:val="32"/>
          <w:szCs w:val="32"/>
        </w:rPr>
        <w:t>心搏分类功能</w:t>
      </w:r>
      <w:r w:rsidR="00071ED0" w:rsidRPr="00826CD4">
        <w:rPr>
          <w:rFonts w:ascii="Times New Roman" w:eastAsia="仿宋_GB2312" w:hAnsi="Times New Roman"/>
          <w:sz w:val="32"/>
          <w:szCs w:val="32"/>
        </w:rPr>
        <w:t>和</w:t>
      </w:r>
      <w:r w:rsidR="00071ED0">
        <w:rPr>
          <w:rFonts w:ascii="Times New Roman" w:eastAsia="仿宋_GB2312" w:hAnsi="Times New Roman" w:hint="eastAsia"/>
          <w:sz w:val="32"/>
          <w:szCs w:val="32"/>
        </w:rPr>
        <w:t>心律</w:t>
      </w:r>
      <w:r w:rsidR="00071ED0" w:rsidRPr="00826CD4">
        <w:rPr>
          <w:rFonts w:ascii="Times New Roman" w:eastAsia="仿宋_GB2312" w:hAnsi="Times New Roman" w:hint="eastAsia"/>
          <w:sz w:val="32"/>
          <w:szCs w:val="32"/>
        </w:rPr>
        <w:t>失常事件的分析</w:t>
      </w:r>
      <w:r w:rsidR="00071ED0" w:rsidRPr="00826CD4">
        <w:rPr>
          <w:rFonts w:ascii="Times New Roman" w:eastAsia="仿宋_GB2312" w:hAnsi="Times New Roman"/>
          <w:sz w:val="32"/>
          <w:szCs w:val="32"/>
        </w:rPr>
        <w:t>依据应与临床标准一致。</w:t>
      </w:r>
    </w:p>
    <w:p w14:paraId="40D484A2" w14:textId="1664E05A" w:rsidR="00D6327B" w:rsidRPr="008B6261" w:rsidRDefault="00D6327B" w:rsidP="00D6327B">
      <w:pPr>
        <w:spacing w:line="520" w:lineRule="exact"/>
        <w:ind w:firstLineChars="200" w:firstLine="640"/>
        <w:rPr>
          <w:rFonts w:ascii="Times New Roman" w:eastAsia="仿宋_GB2312" w:hAnsi="Times New Roman"/>
          <w:sz w:val="32"/>
          <w:szCs w:val="32"/>
        </w:rPr>
      </w:pPr>
      <w:r w:rsidRPr="00826CD4">
        <w:rPr>
          <w:rFonts w:ascii="Times New Roman" w:eastAsia="仿宋_GB2312" w:hAnsi="Times New Roman"/>
          <w:sz w:val="32"/>
          <w:szCs w:val="32"/>
        </w:rPr>
        <w:lastRenderedPageBreak/>
        <w:t>描述配套使用</w:t>
      </w:r>
      <w:r w:rsidRPr="00826CD4">
        <w:rPr>
          <w:rFonts w:ascii="Times New Roman" w:eastAsia="仿宋_GB2312" w:hAnsi="Times New Roman" w:hint="eastAsia"/>
          <w:sz w:val="32"/>
          <w:szCs w:val="32"/>
        </w:rPr>
        <w:t>动态心电</w:t>
      </w:r>
      <w:r w:rsidRPr="00826CD4">
        <w:rPr>
          <w:rFonts w:ascii="Times New Roman" w:eastAsia="仿宋_GB2312" w:hAnsi="Times New Roman"/>
          <w:sz w:val="32"/>
          <w:szCs w:val="32"/>
        </w:rPr>
        <w:t>采集设备</w:t>
      </w:r>
      <w:r w:rsidRPr="00826CD4">
        <w:rPr>
          <w:rFonts w:ascii="Times New Roman" w:eastAsia="仿宋_GB2312" w:hAnsi="Times New Roman" w:hint="eastAsia"/>
          <w:sz w:val="32"/>
          <w:szCs w:val="32"/>
        </w:rPr>
        <w:t>的产品信息及已获批部件或配合使用部件注册认证信息</w:t>
      </w:r>
      <w:r>
        <w:rPr>
          <w:rFonts w:ascii="Times New Roman" w:eastAsia="仿宋_GB2312" w:hAnsi="Times New Roman" w:hint="eastAsia"/>
          <w:sz w:val="32"/>
          <w:szCs w:val="32"/>
        </w:rPr>
        <w:t>。</w:t>
      </w:r>
    </w:p>
    <w:p w14:paraId="6EFF8627" w14:textId="77777777" w:rsidR="00482E81" w:rsidRPr="008B6261" w:rsidRDefault="00482E81" w:rsidP="00AB740F">
      <w:pPr>
        <w:spacing w:line="520" w:lineRule="exact"/>
        <w:ind w:firstLineChars="200" w:firstLine="640"/>
        <w:jc w:val="left"/>
        <w:outlineLvl w:val="2"/>
        <w:rPr>
          <w:rFonts w:ascii="Times New Roman" w:eastAsia="仿宋_GB2312" w:hAnsi="Times New Roman"/>
          <w:bCs/>
          <w:color w:val="000000"/>
          <w:sz w:val="32"/>
          <w:szCs w:val="32"/>
        </w:rPr>
      </w:pPr>
      <w:r w:rsidRPr="008B6261">
        <w:rPr>
          <w:rFonts w:ascii="Times New Roman" w:eastAsia="仿宋_GB2312" w:hAnsi="Times New Roman"/>
          <w:bCs/>
          <w:color w:val="000000"/>
          <w:sz w:val="32"/>
          <w:szCs w:val="32"/>
        </w:rPr>
        <w:t>2.</w:t>
      </w:r>
      <w:r w:rsidRPr="008B6261">
        <w:rPr>
          <w:rFonts w:ascii="Times New Roman" w:eastAsia="仿宋_GB2312" w:hAnsi="Times New Roman"/>
          <w:bCs/>
          <w:color w:val="000000"/>
          <w:sz w:val="32"/>
          <w:szCs w:val="32"/>
        </w:rPr>
        <w:t>型号规格</w:t>
      </w:r>
    </w:p>
    <w:p w14:paraId="5BCA7A61" w14:textId="77777777" w:rsidR="00482E81" w:rsidRPr="008B6261" w:rsidRDefault="00482E81" w:rsidP="00AB740F">
      <w:pPr>
        <w:spacing w:line="520" w:lineRule="exact"/>
        <w:ind w:firstLineChars="200" w:firstLine="640"/>
        <w:jc w:val="left"/>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对于存在多种型号规格的产品，应当明确各型号规格的区别。采用对比表或带有说明性文字的图片、图表，描述各种型号规格的结构组成（或配置）、功能、产品特征、技术参数等内容。</w:t>
      </w:r>
    </w:p>
    <w:p w14:paraId="01C5D0F4" w14:textId="77777777" w:rsidR="00482E81" w:rsidRPr="008B6261" w:rsidRDefault="00482E81" w:rsidP="00AB740F">
      <w:pPr>
        <w:spacing w:line="520" w:lineRule="exact"/>
        <w:ind w:firstLineChars="200" w:firstLine="640"/>
        <w:jc w:val="left"/>
        <w:outlineLvl w:val="2"/>
        <w:rPr>
          <w:rFonts w:ascii="Times New Roman" w:eastAsia="仿宋_GB2312" w:hAnsi="Times New Roman"/>
          <w:bCs/>
          <w:color w:val="000000"/>
          <w:sz w:val="32"/>
          <w:szCs w:val="32"/>
        </w:rPr>
      </w:pPr>
      <w:r w:rsidRPr="008B6261">
        <w:rPr>
          <w:rFonts w:ascii="Times New Roman" w:eastAsia="仿宋_GB2312" w:hAnsi="Times New Roman"/>
          <w:bCs/>
          <w:color w:val="000000"/>
          <w:sz w:val="32"/>
          <w:szCs w:val="32"/>
        </w:rPr>
        <w:t>3.</w:t>
      </w:r>
      <w:r w:rsidRPr="008B6261">
        <w:rPr>
          <w:rFonts w:ascii="Times New Roman" w:eastAsia="仿宋_GB2312" w:hAnsi="Times New Roman"/>
          <w:bCs/>
          <w:color w:val="000000"/>
          <w:sz w:val="32"/>
          <w:szCs w:val="32"/>
        </w:rPr>
        <w:t>研发历程</w:t>
      </w:r>
    </w:p>
    <w:p w14:paraId="1CEDE1D5" w14:textId="77777777" w:rsidR="00482E81" w:rsidRPr="008B6261" w:rsidRDefault="00482E81" w:rsidP="00AB740F">
      <w:pPr>
        <w:spacing w:line="520" w:lineRule="exact"/>
        <w:ind w:firstLineChars="200" w:firstLine="640"/>
        <w:jc w:val="left"/>
        <w:rPr>
          <w:rFonts w:ascii="Times New Roman" w:eastAsia="仿宋_GB2312" w:hAnsi="Times New Roman"/>
          <w:bCs/>
          <w:color w:val="000000"/>
          <w:sz w:val="32"/>
          <w:szCs w:val="32"/>
        </w:rPr>
      </w:pPr>
      <w:r w:rsidRPr="008B6261">
        <w:rPr>
          <w:rFonts w:ascii="Times New Roman" w:eastAsia="仿宋_GB2312" w:hAnsi="Times New Roman"/>
          <w:bCs/>
          <w:color w:val="000000"/>
          <w:sz w:val="32"/>
          <w:szCs w:val="32"/>
        </w:rPr>
        <w:t>阐述申请注册产品的研发背景和目的。如有参考的同类产品或前代产品，应当提供同类产品或前代产品的信息，并说明选择其作为研发参考的原因。</w:t>
      </w:r>
    </w:p>
    <w:p w14:paraId="6CFD5CE7" w14:textId="77777777" w:rsidR="00482E81" w:rsidRPr="008B6261" w:rsidRDefault="00482E81" w:rsidP="00AB740F">
      <w:pPr>
        <w:spacing w:line="520" w:lineRule="exact"/>
        <w:ind w:firstLineChars="200" w:firstLine="640"/>
        <w:jc w:val="left"/>
        <w:outlineLvl w:val="2"/>
        <w:rPr>
          <w:rFonts w:ascii="Times New Roman" w:eastAsia="仿宋_GB2312" w:hAnsi="Times New Roman"/>
          <w:bCs/>
          <w:color w:val="000000"/>
          <w:sz w:val="32"/>
          <w:szCs w:val="32"/>
        </w:rPr>
      </w:pPr>
      <w:r w:rsidRPr="008B6261">
        <w:rPr>
          <w:rFonts w:ascii="Times New Roman" w:eastAsia="仿宋_GB2312" w:hAnsi="Times New Roman"/>
          <w:bCs/>
          <w:color w:val="000000"/>
          <w:sz w:val="32"/>
          <w:szCs w:val="32"/>
        </w:rPr>
        <w:t>4.</w:t>
      </w:r>
      <w:r w:rsidRPr="008B6261">
        <w:rPr>
          <w:rFonts w:ascii="Times New Roman" w:eastAsia="仿宋_GB2312" w:hAnsi="Times New Roman"/>
          <w:bCs/>
          <w:color w:val="000000"/>
          <w:sz w:val="32"/>
          <w:szCs w:val="32"/>
        </w:rPr>
        <w:t>与同类和</w:t>
      </w:r>
      <w:r w:rsidRPr="008B6261">
        <w:rPr>
          <w:rFonts w:ascii="Times New Roman" w:eastAsia="仿宋_GB2312" w:hAnsi="Times New Roman"/>
          <w:bCs/>
          <w:color w:val="000000"/>
          <w:sz w:val="32"/>
          <w:szCs w:val="32"/>
        </w:rPr>
        <w:t>/</w:t>
      </w:r>
      <w:r w:rsidRPr="008B6261">
        <w:rPr>
          <w:rFonts w:ascii="Times New Roman" w:eastAsia="仿宋_GB2312" w:hAnsi="Times New Roman"/>
          <w:bCs/>
          <w:color w:val="000000"/>
          <w:sz w:val="32"/>
          <w:szCs w:val="32"/>
        </w:rPr>
        <w:t>或前代产品的参考和比较</w:t>
      </w:r>
    </w:p>
    <w:p w14:paraId="4EE2076C" w14:textId="77777777" w:rsidR="00482E81" w:rsidRPr="008B6261" w:rsidRDefault="00482E81" w:rsidP="00AB740F">
      <w:pPr>
        <w:spacing w:line="520" w:lineRule="exact"/>
        <w:ind w:firstLineChars="200" w:firstLine="640"/>
        <w:jc w:val="left"/>
        <w:rPr>
          <w:rFonts w:ascii="Times New Roman" w:eastAsia="仿宋_GB2312" w:hAnsi="Times New Roman"/>
          <w:color w:val="000000" w:themeColor="text1"/>
          <w:sz w:val="32"/>
          <w:szCs w:val="32"/>
        </w:rPr>
      </w:pPr>
      <w:r w:rsidRPr="008B6261">
        <w:rPr>
          <w:rFonts w:ascii="Times New Roman" w:eastAsia="仿宋_GB2312" w:hAnsi="Times New Roman"/>
          <w:bCs/>
          <w:color w:val="000000"/>
          <w:sz w:val="32"/>
          <w:szCs w:val="32"/>
        </w:rPr>
        <w:t>列表比较说明申报产品与同类产品和</w:t>
      </w:r>
      <w:r w:rsidRPr="008B6261">
        <w:rPr>
          <w:rFonts w:ascii="Times New Roman" w:eastAsia="仿宋_GB2312" w:hAnsi="Times New Roman"/>
          <w:bCs/>
          <w:color w:val="000000"/>
          <w:sz w:val="32"/>
          <w:szCs w:val="32"/>
        </w:rPr>
        <w:t>/</w:t>
      </w:r>
      <w:r w:rsidRPr="008B6261">
        <w:rPr>
          <w:rFonts w:ascii="Times New Roman" w:eastAsia="仿宋_GB2312" w:hAnsi="Times New Roman"/>
          <w:bCs/>
          <w:color w:val="000000"/>
          <w:sz w:val="32"/>
          <w:szCs w:val="32"/>
        </w:rPr>
        <w:t>或前代产品在工作原理、结构组成、制造材料、性能指标、作用方式，以及适用范围等方面的异同。</w:t>
      </w:r>
    </w:p>
    <w:p w14:paraId="50439DAA" w14:textId="77777777" w:rsidR="00482E81" w:rsidRPr="008B6261" w:rsidRDefault="00482E81" w:rsidP="00AB740F">
      <w:pPr>
        <w:spacing w:line="520" w:lineRule="exact"/>
        <w:ind w:firstLineChars="200" w:firstLine="640"/>
        <w:jc w:val="left"/>
        <w:rPr>
          <w:rFonts w:ascii="Times New Roman" w:eastAsia="仿宋_GB2312" w:hAnsi="Times New Roman"/>
          <w:color w:val="000000" w:themeColor="text1"/>
          <w:sz w:val="32"/>
          <w:szCs w:val="32"/>
        </w:rPr>
      </w:pPr>
      <w:r w:rsidRPr="008B6261">
        <w:rPr>
          <w:rFonts w:ascii="Times New Roman" w:eastAsia="仿宋_GB2312" w:hAnsi="Times New Roman"/>
          <w:color w:val="000000" w:themeColor="text1"/>
          <w:sz w:val="32"/>
          <w:szCs w:val="32"/>
        </w:rPr>
        <w:t>相对于市场上同类常规产品的创新性技术、设计和应用的介绍。</w:t>
      </w:r>
    </w:p>
    <w:p w14:paraId="4D045E05" w14:textId="77777777" w:rsidR="000968B5" w:rsidRPr="008B6261" w:rsidRDefault="000968B5" w:rsidP="00AB740F">
      <w:pPr>
        <w:snapToGrid w:val="0"/>
        <w:spacing w:line="520" w:lineRule="exact"/>
        <w:ind w:firstLineChars="200" w:firstLine="640"/>
        <w:rPr>
          <w:rFonts w:ascii="Times New Roman" w:eastAsia="楷体_GB2312" w:hAnsi="Times New Roman"/>
          <w:color w:val="000000"/>
          <w:sz w:val="32"/>
          <w:szCs w:val="32"/>
        </w:rPr>
      </w:pPr>
      <w:r w:rsidRPr="008B6261">
        <w:rPr>
          <w:rFonts w:ascii="Times New Roman" w:eastAsia="楷体_GB2312" w:hAnsi="Times New Roman"/>
          <w:color w:val="000000"/>
          <w:sz w:val="32"/>
          <w:szCs w:val="32"/>
        </w:rPr>
        <w:t>（</w:t>
      </w:r>
      <w:r w:rsidR="00F87B51" w:rsidRPr="008B6261">
        <w:rPr>
          <w:rFonts w:ascii="Times New Roman" w:eastAsia="楷体_GB2312" w:hAnsi="Times New Roman"/>
          <w:color w:val="000000"/>
          <w:sz w:val="32"/>
          <w:szCs w:val="32"/>
        </w:rPr>
        <w:t>三</w:t>
      </w:r>
      <w:r w:rsidRPr="008B6261">
        <w:rPr>
          <w:rFonts w:ascii="Times New Roman" w:eastAsia="楷体_GB2312" w:hAnsi="Times New Roman"/>
          <w:color w:val="000000"/>
          <w:sz w:val="32"/>
          <w:szCs w:val="32"/>
        </w:rPr>
        <w:t>）非临床资料</w:t>
      </w:r>
    </w:p>
    <w:p w14:paraId="3B97C8CC" w14:textId="77777777" w:rsidR="000968B5" w:rsidRPr="008B6261" w:rsidRDefault="000968B5"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1.</w:t>
      </w:r>
      <w:r w:rsidRPr="008B6261">
        <w:rPr>
          <w:rFonts w:ascii="Times New Roman" w:eastAsia="仿宋_GB2312" w:hAnsi="Times New Roman"/>
          <w:color w:val="000000"/>
          <w:sz w:val="32"/>
          <w:szCs w:val="32"/>
        </w:rPr>
        <w:t>产品风险管理资料</w:t>
      </w:r>
    </w:p>
    <w:p w14:paraId="48FF11ED" w14:textId="4E5EEFCB" w:rsidR="004F1AF3" w:rsidRPr="008B6261" w:rsidRDefault="00BD6DD1" w:rsidP="00AB740F">
      <w:pPr>
        <w:spacing w:line="520" w:lineRule="exact"/>
        <w:ind w:firstLineChars="200" w:firstLine="640"/>
        <w:rPr>
          <w:rFonts w:ascii="Times New Roman" w:eastAsia="仿宋_GB2312" w:hAnsi="Times New Roman"/>
          <w:sz w:val="32"/>
          <w:szCs w:val="32"/>
        </w:rPr>
      </w:pPr>
      <w:r w:rsidRPr="00BD6DD1">
        <w:rPr>
          <w:rFonts w:ascii="Times New Roman" w:eastAsia="仿宋_GB2312" w:hAnsi="Times New Roman" w:hint="eastAsia"/>
          <w:sz w:val="32"/>
          <w:szCs w:val="32"/>
        </w:rPr>
        <w:t>参考</w:t>
      </w:r>
      <w:r w:rsidRPr="00BD6DD1">
        <w:rPr>
          <w:rFonts w:ascii="Times New Roman" w:eastAsia="仿宋_GB2312" w:hAnsi="Times New Roman"/>
          <w:sz w:val="32"/>
          <w:szCs w:val="32"/>
        </w:rPr>
        <w:t>YY/T 0316</w:t>
      </w:r>
      <w:r w:rsidRPr="00BD6DD1">
        <w:rPr>
          <w:rFonts w:ascii="Times New Roman" w:eastAsia="仿宋_GB2312" w:hAnsi="Times New Roman"/>
          <w:sz w:val="32"/>
          <w:szCs w:val="32"/>
        </w:rPr>
        <w:t>、</w:t>
      </w:r>
      <w:r w:rsidRPr="00BD6DD1">
        <w:rPr>
          <w:rFonts w:ascii="Times New Roman" w:eastAsia="仿宋_GB2312" w:hAnsi="Times New Roman"/>
          <w:sz w:val="32"/>
          <w:szCs w:val="32"/>
        </w:rPr>
        <w:t>YY/T 1406.1</w:t>
      </w:r>
      <w:r w:rsidRPr="00BD6DD1">
        <w:rPr>
          <w:rFonts w:ascii="Times New Roman" w:eastAsia="仿宋_GB2312" w:hAnsi="Times New Roman"/>
          <w:sz w:val="32"/>
          <w:szCs w:val="32"/>
        </w:rPr>
        <w:t>和</w:t>
      </w:r>
      <w:r w:rsidRPr="00BD6DD1">
        <w:rPr>
          <w:rFonts w:ascii="Times New Roman" w:eastAsia="仿宋_GB2312" w:hAnsi="Times New Roman"/>
          <w:sz w:val="32"/>
          <w:szCs w:val="32"/>
        </w:rPr>
        <w:t>YY/T 0664</w:t>
      </w:r>
      <w:r w:rsidRPr="00BD6DD1">
        <w:rPr>
          <w:rFonts w:ascii="Times New Roman" w:eastAsia="仿宋_GB2312" w:hAnsi="Times New Roman"/>
          <w:sz w:val="32"/>
          <w:szCs w:val="32"/>
        </w:rPr>
        <w:t>、</w:t>
      </w:r>
      <w:r w:rsidRPr="00BD6DD1">
        <w:rPr>
          <w:rFonts w:ascii="Times New Roman" w:eastAsia="仿宋_GB2312" w:hAnsi="Times New Roman"/>
          <w:sz w:val="32"/>
          <w:szCs w:val="32"/>
        </w:rPr>
        <w:t>GB/T 42062</w:t>
      </w:r>
      <w:r w:rsidRPr="00BD6DD1">
        <w:rPr>
          <w:rFonts w:ascii="Times New Roman" w:eastAsia="仿宋_GB2312" w:hAnsi="Times New Roman"/>
          <w:sz w:val="32"/>
          <w:szCs w:val="32"/>
        </w:rPr>
        <w:t>进行产品的风险管理活动。风险管理活动应当基于软件的预期用途、使用场景、核心功能予以实施，并贯穿软件全生命周期过程。此类产品临床使用中的风险主要包括心电数据分析过程中的识别错误、标记错误，样本采集错误等，造成的假阴性和假阳性错误。算法风险主要包括过拟合和欠拟合，数据扩增和数据偏移等。</w:t>
      </w:r>
    </w:p>
    <w:p w14:paraId="7C5F8670" w14:textId="18C3E5B0" w:rsidR="00F967A3" w:rsidRPr="008B6261" w:rsidRDefault="00F967A3" w:rsidP="00AB740F">
      <w:pPr>
        <w:spacing w:line="520" w:lineRule="exact"/>
        <w:ind w:firstLineChars="200" w:firstLine="640"/>
        <w:rPr>
          <w:rFonts w:ascii="Times New Roman" w:eastAsia="仿宋_GB2312" w:hAnsi="Times New Roman"/>
          <w:sz w:val="32"/>
          <w:szCs w:val="32"/>
        </w:rPr>
      </w:pPr>
      <w:r w:rsidRPr="008B6261">
        <w:rPr>
          <w:rFonts w:ascii="Times New Roman" w:eastAsia="仿宋_GB2312" w:hAnsi="Times New Roman"/>
          <w:color w:val="000000"/>
          <w:sz w:val="32"/>
          <w:szCs w:val="32"/>
        </w:rPr>
        <w:lastRenderedPageBreak/>
        <w:t>2.</w:t>
      </w:r>
      <w:r w:rsidRPr="008B6261">
        <w:rPr>
          <w:rFonts w:ascii="Times New Roman" w:eastAsia="仿宋_GB2312" w:hAnsi="Times New Roman"/>
          <w:color w:val="000000"/>
          <w:sz w:val="32"/>
          <w:szCs w:val="32"/>
        </w:rPr>
        <w:t>医疗器械安全和性能基本原则清单条款适用情况见附</w:t>
      </w:r>
      <w:r w:rsidR="00A07758" w:rsidRPr="008B6261">
        <w:rPr>
          <w:rFonts w:ascii="Times New Roman" w:eastAsia="仿宋_GB2312" w:hAnsi="Times New Roman" w:hint="eastAsia"/>
          <w:color w:val="000000"/>
          <w:sz w:val="32"/>
          <w:szCs w:val="32"/>
        </w:rPr>
        <w:t>件</w:t>
      </w:r>
      <w:r w:rsidR="00A07758" w:rsidRPr="008B6261">
        <w:rPr>
          <w:rFonts w:ascii="Times New Roman" w:eastAsia="仿宋_GB2312" w:hAnsi="Times New Roman" w:hint="eastAsia"/>
          <w:color w:val="000000"/>
          <w:sz w:val="32"/>
          <w:szCs w:val="32"/>
        </w:rPr>
        <w:t>1</w:t>
      </w:r>
      <w:r w:rsidRPr="008B6261">
        <w:rPr>
          <w:rFonts w:ascii="Times New Roman" w:eastAsia="仿宋_GB2312" w:hAnsi="Times New Roman"/>
          <w:color w:val="000000"/>
          <w:sz w:val="32"/>
          <w:szCs w:val="32"/>
        </w:rPr>
        <w:t>。</w:t>
      </w:r>
    </w:p>
    <w:p w14:paraId="77B5729E" w14:textId="77777777" w:rsidR="000968B5" w:rsidRPr="008B6261" w:rsidRDefault="00F967A3"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3</w:t>
      </w:r>
      <w:r w:rsidR="000968B5" w:rsidRPr="008B6261">
        <w:rPr>
          <w:rFonts w:ascii="Times New Roman" w:eastAsia="仿宋_GB2312" w:hAnsi="Times New Roman"/>
          <w:color w:val="000000"/>
          <w:sz w:val="32"/>
          <w:szCs w:val="32"/>
        </w:rPr>
        <w:t>.</w:t>
      </w:r>
      <w:r w:rsidR="000968B5" w:rsidRPr="008B6261">
        <w:rPr>
          <w:rFonts w:ascii="Times New Roman" w:eastAsia="仿宋_GB2312" w:hAnsi="Times New Roman"/>
          <w:color w:val="000000"/>
          <w:sz w:val="32"/>
          <w:szCs w:val="32"/>
        </w:rPr>
        <w:t>产品技术要求及检验报告</w:t>
      </w:r>
    </w:p>
    <w:p w14:paraId="29958CB6" w14:textId="4EBCAF4E" w:rsidR="009E4C0D" w:rsidRDefault="004470FC" w:rsidP="004470FC">
      <w:pPr>
        <w:snapToGrid w:val="0"/>
        <w:spacing w:line="520" w:lineRule="exact"/>
        <w:ind w:firstLineChars="200" w:firstLine="640"/>
        <w:rPr>
          <w:rFonts w:ascii="Times New Roman" w:eastAsia="仿宋_GB2312" w:hAnsi="Times New Roman"/>
          <w:sz w:val="32"/>
          <w:szCs w:val="32"/>
        </w:rPr>
      </w:pPr>
      <w:r w:rsidRPr="00826CD4">
        <w:rPr>
          <w:rFonts w:ascii="Times New Roman" w:eastAsia="仿宋_GB2312" w:hAnsi="Times New Roman" w:hint="eastAsia"/>
          <w:sz w:val="32"/>
          <w:szCs w:val="32"/>
        </w:rPr>
        <w:t>产品技术要求可参考</w:t>
      </w:r>
      <w:r w:rsidRPr="00826CD4">
        <w:rPr>
          <w:rFonts w:ascii="Times New Roman" w:eastAsia="仿宋_GB2312" w:hAnsi="Times New Roman"/>
          <w:sz w:val="32"/>
          <w:szCs w:val="32"/>
        </w:rPr>
        <w:t>《医疗器械软件注册审查指导原则》</w:t>
      </w:r>
      <w:r w:rsidRPr="00826CD4">
        <w:rPr>
          <w:rFonts w:ascii="Times New Roman" w:eastAsia="仿宋_GB2312" w:hAnsi="Times New Roman" w:hint="eastAsia"/>
          <w:sz w:val="32"/>
          <w:szCs w:val="32"/>
        </w:rPr>
        <w:t>（</w:t>
      </w:r>
      <w:r w:rsidRPr="00826CD4">
        <w:rPr>
          <w:rFonts w:ascii="Times New Roman" w:eastAsia="仿宋_GB2312" w:hAnsi="Times New Roman" w:hint="eastAsia"/>
          <w:sz w:val="32"/>
          <w:szCs w:val="32"/>
        </w:rPr>
        <w:t>2022</w:t>
      </w:r>
      <w:r w:rsidRPr="00826CD4">
        <w:rPr>
          <w:rFonts w:ascii="Times New Roman" w:eastAsia="仿宋_GB2312" w:hAnsi="Times New Roman" w:hint="eastAsia"/>
          <w:sz w:val="32"/>
          <w:szCs w:val="32"/>
        </w:rPr>
        <w:t>年修订版）附录中的模板进行编写</w:t>
      </w:r>
      <w:r w:rsidRPr="00826CD4">
        <w:rPr>
          <w:rFonts w:ascii="Times New Roman" w:eastAsia="仿宋_GB2312" w:hAnsi="Times New Roman"/>
          <w:sz w:val="32"/>
          <w:szCs w:val="32"/>
        </w:rPr>
        <w:t>。</w:t>
      </w:r>
      <w:r>
        <w:rPr>
          <w:rFonts w:ascii="Times New Roman" w:eastAsia="仿宋_GB2312" w:hAnsi="Times New Roman" w:hint="eastAsia"/>
          <w:sz w:val="32"/>
          <w:szCs w:val="32"/>
        </w:rPr>
        <w:t>性能指标按照</w:t>
      </w:r>
      <w:r w:rsidRPr="00826CD4">
        <w:rPr>
          <w:rFonts w:ascii="Times New Roman" w:eastAsia="仿宋_GB2312" w:hAnsi="Times New Roman"/>
          <w:sz w:val="32"/>
          <w:szCs w:val="32"/>
        </w:rPr>
        <w:t>《医疗器械软件注册审查指导原则》</w:t>
      </w:r>
      <w:r w:rsidRPr="00826CD4">
        <w:rPr>
          <w:rFonts w:ascii="Times New Roman" w:eastAsia="仿宋_GB2312" w:hAnsi="Times New Roman" w:hint="eastAsia"/>
          <w:sz w:val="32"/>
          <w:szCs w:val="32"/>
        </w:rPr>
        <w:t>（</w:t>
      </w:r>
      <w:r w:rsidRPr="00826CD4">
        <w:rPr>
          <w:rFonts w:ascii="Times New Roman" w:eastAsia="仿宋_GB2312" w:hAnsi="Times New Roman" w:hint="eastAsia"/>
          <w:sz w:val="32"/>
          <w:szCs w:val="32"/>
        </w:rPr>
        <w:t>2022</w:t>
      </w:r>
      <w:r w:rsidRPr="00826CD4">
        <w:rPr>
          <w:rFonts w:ascii="Times New Roman" w:eastAsia="仿宋_GB2312" w:hAnsi="Times New Roman" w:hint="eastAsia"/>
          <w:sz w:val="32"/>
          <w:szCs w:val="32"/>
        </w:rPr>
        <w:t>年修订版）</w:t>
      </w:r>
      <w:r>
        <w:rPr>
          <w:rFonts w:ascii="Times New Roman" w:eastAsia="仿宋_GB2312" w:hAnsi="Times New Roman" w:hint="eastAsia"/>
          <w:sz w:val="32"/>
          <w:szCs w:val="32"/>
        </w:rPr>
        <w:t>技术要求附录制定适用</w:t>
      </w:r>
      <w:r>
        <w:rPr>
          <w:rFonts w:ascii="Times New Roman" w:eastAsia="仿宋_GB2312" w:hAnsi="Times New Roman"/>
          <w:sz w:val="32"/>
          <w:szCs w:val="32"/>
        </w:rPr>
        <w:t>要求。</w:t>
      </w:r>
    </w:p>
    <w:p w14:paraId="379E34B4" w14:textId="65987B89" w:rsidR="003C6237" w:rsidRPr="008B6261" w:rsidRDefault="003C6237" w:rsidP="004470FC">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sz w:val="32"/>
          <w:szCs w:val="32"/>
        </w:rPr>
        <w:t>明确</w:t>
      </w:r>
      <w:r>
        <w:rPr>
          <w:rFonts w:ascii="Times New Roman" w:eastAsia="仿宋_GB2312" w:hAnsi="Times New Roman"/>
          <w:sz w:val="32"/>
          <w:szCs w:val="32"/>
        </w:rPr>
        <w:t>不同算法</w:t>
      </w:r>
      <w:r>
        <w:rPr>
          <w:rFonts w:ascii="Times New Roman" w:eastAsia="仿宋_GB2312" w:hAnsi="Times New Roman" w:hint="eastAsia"/>
          <w:sz w:val="32"/>
          <w:szCs w:val="32"/>
        </w:rPr>
        <w:t>类型</w:t>
      </w:r>
      <w:r w:rsidR="00D575FB">
        <w:rPr>
          <w:rFonts w:ascii="Times New Roman" w:eastAsia="仿宋_GB2312" w:hAnsi="Times New Roman" w:hint="eastAsia"/>
          <w:sz w:val="32"/>
          <w:szCs w:val="32"/>
        </w:rPr>
        <w:t>，</w:t>
      </w:r>
      <w:r>
        <w:rPr>
          <w:rFonts w:ascii="Times New Roman" w:eastAsia="仿宋_GB2312" w:hAnsi="Times New Roman" w:hint="eastAsia"/>
          <w:sz w:val="32"/>
          <w:szCs w:val="32"/>
        </w:rPr>
        <w:t>需</w:t>
      </w:r>
      <w:r>
        <w:rPr>
          <w:rFonts w:ascii="Times New Roman" w:eastAsia="仿宋_GB2312" w:hAnsi="Times New Roman"/>
          <w:sz w:val="32"/>
          <w:szCs w:val="32"/>
        </w:rPr>
        <w:t>分别给出</w:t>
      </w:r>
      <w:r w:rsidR="000E61D4">
        <w:rPr>
          <w:rFonts w:ascii="Times New Roman" w:eastAsia="仿宋_GB2312" w:hAnsi="Times New Roman" w:hint="eastAsia"/>
          <w:sz w:val="32"/>
          <w:szCs w:val="32"/>
        </w:rPr>
        <w:t>性能</w:t>
      </w:r>
      <w:r>
        <w:rPr>
          <w:rFonts w:ascii="Times New Roman" w:eastAsia="仿宋_GB2312" w:hAnsi="Times New Roman"/>
          <w:sz w:val="32"/>
          <w:szCs w:val="32"/>
        </w:rPr>
        <w:t>指标要求并检测。</w:t>
      </w:r>
    </w:p>
    <w:p w14:paraId="6943D97D" w14:textId="77777777" w:rsidR="000968B5" w:rsidRPr="008B6261" w:rsidRDefault="00F967A3"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4</w:t>
      </w:r>
      <w:r w:rsidR="000968B5" w:rsidRPr="008B6261">
        <w:rPr>
          <w:rFonts w:ascii="Times New Roman" w:eastAsia="仿宋_GB2312" w:hAnsi="Times New Roman"/>
          <w:color w:val="000000"/>
          <w:sz w:val="32"/>
          <w:szCs w:val="32"/>
        </w:rPr>
        <w:t>.</w:t>
      </w:r>
      <w:r w:rsidR="000968B5" w:rsidRPr="008B6261">
        <w:rPr>
          <w:rFonts w:ascii="Times New Roman" w:eastAsia="仿宋_GB2312" w:hAnsi="Times New Roman"/>
          <w:color w:val="000000"/>
          <w:sz w:val="32"/>
          <w:szCs w:val="32"/>
        </w:rPr>
        <w:t>研究资料</w:t>
      </w:r>
    </w:p>
    <w:p w14:paraId="6AFB732A" w14:textId="0E045135" w:rsidR="00052AC7" w:rsidRPr="008B6261" w:rsidRDefault="006F6FBA"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w:t>
      </w:r>
      <w:r w:rsidRPr="008B6261">
        <w:rPr>
          <w:rFonts w:ascii="Times New Roman" w:eastAsia="仿宋_GB2312" w:hAnsi="Times New Roman"/>
          <w:color w:val="000000"/>
          <w:sz w:val="32"/>
          <w:szCs w:val="32"/>
        </w:rPr>
        <w:t>1</w:t>
      </w:r>
      <w:r w:rsidRPr="008B6261">
        <w:rPr>
          <w:rFonts w:ascii="Times New Roman" w:eastAsia="仿宋_GB2312" w:hAnsi="Times New Roman"/>
          <w:color w:val="000000"/>
          <w:sz w:val="32"/>
          <w:szCs w:val="32"/>
        </w:rPr>
        <w:t>）</w:t>
      </w:r>
      <w:r w:rsidR="0095168E" w:rsidRPr="008B6261">
        <w:rPr>
          <w:rFonts w:ascii="Times New Roman" w:eastAsia="仿宋_GB2312" w:hAnsi="Times New Roman"/>
          <w:color w:val="000000"/>
          <w:sz w:val="32"/>
          <w:szCs w:val="32"/>
        </w:rPr>
        <w:t>性</w:t>
      </w:r>
      <w:r w:rsidR="00E163A4" w:rsidRPr="008B6261">
        <w:rPr>
          <w:rFonts w:ascii="Times New Roman" w:eastAsia="仿宋_GB2312" w:hAnsi="Times New Roman"/>
          <w:color w:val="000000"/>
          <w:sz w:val="32"/>
          <w:szCs w:val="32"/>
        </w:rPr>
        <w:t>能</w:t>
      </w:r>
      <w:r w:rsidR="00072537" w:rsidRPr="008B6261">
        <w:rPr>
          <w:rFonts w:ascii="Times New Roman" w:eastAsia="仿宋_GB2312" w:hAnsi="Times New Roman"/>
          <w:color w:val="000000"/>
          <w:sz w:val="32"/>
          <w:szCs w:val="32"/>
        </w:rPr>
        <w:t>研究</w:t>
      </w:r>
      <w:r w:rsidR="00E163A4" w:rsidRPr="008B6261">
        <w:rPr>
          <w:rFonts w:ascii="Times New Roman" w:eastAsia="仿宋_GB2312" w:hAnsi="Times New Roman"/>
          <w:color w:val="000000"/>
          <w:sz w:val="32"/>
          <w:szCs w:val="32"/>
        </w:rPr>
        <w:t>：</w:t>
      </w:r>
    </w:p>
    <w:p w14:paraId="4B7DFB88" w14:textId="0AA83E33" w:rsidR="00E163A4" w:rsidRPr="004470FC" w:rsidRDefault="004470FC" w:rsidP="004470FC">
      <w:pPr>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详细说明</w:t>
      </w:r>
      <w:r w:rsidRPr="008B6261">
        <w:rPr>
          <w:rFonts w:ascii="Times New Roman" w:eastAsia="仿宋_GB2312" w:hAnsi="Times New Roman"/>
          <w:color w:val="000000"/>
          <w:sz w:val="32"/>
          <w:szCs w:val="32"/>
        </w:rPr>
        <w:t>产品各项性能指标的制定依据，提交相应的性能研究资料。</w:t>
      </w:r>
    </w:p>
    <w:p w14:paraId="5C8911D6" w14:textId="77777777" w:rsidR="009F4FF2" w:rsidRDefault="002B6BFF" w:rsidP="009F4FF2">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w:t>
      </w:r>
      <w:r w:rsidRPr="008B6261">
        <w:rPr>
          <w:rFonts w:ascii="Times New Roman" w:eastAsia="仿宋_GB2312" w:hAnsi="Times New Roman"/>
          <w:color w:val="000000"/>
          <w:sz w:val="32"/>
          <w:szCs w:val="32"/>
        </w:rPr>
        <w:t>2</w:t>
      </w:r>
      <w:r w:rsidRPr="008B6261">
        <w:rPr>
          <w:rFonts w:ascii="Times New Roman" w:eastAsia="仿宋_GB2312" w:hAnsi="Times New Roman"/>
          <w:color w:val="000000"/>
          <w:sz w:val="32"/>
          <w:szCs w:val="32"/>
        </w:rPr>
        <w:t>）联合使用：</w:t>
      </w:r>
    </w:p>
    <w:p w14:paraId="03A9991C" w14:textId="27B4DC0F" w:rsidR="00103E0D" w:rsidRPr="008B6261" w:rsidRDefault="007322DC" w:rsidP="00642211">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明确联合使用的动态心电图设备</w:t>
      </w:r>
      <w:r w:rsidR="009F4FF2">
        <w:rPr>
          <w:rFonts w:ascii="Times New Roman" w:eastAsia="仿宋_GB2312" w:hAnsi="Times New Roman" w:hint="eastAsia"/>
          <w:color w:val="000000"/>
          <w:sz w:val="32"/>
          <w:szCs w:val="32"/>
        </w:rPr>
        <w:t>信息，提供</w:t>
      </w:r>
      <w:r w:rsidR="009F4FF2" w:rsidRPr="009F4FF2">
        <w:rPr>
          <w:rFonts w:ascii="Times New Roman" w:eastAsia="仿宋_GB2312" w:hAnsi="Times New Roman" w:hint="eastAsia"/>
          <w:color w:val="000000"/>
          <w:sz w:val="32"/>
          <w:szCs w:val="32"/>
        </w:rPr>
        <w:t>证明联合使用安全有效的研究资料，包括互联基本信息（连接类型、接口、</w:t>
      </w:r>
      <w:r w:rsidR="009F4FF2" w:rsidRPr="00553FB0">
        <w:rPr>
          <w:rFonts w:ascii="Times New Roman" w:eastAsia="仿宋_GB2312" w:hAnsi="Times New Roman" w:hint="eastAsia"/>
          <w:color w:val="000000" w:themeColor="text1"/>
          <w:sz w:val="32"/>
          <w:szCs w:val="32"/>
        </w:rPr>
        <w:t>协议</w:t>
      </w:r>
      <w:r w:rsidR="009F4FF2" w:rsidRPr="009F4FF2">
        <w:rPr>
          <w:rFonts w:ascii="Times New Roman" w:eastAsia="仿宋_GB2312" w:hAnsi="Times New Roman" w:hint="eastAsia"/>
          <w:color w:val="000000"/>
          <w:sz w:val="32"/>
          <w:szCs w:val="32"/>
        </w:rPr>
        <w:t>、最低性能）、联合使用风险及控制措施、联合使用上的限制，兼容性研究等。</w:t>
      </w:r>
    </w:p>
    <w:p w14:paraId="735476D9" w14:textId="7BF93072" w:rsidR="00EE03F4" w:rsidRDefault="00E163A4"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w:t>
      </w:r>
      <w:r w:rsidR="002B6BFF" w:rsidRPr="008B6261">
        <w:rPr>
          <w:rFonts w:ascii="Times New Roman" w:eastAsia="仿宋_GB2312" w:hAnsi="Times New Roman"/>
          <w:color w:val="000000"/>
          <w:sz w:val="32"/>
          <w:szCs w:val="32"/>
        </w:rPr>
        <w:t>3</w:t>
      </w:r>
      <w:r w:rsidRPr="008B6261">
        <w:rPr>
          <w:rFonts w:ascii="Times New Roman" w:eastAsia="仿宋_GB2312" w:hAnsi="Times New Roman"/>
          <w:color w:val="000000"/>
          <w:sz w:val="32"/>
          <w:szCs w:val="32"/>
        </w:rPr>
        <w:t>）</w:t>
      </w:r>
      <w:r w:rsidR="009F4FF2">
        <w:rPr>
          <w:rFonts w:ascii="Times New Roman" w:eastAsia="仿宋_GB2312" w:hAnsi="Times New Roman" w:hint="eastAsia"/>
          <w:color w:val="000000"/>
          <w:sz w:val="32"/>
          <w:szCs w:val="32"/>
        </w:rPr>
        <w:t>软件研究：</w:t>
      </w:r>
    </w:p>
    <w:p w14:paraId="21C47FD9" w14:textId="188981C8" w:rsidR="009F4FF2" w:rsidRPr="008B6261" w:rsidRDefault="009F4FF2" w:rsidP="00AB740F">
      <w:pPr>
        <w:snapToGrid w:val="0"/>
        <w:spacing w:line="520" w:lineRule="exact"/>
        <w:ind w:firstLineChars="200" w:firstLine="640"/>
        <w:rPr>
          <w:rFonts w:ascii="Times New Roman" w:eastAsia="仿宋_GB2312" w:hAnsi="Times New Roman"/>
          <w:color w:val="000000"/>
          <w:sz w:val="32"/>
          <w:szCs w:val="32"/>
        </w:rPr>
      </w:pPr>
      <w:r w:rsidRPr="009F4FF2">
        <w:rPr>
          <w:rFonts w:ascii="Times New Roman" w:eastAsia="仿宋_GB2312" w:hAnsi="Times New Roman" w:hint="eastAsia"/>
          <w:color w:val="000000"/>
          <w:sz w:val="32"/>
          <w:szCs w:val="32"/>
        </w:rPr>
        <w:t>按照《医疗器械软件注册审查指导原则》（</w:t>
      </w:r>
      <w:r w:rsidRPr="009F4FF2">
        <w:rPr>
          <w:rFonts w:ascii="Times New Roman" w:eastAsia="仿宋_GB2312" w:hAnsi="Times New Roman"/>
          <w:color w:val="000000"/>
          <w:sz w:val="32"/>
          <w:szCs w:val="32"/>
        </w:rPr>
        <w:t>2022</w:t>
      </w:r>
      <w:r w:rsidRPr="009F4FF2">
        <w:rPr>
          <w:rFonts w:ascii="Times New Roman" w:eastAsia="仿宋_GB2312" w:hAnsi="Times New Roman"/>
          <w:color w:val="000000"/>
          <w:sz w:val="32"/>
          <w:szCs w:val="32"/>
        </w:rPr>
        <w:t>年修订版）、《医疗器械网络安全注册审查指导原则》（</w:t>
      </w:r>
      <w:r w:rsidRPr="009F4FF2">
        <w:rPr>
          <w:rFonts w:ascii="Times New Roman" w:eastAsia="仿宋_GB2312" w:hAnsi="Times New Roman"/>
          <w:color w:val="000000"/>
          <w:sz w:val="32"/>
          <w:szCs w:val="32"/>
        </w:rPr>
        <w:t>2022</w:t>
      </w:r>
      <w:r>
        <w:rPr>
          <w:rFonts w:ascii="Times New Roman" w:eastAsia="仿宋_GB2312" w:hAnsi="Times New Roman"/>
          <w:color w:val="000000"/>
          <w:sz w:val="32"/>
          <w:szCs w:val="32"/>
        </w:rPr>
        <w:t>年修订版）</w:t>
      </w:r>
      <w:r w:rsidRPr="009F4FF2">
        <w:rPr>
          <w:rFonts w:ascii="Times New Roman" w:eastAsia="仿宋_GB2312" w:hAnsi="Times New Roman"/>
          <w:color w:val="000000"/>
          <w:sz w:val="32"/>
          <w:szCs w:val="32"/>
        </w:rPr>
        <w:t>，提交研究资料。软件安全性级别一般定义为严重级别（</w:t>
      </w:r>
      <w:r w:rsidRPr="009F4FF2">
        <w:rPr>
          <w:rFonts w:ascii="Times New Roman" w:eastAsia="仿宋_GB2312" w:hAnsi="Times New Roman"/>
          <w:color w:val="000000"/>
          <w:sz w:val="32"/>
          <w:szCs w:val="32"/>
        </w:rPr>
        <w:t>C</w:t>
      </w:r>
      <w:r w:rsidRPr="009F4FF2">
        <w:rPr>
          <w:rFonts w:ascii="Times New Roman" w:eastAsia="仿宋_GB2312" w:hAnsi="Times New Roman"/>
          <w:color w:val="000000"/>
          <w:sz w:val="32"/>
          <w:szCs w:val="32"/>
        </w:rPr>
        <w:t>级）。明确软件发布版本号。提交的研究资料主要包含软件研究资料（包括</w:t>
      </w:r>
      <w:r w:rsidRPr="009F4FF2">
        <w:rPr>
          <w:rFonts w:ascii="Times New Roman" w:eastAsia="仿宋_GB2312" w:hAnsi="Times New Roman"/>
          <w:color w:val="000000"/>
          <w:sz w:val="32"/>
          <w:szCs w:val="32"/>
        </w:rPr>
        <w:t>GB/T 25000.51</w:t>
      </w:r>
      <w:r w:rsidRPr="009F4FF2">
        <w:rPr>
          <w:rFonts w:ascii="Times New Roman" w:eastAsia="仿宋_GB2312" w:hAnsi="Times New Roman"/>
          <w:color w:val="000000"/>
          <w:sz w:val="32"/>
          <w:szCs w:val="32"/>
        </w:rPr>
        <w:t>自测报告和外部软件环境评估报告）、网络安全研究资料</w:t>
      </w:r>
      <w:r w:rsidR="00D3480C">
        <w:rPr>
          <w:rFonts w:ascii="Times New Roman" w:eastAsia="仿宋_GB2312" w:hAnsi="Times New Roman" w:hint="eastAsia"/>
          <w:color w:val="000000"/>
          <w:sz w:val="32"/>
          <w:szCs w:val="32"/>
        </w:rPr>
        <w:t>，其中私有传输协议应</w:t>
      </w:r>
      <w:r w:rsidR="00D3480C" w:rsidRPr="00D3480C">
        <w:rPr>
          <w:rFonts w:ascii="Times New Roman" w:eastAsia="仿宋_GB2312" w:hAnsi="Times New Roman" w:hint="eastAsia"/>
          <w:color w:val="000000"/>
          <w:sz w:val="32"/>
          <w:szCs w:val="32"/>
        </w:rPr>
        <w:t>提供完整性测试总结报告</w:t>
      </w:r>
      <w:r w:rsidRPr="009F4FF2">
        <w:rPr>
          <w:rFonts w:ascii="Times New Roman" w:eastAsia="仿宋_GB2312" w:hAnsi="Times New Roman"/>
          <w:color w:val="000000"/>
          <w:sz w:val="32"/>
          <w:szCs w:val="32"/>
        </w:rPr>
        <w:t>。研究资料内容应涵盖申报产品适用范围中描述的全部内容。</w:t>
      </w:r>
    </w:p>
    <w:p w14:paraId="0A6053C1" w14:textId="6BF99BB7" w:rsidR="00482E81" w:rsidRPr="008B6261" w:rsidRDefault="00482E81"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lastRenderedPageBreak/>
        <w:t>（</w:t>
      </w:r>
      <w:r w:rsidRPr="008B6261">
        <w:rPr>
          <w:rFonts w:ascii="Times New Roman" w:eastAsia="仿宋_GB2312" w:hAnsi="Times New Roman"/>
          <w:color w:val="000000"/>
          <w:sz w:val="32"/>
          <w:szCs w:val="32"/>
        </w:rPr>
        <w:t>4</w:t>
      </w:r>
      <w:r w:rsidRPr="008B6261">
        <w:rPr>
          <w:rFonts w:ascii="Times New Roman" w:eastAsia="仿宋_GB2312" w:hAnsi="Times New Roman"/>
          <w:color w:val="000000"/>
          <w:sz w:val="32"/>
          <w:szCs w:val="32"/>
        </w:rPr>
        <w:t>）</w:t>
      </w:r>
      <w:r w:rsidR="009F4FF2">
        <w:rPr>
          <w:rFonts w:ascii="Times New Roman" w:eastAsia="仿宋_GB2312" w:hAnsi="Times New Roman" w:hint="eastAsia"/>
          <w:color w:val="000000"/>
          <w:sz w:val="32"/>
          <w:szCs w:val="32"/>
        </w:rPr>
        <w:t>算法研究资料</w:t>
      </w:r>
    </w:p>
    <w:p w14:paraId="2C79BC66" w14:textId="0E766694" w:rsidR="007136A7" w:rsidRDefault="009F4FF2" w:rsidP="00AB740F">
      <w:pPr>
        <w:snapToGrid w:val="0"/>
        <w:spacing w:line="520" w:lineRule="exact"/>
        <w:ind w:firstLineChars="200" w:firstLine="640"/>
        <w:rPr>
          <w:rFonts w:ascii="Times New Roman" w:eastAsia="仿宋_GB2312" w:hAnsi="Times New Roman"/>
          <w:sz w:val="32"/>
          <w:szCs w:val="32"/>
        </w:rPr>
      </w:pPr>
      <w:r w:rsidRPr="00826CD4">
        <w:rPr>
          <w:rFonts w:ascii="Times New Roman" w:eastAsia="仿宋_GB2312" w:hAnsi="Times New Roman"/>
          <w:sz w:val="32"/>
          <w:szCs w:val="32"/>
        </w:rPr>
        <w:t>根据《人工智能医疗器械注册审查指导原则》提交</w:t>
      </w:r>
      <w:r w:rsidRPr="00826CD4">
        <w:rPr>
          <w:rFonts w:ascii="Times New Roman" w:eastAsia="仿宋_GB2312" w:hAnsi="Times New Roman" w:hint="eastAsia"/>
          <w:sz w:val="32"/>
          <w:szCs w:val="32"/>
        </w:rPr>
        <w:t>算法研究资料。提交每个人工智能算法或算法组合的算法研究报告。</w:t>
      </w:r>
    </w:p>
    <w:p w14:paraId="7C550796" w14:textId="77777777" w:rsidR="009F4FF2" w:rsidRPr="009F4FF2" w:rsidRDefault="009F4FF2" w:rsidP="009F4FF2">
      <w:pPr>
        <w:snapToGrid w:val="0"/>
        <w:spacing w:line="520" w:lineRule="exact"/>
        <w:ind w:firstLineChars="200" w:firstLine="640"/>
        <w:rPr>
          <w:rFonts w:ascii="Times New Roman" w:eastAsia="仿宋_GB2312" w:hAnsi="Times New Roman"/>
          <w:color w:val="000000"/>
          <w:sz w:val="32"/>
          <w:szCs w:val="32"/>
        </w:rPr>
      </w:pPr>
      <w:r w:rsidRPr="009F4FF2">
        <w:rPr>
          <w:rFonts w:ascii="Times New Roman" w:eastAsia="仿宋_GB2312" w:hAnsi="Times New Roman" w:hint="eastAsia"/>
          <w:color w:val="000000"/>
          <w:sz w:val="32"/>
          <w:szCs w:val="32"/>
        </w:rPr>
        <w:t>其中，数据采集应明确数据采集的设备要求（包含型号、名称、制造商、采样率、分辨率、导联等）、数据采集质量要求（包括采样频率、干扰片段时长占比、动态心电信号的清晰度和干净程度等）、采集过程、数据脱敏、数据转移等要求。采集过程应对样本数据进行编号并加密，方案中应包含编号规则。数据应来源于不同地域的不少于</w:t>
      </w:r>
      <w:r w:rsidRPr="009F4FF2">
        <w:rPr>
          <w:rFonts w:ascii="Times New Roman" w:eastAsia="仿宋_GB2312" w:hAnsi="Times New Roman"/>
          <w:color w:val="000000"/>
          <w:sz w:val="32"/>
          <w:szCs w:val="32"/>
        </w:rPr>
        <w:t>3</w:t>
      </w:r>
      <w:r w:rsidRPr="009F4FF2">
        <w:rPr>
          <w:rFonts w:ascii="Times New Roman" w:eastAsia="仿宋_GB2312" w:hAnsi="Times New Roman"/>
          <w:color w:val="000000"/>
          <w:sz w:val="32"/>
          <w:szCs w:val="32"/>
        </w:rPr>
        <w:t>家机构。机构应采用软件说明书明确的心电信号采集流程和配套的心电设备获得的符合要求的数据。</w:t>
      </w:r>
    </w:p>
    <w:p w14:paraId="6510F043" w14:textId="009A503F" w:rsidR="009F4FF2" w:rsidRPr="009F4FF2" w:rsidRDefault="009F4FF2" w:rsidP="009F4FF2">
      <w:pPr>
        <w:snapToGrid w:val="0"/>
        <w:spacing w:line="520" w:lineRule="exact"/>
        <w:ind w:firstLineChars="200" w:firstLine="640"/>
        <w:rPr>
          <w:rFonts w:ascii="Times New Roman" w:eastAsia="仿宋_GB2312" w:hAnsi="Times New Roman"/>
          <w:color w:val="000000"/>
          <w:sz w:val="32"/>
          <w:szCs w:val="32"/>
        </w:rPr>
      </w:pPr>
      <w:r w:rsidRPr="009F4FF2">
        <w:rPr>
          <w:rFonts w:ascii="Times New Roman" w:eastAsia="仿宋_GB2312" w:hAnsi="Times New Roman" w:hint="eastAsia"/>
          <w:color w:val="000000"/>
          <w:sz w:val="32"/>
          <w:szCs w:val="32"/>
        </w:rPr>
        <w:t>数据分布应科学合理，考虑包括但不限于疾病构成（如窦性心动过速、窦性心动过缓、房性期前收缩）、人群分布（如高危人群、性别、年龄）等情况。</w:t>
      </w:r>
    </w:p>
    <w:p w14:paraId="6F49F169" w14:textId="5F36CB91" w:rsidR="009F4FF2" w:rsidRDefault="009F4FF2" w:rsidP="009F4FF2">
      <w:pPr>
        <w:snapToGrid w:val="0"/>
        <w:spacing w:line="520" w:lineRule="exact"/>
        <w:ind w:firstLineChars="200" w:firstLine="640"/>
        <w:rPr>
          <w:rFonts w:ascii="Times New Roman" w:eastAsia="仿宋_GB2312" w:hAnsi="Times New Roman"/>
          <w:color w:val="000000"/>
          <w:sz w:val="32"/>
          <w:szCs w:val="32"/>
        </w:rPr>
      </w:pPr>
      <w:r w:rsidRPr="009F4FF2">
        <w:rPr>
          <w:rFonts w:ascii="Times New Roman" w:eastAsia="仿宋_GB2312" w:hAnsi="Times New Roman" w:hint="eastAsia"/>
          <w:color w:val="000000"/>
          <w:sz w:val="32"/>
          <w:szCs w:val="32"/>
        </w:rPr>
        <w:t>数据集构建方面，应从病例的层次明确各数据集划分的方法及依据。训练集应当保证样本分布具有均衡性，训练样本应涵盖不同病理类型。调优集应保证样本分布符合临床实际情况，如阳性比例，不同病理类型比例、不同临床分型比例等均应符合临床实际情况。对于数据集的充分性均应给出合理依据。</w:t>
      </w:r>
    </w:p>
    <w:p w14:paraId="599E78F9" w14:textId="540F8DB6" w:rsidR="007136A7" w:rsidRPr="008B6261" w:rsidRDefault="009F4FF2" w:rsidP="009F4FF2">
      <w:pPr>
        <w:snapToGrid w:val="0"/>
        <w:spacing w:line="520" w:lineRule="exact"/>
        <w:ind w:firstLineChars="200" w:firstLine="640"/>
        <w:rPr>
          <w:rFonts w:ascii="Times New Roman" w:eastAsia="仿宋_GB2312" w:hAnsi="Times New Roman"/>
          <w:color w:val="000000"/>
          <w:sz w:val="32"/>
          <w:szCs w:val="32"/>
        </w:rPr>
      </w:pPr>
      <w:r w:rsidRPr="00826CD4">
        <w:rPr>
          <w:rFonts w:ascii="Times New Roman" w:eastAsia="仿宋_GB2312" w:hAnsi="Times New Roman"/>
          <w:sz w:val="32"/>
          <w:szCs w:val="32"/>
        </w:rPr>
        <w:t>算法</w:t>
      </w:r>
      <w:r w:rsidRPr="00826CD4">
        <w:rPr>
          <w:rFonts w:ascii="Times New Roman" w:eastAsia="仿宋_GB2312" w:hAnsi="Times New Roman" w:hint="eastAsia"/>
          <w:sz w:val="32"/>
          <w:szCs w:val="32"/>
        </w:rPr>
        <w:t>性能评估</w:t>
      </w:r>
      <w:r>
        <w:rPr>
          <w:rFonts w:ascii="Times New Roman" w:eastAsia="仿宋_GB2312" w:hAnsi="Times New Roman" w:hint="eastAsia"/>
          <w:sz w:val="32"/>
          <w:szCs w:val="32"/>
        </w:rPr>
        <w:t>方面，</w:t>
      </w:r>
      <w:r w:rsidRPr="00826CD4">
        <w:rPr>
          <w:rFonts w:eastAsia="仿宋_GB2312" w:hint="eastAsia"/>
          <w:sz w:val="32"/>
          <w:szCs w:val="32"/>
        </w:rPr>
        <w:t>应</w:t>
      </w:r>
      <w:r w:rsidR="003C6237">
        <w:rPr>
          <w:rFonts w:eastAsia="仿宋_GB2312" w:hint="eastAsia"/>
          <w:sz w:val="32"/>
          <w:szCs w:val="32"/>
        </w:rPr>
        <w:t>进行</w:t>
      </w:r>
      <w:r w:rsidRPr="00826CD4">
        <w:rPr>
          <w:rFonts w:eastAsia="仿宋_GB2312"/>
          <w:sz w:val="32"/>
          <w:szCs w:val="32"/>
        </w:rPr>
        <w:t>泛化能力的测试、压力测试</w:t>
      </w:r>
      <w:r w:rsidRPr="00826CD4">
        <w:rPr>
          <w:rFonts w:eastAsia="仿宋_GB2312" w:hint="eastAsia"/>
          <w:sz w:val="32"/>
          <w:szCs w:val="32"/>
        </w:rPr>
        <w:t>（指采用罕见或特殊的真实数据样本开展的算法性能测试）</w:t>
      </w:r>
      <w:r w:rsidRPr="00826CD4">
        <w:rPr>
          <w:rFonts w:eastAsia="仿宋_GB2312"/>
          <w:sz w:val="32"/>
          <w:szCs w:val="32"/>
        </w:rPr>
        <w:t>、对抗测试、重复性与再现性测试、敏感性与特异性测试、分析效率测试、算法性能影响因素分析</w:t>
      </w:r>
      <w:r w:rsidR="003C333F" w:rsidRPr="00DA5954">
        <w:rPr>
          <w:rFonts w:eastAsia="仿宋_GB2312" w:hint="eastAsia"/>
          <w:sz w:val="32"/>
          <w:szCs w:val="32"/>
        </w:rPr>
        <w:t>（如信号采集</w:t>
      </w:r>
      <w:r w:rsidR="004C5588" w:rsidRPr="00DA5954">
        <w:rPr>
          <w:rFonts w:eastAsia="仿宋_GB2312" w:hint="eastAsia"/>
          <w:sz w:val="32"/>
          <w:szCs w:val="32"/>
        </w:rPr>
        <w:t>设备</w:t>
      </w:r>
      <w:r w:rsidR="003C333F" w:rsidRPr="00DA5954">
        <w:rPr>
          <w:rFonts w:eastAsia="仿宋_GB2312" w:hint="eastAsia"/>
          <w:sz w:val="32"/>
          <w:szCs w:val="32"/>
        </w:rPr>
        <w:t>、疾病类型及特征等）</w:t>
      </w:r>
      <w:r w:rsidR="003C333F">
        <w:rPr>
          <w:rFonts w:eastAsia="仿宋_GB2312" w:hint="eastAsia"/>
          <w:sz w:val="32"/>
          <w:szCs w:val="32"/>
        </w:rPr>
        <w:t>、性能评估结果比较分析</w:t>
      </w:r>
      <w:r w:rsidRPr="00826CD4">
        <w:rPr>
          <w:rFonts w:eastAsia="仿宋_GB2312"/>
          <w:sz w:val="32"/>
          <w:szCs w:val="32"/>
        </w:rPr>
        <w:t>等研究。</w:t>
      </w:r>
      <w:r w:rsidRPr="00826CD4">
        <w:rPr>
          <w:rFonts w:ascii="Times New Roman" w:eastAsia="仿宋_GB2312" w:hAnsi="Times New Roman" w:hint="eastAsia"/>
          <w:sz w:val="32"/>
          <w:szCs w:val="32"/>
        </w:rPr>
        <w:t>明确性</w:t>
      </w:r>
      <w:r w:rsidRPr="00826CD4">
        <w:rPr>
          <w:rFonts w:ascii="Times New Roman" w:eastAsia="仿宋_GB2312" w:hAnsi="Times New Roman" w:hint="eastAsia"/>
          <w:sz w:val="32"/>
          <w:szCs w:val="32"/>
        </w:rPr>
        <w:lastRenderedPageBreak/>
        <w:t>能评估的可接受标准和标准制定依据。提交测试报告和心电信号的图示例。</w:t>
      </w:r>
    </w:p>
    <w:p w14:paraId="2F93C6CB" w14:textId="77777777" w:rsidR="000968B5" w:rsidRPr="008B6261" w:rsidRDefault="000968B5" w:rsidP="00AB740F">
      <w:pPr>
        <w:snapToGrid w:val="0"/>
        <w:spacing w:line="520" w:lineRule="exact"/>
        <w:ind w:firstLineChars="200" w:firstLine="640"/>
        <w:rPr>
          <w:rFonts w:ascii="Times New Roman" w:eastAsia="楷体_GB2312" w:hAnsi="Times New Roman"/>
          <w:color w:val="000000"/>
          <w:sz w:val="32"/>
          <w:szCs w:val="32"/>
        </w:rPr>
      </w:pPr>
      <w:r w:rsidRPr="008B6261">
        <w:rPr>
          <w:rFonts w:ascii="Times New Roman" w:eastAsia="仿宋_GB2312" w:hAnsi="Times New Roman"/>
          <w:color w:val="000000"/>
          <w:sz w:val="32"/>
          <w:szCs w:val="32"/>
        </w:rPr>
        <w:t>（</w:t>
      </w:r>
      <w:r w:rsidR="00EE03F4" w:rsidRPr="008B6261">
        <w:rPr>
          <w:rFonts w:ascii="Times New Roman" w:eastAsia="楷体_GB2312" w:hAnsi="Times New Roman"/>
          <w:color w:val="000000"/>
          <w:sz w:val="32"/>
          <w:szCs w:val="32"/>
        </w:rPr>
        <w:t>四</w:t>
      </w:r>
      <w:r w:rsidRPr="008B6261">
        <w:rPr>
          <w:rFonts w:ascii="Times New Roman" w:eastAsia="楷体_GB2312" w:hAnsi="Times New Roman"/>
          <w:color w:val="000000"/>
          <w:sz w:val="32"/>
          <w:szCs w:val="32"/>
        </w:rPr>
        <w:t>）产品说明书和标签样稿</w:t>
      </w:r>
    </w:p>
    <w:p w14:paraId="22BD6A8B" w14:textId="77777777" w:rsidR="00A21938" w:rsidRDefault="00E437CC" w:rsidP="00A21938">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说明书应符合《医疗器械说明书和标签管理规定》相关要求。</w:t>
      </w:r>
    </w:p>
    <w:p w14:paraId="128D84CA" w14:textId="1C8E6DE1" w:rsidR="00C60C3D" w:rsidRPr="00A21938" w:rsidRDefault="00A21938" w:rsidP="00C00896">
      <w:pPr>
        <w:snapToGrid w:val="0"/>
        <w:spacing w:line="520" w:lineRule="exact"/>
        <w:ind w:firstLineChars="200" w:firstLine="640"/>
        <w:rPr>
          <w:rFonts w:ascii="Times New Roman" w:eastAsia="仿宋_GB2312" w:hAnsi="Times New Roman"/>
          <w:color w:val="000000"/>
          <w:sz w:val="32"/>
          <w:szCs w:val="32"/>
        </w:rPr>
      </w:pPr>
      <w:r w:rsidRPr="00A21938">
        <w:rPr>
          <w:rFonts w:ascii="Times New Roman" w:eastAsia="仿宋_GB2312" w:hAnsi="Times New Roman" w:hint="eastAsia"/>
          <w:color w:val="000000"/>
          <w:sz w:val="32"/>
          <w:szCs w:val="32"/>
        </w:rPr>
        <w:t>明确该产品适用范围，明确产品</w:t>
      </w:r>
      <w:r w:rsidR="00C00896">
        <w:rPr>
          <w:rFonts w:ascii="Times New Roman" w:eastAsia="仿宋_GB2312" w:hAnsi="Times New Roman" w:hint="eastAsia"/>
          <w:color w:val="000000"/>
          <w:sz w:val="32"/>
          <w:szCs w:val="32"/>
        </w:rPr>
        <w:t>经验证</w:t>
      </w:r>
      <w:r w:rsidRPr="00A21938">
        <w:rPr>
          <w:rFonts w:ascii="Times New Roman" w:eastAsia="仿宋_GB2312" w:hAnsi="Times New Roman" w:hint="eastAsia"/>
          <w:color w:val="000000"/>
          <w:sz w:val="32"/>
          <w:szCs w:val="32"/>
        </w:rPr>
        <w:t>的</w:t>
      </w:r>
      <w:r w:rsidR="00C00896">
        <w:rPr>
          <w:rFonts w:ascii="Times New Roman" w:eastAsia="仿宋_GB2312" w:hAnsi="Times New Roman" w:hint="eastAsia"/>
          <w:color w:val="000000"/>
          <w:sz w:val="32"/>
          <w:szCs w:val="32"/>
        </w:rPr>
        <w:t>动态心电图设备</w:t>
      </w:r>
      <w:r w:rsidRPr="00A21938">
        <w:rPr>
          <w:rFonts w:ascii="Times New Roman" w:eastAsia="仿宋_GB2312" w:hAnsi="Times New Roman" w:hint="eastAsia"/>
          <w:color w:val="000000"/>
          <w:sz w:val="32"/>
          <w:szCs w:val="32"/>
        </w:rPr>
        <w:t>的名称和型号、参数及心电信号质量。明确软件报告内容。对产品带来的假阳</w:t>
      </w:r>
      <w:r w:rsidRPr="00A21938">
        <w:rPr>
          <w:rFonts w:ascii="Times New Roman" w:eastAsia="仿宋_GB2312" w:hAnsi="Times New Roman"/>
          <w:color w:val="000000"/>
          <w:sz w:val="32"/>
          <w:szCs w:val="32"/>
        </w:rPr>
        <w:t>/</w:t>
      </w:r>
      <w:r w:rsidRPr="00A21938">
        <w:rPr>
          <w:rFonts w:ascii="Times New Roman" w:eastAsia="仿宋_GB2312" w:hAnsi="Times New Roman"/>
          <w:color w:val="000000"/>
          <w:sz w:val="32"/>
          <w:szCs w:val="32"/>
        </w:rPr>
        <w:t>假阴性风险进行提示。</w:t>
      </w:r>
    </w:p>
    <w:p w14:paraId="53ADF87E" w14:textId="0E60EE57" w:rsidR="00103E0D" w:rsidRPr="008B6261" w:rsidRDefault="00A21938" w:rsidP="00C60C3D">
      <w:pPr>
        <w:snapToGrid w:val="0"/>
        <w:spacing w:line="520" w:lineRule="exact"/>
        <w:ind w:firstLineChars="200" w:firstLine="640"/>
        <w:rPr>
          <w:rFonts w:ascii="Times New Roman" w:eastAsia="仿宋_GB2312" w:hAnsi="Times New Roman"/>
          <w:color w:val="000000"/>
          <w:sz w:val="32"/>
          <w:szCs w:val="32"/>
        </w:rPr>
      </w:pPr>
      <w:r w:rsidRPr="00A21938">
        <w:rPr>
          <w:rFonts w:ascii="Times New Roman" w:eastAsia="仿宋_GB2312" w:hAnsi="Times New Roman" w:hint="eastAsia"/>
          <w:color w:val="000000"/>
          <w:sz w:val="32"/>
          <w:szCs w:val="32"/>
        </w:rPr>
        <w:t>根据算法研究报告，在说明书明确产品使用限制和必要的警示提示信息。列明算法训练总结和算法性能评估总结以及临床评价总结。</w:t>
      </w:r>
    </w:p>
    <w:p w14:paraId="3AE078F2" w14:textId="0E1B68A5" w:rsidR="00390CB7" w:rsidRPr="008B6261" w:rsidRDefault="00390CB7" w:rsidP="00390CB7">
      <w:pPr>
        <w:snapToGrid w:val="0"/>
        <w:spacing w:line="520" w:lineRule="exact"/>
        <w:ind w:left="645"/>
        <w:rPr>
          <w:rFonts w:ascii="Times New Roman" w:eastAsia="黑体" w:hAnsi="Times New Roman"/>
          <w:color w:val="000000"/>
          <w:sz w:val="32"/>
          <w:szCs w:val="32"/>
        </w:rPr>
      </w:pPr>
      <w:r w:rsidRPr="008B6261">
        <w:rPr>
          <w:rFonts w:ascii="Times New Roman" w:eastAsia="黑体" w:hAnsi="Times New Roman" w:hint="eastAsia"/>
          <w:color w:val="000000"/>
          <w:sz w:val="32"/>
          <w:szCs w:val="32"/>
        </w:rPr>
        <w:t>三</w:t>
      </w:r>
      <w:r w:rsidRPr="008B6261">
        <w:rPr>
          <w:rFonts w:ascii="Times New Roman" w:eastAsia="黑体" w:hAnsi="Times New Roman"/>
          <w:color w:val="000000"/>
          <w:sz w:val="32"/>
          <w:szCs w:val="32"/>
        </w:rPr>
        <w:t>、</w:t>
      </w:r>
      <w:r w:rsidR="00087D57" w:rsidRPr="008B6261">
        <w:rPr>
          <w:rFonts w:ascii="Times New Roman" w:eastAsia="黑体" w:hAnsi="Times New Roman" w:hint="eastAsia"/>
          <w:color w:val="000000"/>
          <w:sz w:val="32"/>
          <w:szCs w:val="32"/>
        </w:rPr>
        <w:t>参考文件</w:t>
      </w:r>
    </w:p>
    <w:p w14:paraId="508CBA66" w14:textId="77777777" w:rsidR="00390CB7" w:rsidRPr="008B6261" w:rsidRDefault="00390CB7" w:rsidP="00390CB7">
      <w:pPr>
        <w:spacing w:line="520" w:lineRule="exact"/>
        <w:ind w:firstLineChars="200" w:firstLine="640"/>
        <w:jc w:val="left"/>
        <w:outlineLvl w:val="1"/>
        <w:rPr>
          <w:rFonts w:ascii="Times New Roman" w:eastAsia="楷体_GB2312" w:hAnsi="Times New Roman"/>
          <w:color w:val="000000" w:themeColor="text1"/>
          <w:sz w:val="32"/>
          <w:szCs w:val="32"/>
        </w:rPr>
      </w:pPr>
      <w:r w:rsidRPr="008B6261">
        <w:rPr>
          <w:rFonts w:ascii="Times New Roman" w:eastAsia="楷体_GB2312" w:hAnsi="Times New Roman"/>
          <w:color w:val="000000" w:themeColor="text1"/>
          <w:sz w:val="32"/>
          <w:szCs w:val="32"/>
        </w:rPr>
        <w:t>（一）申报资料要求</w:t>
      </w:r>
    </w:p>
    <w:p w14:paraId="41D7B6C4" w14:textId="5FA57827" w:rsidR="00390CB7" w:rsidRPr="008B6261" w:rsidRDefault="00390CB7" w:rsidP="00390CB7">
      <w:pPr>
        <w:spacing w:line="520" w:lineRule="exact"/>
        <w:ind w:firstLineChars="200" w:firstLine="640"/>
        <w:jc w:val="left"/>
        <w:rPr>
          <w:rFonts w:ascii="Times New Roman" w:eastAsia="仿宋_GB2312" w:hAnsi="Times New Roman"/>
          <w:color w:val="000000" w:themeColor="text1"/>
          <w:sz w:val="32"/>
          <w:szCs w:val="32"/>
        </w:rPr>
      </w:pPr>
      <w:r w:rsidRPr="008B6261">
        <w:rPr>
          <w:rFonts w:ascii="Times New Roman" w:eastAsia="仿宋_GB2312" w:hAnsi="Times New Roman"/>
          <w:color w:val="000000" w:themeColor="text1"/>
          <w:sz w:val="32"/>
          <w:szCs w:val="32"/>
        </w:rPr>
        <w:t>参照《关于公布医疗器械注册申报资料要求和批准证明文件格式的公告》</w:t>
      </w:r>
      <w:r w:rsidR="00A07758" w:rsidRPr="008B6261">
        <w:rPr>
          <w:rFonts w:ascii="Times New Roman" w:eastAsia="仿宋_GB2312" w:hAnsi="Times New Roman"/>
          <w:color w:val="000000" w:themeColor="text1"/>
          <w:sz w:val="32"/>
          <w:szCs w:val="32"/>
        </w:rPr>
        <w:t>（</w:t>
      </w:r>
      <w:r w:rsidR="00A07758" w:rsidRPr="008B6261">
        <w:rPr>
          <w:rFonts w:ascii="Times New Roman" w:eastAsia="仿宋_GB2312" w:hAnsi="Times New Roman"/>
          <w:color w:val="000000" w:themeColor="text1"/>
          <w:sz w:val="32"/>
          <w:szCs w:val="32"/>
        </w:rPr>
        <w:t>2021</w:t>
      </w:r>
      <w:r w:rsidR="00A07758" w:rsidRPr="008B6261">
        <w:rPr>
          <w:rFonts w:ascii="Times New Roman" w:eastAsia="仿宋_GB2312" w:hAnsi="Times New Roman"/>
          <w:color w:val="000000" w:themeColor="text1"/>
          <w:sz w:val="32"/>
          <w:szCs w:val="32"/>
        </w:rPr>
        <w:t>年第</w:t>
      </w:r>
      <w:r w:rsidR="00A07758" w:rsidRPr="008B6261">
        <w:rPr>
          <w:rFonts w:ascii="Times New Roman" w:eastAsia="仿宋_GB2312" w:hAnsi="Times New Roman"/>
          <w:color w:val="000000" w:themeColor="text1"/>
          <w:sz w:val="32"/>
          <w:szCs w:val="32"/>
        </w:rPr>
        <w:t>121</w:t>
      </w:r>
      <w:r w:rsidR="00A07758" w:rsidRPr="008B6261">
        <w:rPr>
          <w:rFonts w:ascii="Times New Roman" w:eastAsia="仿宋_GB2312" w:hAnsi="Times New Roman"/>
          <w:color w:val="000000" w:themeColor="text1"/>
          <w:sz w:val="32"/>
          <w:szCs w:val="32"/>
        </w:rPr>
        <w:t>号）</w:t>
      </w:r>
      <w:r w:rsidRPr="008B6261">
        <w:rPr>
          <w:rFonts w:ascii="Times New Roman" w:eastAsia="仿宋_GB2312" w:hAnsi="Times New Roman"/>
          <w:color w:val="000000" w:themeColor="text1"/>
          <w:sz w:val="32"/>
          <w:szCs w:val="32"/>
        </w:rPr>
        <w:t>提交。</w:t>
      </w:r>
    </w:p>
    <w:p w14:paraId="0B8B63A2" w14:textId="77777777" w:rsidR="00390CB7" w:rsidRPr="008B6261" w:rsidRDefault="00390CB7" w:rsidP="00390CB7">
      <w:pPr>
        <w:spacing w:line="520" w:lineRule="exact"/>
        <w:ind w:firstLineChars="200" w:firstLine="640"/>
        <w:jc w:val="left"/>
        <w:outlineLvl w:val="1"/>
        <w:rPr>
          <w:rFonts w:ascii="Times New Roman" w:eastAsia="楷体_GB2312" w:hAnsi="Times New Roman"/>
          <w:color w:val="000000" w:themeColor="text1"/>
          <w:sz w:val="32"/>
          <w:szCs w:val="32"/>
        </w:rPr>
      </w:pPr>
      <w:r w:rsidRPr="008B6261">
        <w:rPr>
          <w:rFonts w:ascii="Times New Roman" w:eastAsia="楷体_GB2312" w:hAnsi="Times New Roman"/>
          <w:color w:val="000000" w:themeColor="text1"/>
          <w:sz w:val="32"/>
          <w:szCs w:val="32"/>
        </w:rPr>
        <w:t>（二）指导原则适用情况</w:t>
      </w:r>
    </w:p>
    <w:p w14:paraId="7D79FCF0" w14:textId="2DED9C86" w:rsidR="00390CB7" w:rsidRPr="008B6261" w:rsidRDefault="00390CB7" w:rsidP="00390CB7">
      <w:pPr>
        <w:spacing w:line="520" w:lineRule="exact"/>
        <w:ind w:firstLineChars="200" w:firstLine="640"/>
        <w:jc w:val="left"/>
        <w:rPr>
          <w:rFonts w:ascii="Times New Roman" w:eastAsia="仿宋_GB2312" w:hAnsi="Times New Roman"/>
          <w:color w:val="000000" w:themeColor="text1"/>
          <w:sz w:val="32"/>
          <w:szCs w:val="32"/>
        </w:rPr>
      </w:pPr>
      <w:r w:rsidRPr="008B6261">
        <w:rPr>
          <w:rFonts w:ascii="Times New Roman" w:eastAsia="仿宋_GB2312" w:hAnsi="Times New Roman"/>
          <w:color w:val="000000" w:themeColor="text1"/>
          <w:sz w:val="32"/>
          <w:szCs w:val="32"/>
        </w:rPr>
        <w:t>见附</w:t>
      </w:r>
      <w:r w:rsidR="00A07758" w:rsidRPr="008B6261">
        <w:rPr>
          <w:rFonts w:ascii="Times New Roman" w:eastAsia="仿宋_GB2312" w:hAnsi="Times New Roman" w:hint="eastAsia"/>
          <w:color w:val="000000" w:themeColor="text1"/>
          <w:sz w:val="32"/>
          <w:szCs w:val="32"/>
        </w:rPr>
        <w:t>件</w:t>
      </w:r>
      <w:r w:rsidR="00A07758" w:rsidRPr="008B6261">
        <w:rPr>
          <w:rFonts w:ascii="Times New Roman" w:eastAsia="仿宋_GB2312" w:hAnsi="Times New Roman" w:hint="eastAsia"/>
          <w:color w:val="000000" w:themeColor="text1"/>
          <w:sz w:val="32"/>
          <w:szCs w:val="32"/>
        </w:rPr>
        <w:t>2</w:t>
      </w:r>
      <w:r w:rsidRPr="008B6261">
        <w:rPr>
          <w:rFonts w:ascii="Times New Roman" w:eastAsia="仿宋_GB2312" w:hAnsi="Times New Roman"/>
          <w:color w:val="000000" w:themeColor="text1"/>
          <w:sz w:val="32"/>
          <w:szCs w:val="32"/>
        </w:rPr>
        <w:t>。</w:t>
      </w:r>
    </w:p>
    <w:p w14:paraId="4BE98124" w14:textId="77777777" w:rsidR="00390CB7" w:rsidRPr="008B6261" w:rsidRDefault="00390CB7" w:rsidP="00390CB7">
      <w:pPr>
        <w:spacing w:line="520" w:lineRule="exact"/>
        <w:ind w:firstLineChars="200" w:firstLine="640"/>
        <w:jc w:val="left"/>
        <w:outlineLvl w:val="1"/>
        <w:rPr>
          <w:rFonts w:ascii="Times New Roman" w:eastAsia="楷体_GB2312" w:hAnsi="Times New Roman"/>
          <w:color w:val="000000" w:themeColor="text1"/>
          <w:sz w:val="32"/>
          <w:szCs w:val="32"/>
        </w:rPr>
      </w:pPr>
      <w:r w:rsidRPr="008B6261">
        <w:rPr>
          <w:rFonts w:ascii="Times New Roman" w:eastAsia="楷体_GB2312" w:hAnsi="Times New Roman"/>
          <w:color w:val="000000" w:themeColor="text1"/>
          <w:sz w:val="32"/>
          <w:szCs w:val="32"/>
        </w:rPr>
        <w:t>（三）标准适用情况</w:t>
      </w:r>
    </w:p>
    <w:p w14:paraId="53333294" w14:textId="4BEE0C67" w:rsidR="00390CB7" w:rsidRPr="008B6261" w:rsidRDefault="00390CB7" w:rsidP="00390CB7">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themeColor="text1"/>
          <w:sz w:val="32"/>
          <w:szCs w:val="32"/>
        </w:rPr>
        <w:t>见附</w:t>
      </w:r>
      <w:r w:rsidR="00A07758" w:rsidRPr="008B6261">
        <w:rPr>
          <w:rFonts w:ascii="Times New Roman" w:eastAsia="仿宋_GB2312" w:hAnsi="Times New Roman" w:hint="eastAsia"/>
          <w:color w:val="000000" w:themeColor="text1"/>
          <w:sz w:val="32"/>
          <w:szCs w:val="32"/>
        </w:rPr>
        <w:t>件</w:t>
      </w:r>
      <w:r w:rsidR="00A07758" w:rsidRPr="008B6261">
        <w:rPr>
          <w:rFonts w:ascii="Times New Roman" w:eastAsia="仿宋_GB2312" w:hAnsi="Times New Roman" w:hint="eastAsia"/>
          <w:color w:val="000000" w:themeColor="text1"/>
          <w:sz w:val="32"/>
          <w:szCs w:val="32"/>
        </w:rPr>
        <w:t>3</w:t>
      </w:r>
      <w:r w:rsidRPr="008B6261">
        <w:rPr>
          <w:rFonts w:ascii="Times New Roman" w:eastAsia="仿宋_GB2312" w:hAnsi="Times New Roman"/>
          <w:color w:val="000000" w:themeColor="text1"/>
          <w:sz w:val="32"/>
          <w:szCs w:val="32"/>
        </w:rPr>
        <w:t>。</w:t>
      </w:r>
    </w:p>
    <w:p w14:paraId="3F7653C0" w14:textId="77777777" w:rsidR="00F967A3" w:rsidRPr="008B6261" w:rsidRDefault="00F967A3" w:rsidP="00AB740F">
      <w:pPr>
        <w:widowControl/>
        <w:spacing w:line="520" w:lineRule="exact"/>
        <w:jc w:val="left"/>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br w:type="page"/>
      </w:r>
    </w:p>
    <w:p w14:paraId="161205FF" w14:textId="07882504" w:rsidR="00AB740F" w:rsidRPr="008B6261" w:rsidRDefault="00A72233" w:rsidP="00AB740F">
      <w:pPr>
        <w:spacing w:line="520" w:lineRule="exact"/>
        <w:jc w:val="left"/>
        <w:outlineLvl w:val="0"/>
        <w:rPr>
          <w:rFonts w:ascii="Times New Roman" w:eastAsia="黑体" w:hAnsi="Times New Roman"/>
          <w:color w:val="000000" w:themeColor="text1"/>
          <w:sz w:val="32"/>
          <w:szCs w:val="32"/>
        </w:rPr>
      </w:pPr>
      <w:r w:rsidRPr="008B6261">
        <w:rPr>
          <w:rFonts w:ascii="Times New Roman" w:eastAsia="黑体" w:hAnsi="Times New Roman"/>
          <w:color w:val="000000" w:themeColor="text1"/>
          <w:sz w:val="32"/>
          <w:szCs w:val="32"/>
        </w:rPr>
        <w:lastRenderedPageBreak/>
        <w:t>附</w:t>
      </w:r>
      <w:r w:rsidR="00A07758" w:rsidRPr="008B6261">
        <w:rPr>
          <w:rFonts w:ascii="Times New Roman" w:eastAsia="黑体" w:hAnsi="Times New Roman" w:hint="eastAsia"/>
          <w:color w:val="000000" w:themeColor="text1"/>
          <w:sz w:val="32"/>
          <w:szCs w:val="32"/>
        </w:rPr>
        <w:t>件</w:t>
      </w:r>
      <w:r w:rsidR="00A07758" w:rsidRPr="008B6261">
        <w:rPr>
          <w:rFonts w:ascii="Times New Roman" w:eastAsia="黑体" w:hAnsi="Times New Roman" w:hint="eastAsia"/>
          <w:color w:val="000000" w:themeColor="text1"/>
          <w:sz w:val="32"/>
          <w:szCs w:val="32"/>
        </w:rPr>
        <w:t>1</w:t>
      </w:r>
    </w:p>
    <w:p w14:paraId="4C7CD4D0" w14:textId="77777777" w:rsidR="00272771" w:rsidRPr="008B6261" w:rsidRDefault="00272771" w:rsidP="00AB740F">
      <w:pPr>
        <w:spacing w:line="520" w:lineRule="exact"/>
        <w:jc w:val="left"/>
        <w:outlineLvl w:val="0"/>
        <w:rPr>
          <w:rFonts w:ascii="Times New Roman" w:eastAsia="黑体" w:hAnsi="Times New Roman"/>
          <w:color w:val="000000" w:themeColor="text1"/>
          <w:sz w:val="32"/>
          <w:szCs w:val="32"/>
        </w:rPr>
      </w:pPr>
    </w:p>
    <w:p w14:paraId="6ABE0D64" w14:textId="77777777" w:rsidR="008A11F3" w:rsidRPr="008B6261" w:rsidRDefault="008A11F3" w:rsidP="008A11F3">
      <w:pPr>
        <w:snapToGrid w:val="0"/>
        <w:spacing w:line="520" w:lineRule="exact"/>
        <w:jc w:val="center"/>
        <w:rPr>
          <w:rFonts w:ascii="Times New Roman" w:eastAsia="方正小标宋简体" w:hAnsi="Times New Roman"/>
          <w:color w:val="000000"/>
          <w:sz w:val="44"/>
          <w:szCs w:val="44"/>
        </w:rPr>
      </w:pPr>
      <w:r w:rsidRPr="008B6261">
        <w:rPr>
          <w:rFonts w:ascii="Times New Roman" w:eastAsia="方正小标宋简体" w:hAnsi="Times New Roman" w:hint="eastAsia"/>
          <w:color w:val="000000"/>
          <w:sz w:val="44"/>
          <w:szCs w:val="44"/>
        </w:rPr>
        <w:t>《医疗器械安全和性能基本原则清单》</w:t>
      </w:r>
    </w:p>
    <w:p w14:paraId="1B3ECD07" w14:textId="181494F0" w:rsidR="008A11F3" w:rsidRPr="008B6261" w:rsidRDefault="008A11F3" w:rsidP="008A11F3">
      <w:pPr>
        <w:spacing w:line="520" w:lineRule="exact"/>
        <w:jc w:val="center"/>
        <w:rPr>
          <w:rFonts w:ascii="Times New Roman" w:eastAsia="方正小标宋简体" w:hAnsi="Times New Roman"/>
          <w:color w:val="000000" w:themeColor="text1"/>
          <w:sz w:val="44"/>
          <w:szCs w:val="44"/>
        </w:rPr>
      </w:pPr>
      <w:r w:rsidRPr="008B6261">
        <w:rPr>
          <w:rFonts w:ascii="Times New Roman" w:eastAsia="方正小标宋简体" w:hAnsi="Times New Roman" w:hint="eastAsia"/>
          <w:color w:val="000000"/>
          <w:sz w:val="44"/>
          <w:szCs w:val="44"/>
        </w:rPr>
        <w:t>各项内容的适用性</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6379"/>
        <w:gridCol w:w="819"/>
      </w:tblGrid>
      <w:tr w:rsidR="00F967A3" w:rsidRPr="008B6261" w14:paraId="51F81FC3" w14:textId="77777777" w:rsidTr="00AB740F">
        <w:trPr>
          <w:trHeight w:val="501"/>
          <w:jc w:val="center"/>
        </w:trPr>
        <w:tc>
          <w:tcPr>
            <w:tcW w:w="1161" w:type="dxa"/>
            <w:vAlign w:val="center"/>
          </w:tcPr>
          <w:p w14:paraId="65E2C024"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条款号</w:t>
            </w:r>
          </w:p>
        </w:tc>
        <w:tc>
          <w:tcPr>
            <w:tcW w:w="6379" w:type="dxa"/>
            <w:vAlign w:val="center"/>
          </w:tcPr>
          <w:p w14:paraId="46F200B7"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要求</w:t>
            </w:r>
          </w:p>
        </w:tc>
        <w:tc>
          <w:tcPr>
            <w:tcW w:w="819" w:type="dxa"/>
            <w:vAlign w:val="center"/>
          </w:tcPr>
          <w:p w14:paraId="4D124BF0"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适用</w:t>
            </w:r>
          </w:p>
        </w:tc>
      </w:tr>
      <w:tr w:rsidR="00F967A3" w:rsidRPr="008B6261" w14:paraId="7AE9CE51" w14:textId="77777777" w:rsidTr="00AB740F">
        <w:trPr>
          <w:trHeight w:val="287"/>
          <w:jc w:val="center"/>
        </w:trPr>
        <w:tc>
          <w:tcPr>
            <w:tcW w:w="1161" w:type="dxa"/>
            <w:vAlign w:val="center"/>
          </w:tcPr>
          <w:p w14:paraId="36E7530F"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bCs/>
                <w:color w:val="000000"/>
                <w:kern w:val="0"/>
                <w:sz w:val="28"/>
                <w:szCs w:val="28"/>
              </w:rPr>
              <w:t>A</w:t>
            </w:r>
          </w:p>
        </w:tc>
        <w:tc>
          <w:tcPr>
            <w:tcW w:w="7198" w:type="dxa"/>
            <w:gridSpan w:val="2"/>
          </w:tcPr>
          <w:p w14:paraId="636A2A68" w14:textId="77777777" w:rsidR="00F967A3" w:rsidRPr="008B6261" w:rsidRDefault="00F967A3" w:rsidP="00AB740F">
            <w:pPr>
              <w:spacing w:line="520" w:lineRule="exact"/>
              <w:jc w:val="left"/>
              <w:rPr>
                <w:rFonts w:ascii="Times New Roman" w:eastAsia="仿宋_GB2312" w:hAnsi="Times New Roman"/>
                <w:bCs/>
                <w:color w:val="000000"/>
                <w:kern w:val="0"/>
                <w:sz w:val="28"/>
                <w:szCs w:val="28"/>
              </w:rPr>
            </w:pPr>
            <w:r w:rsidRPr="008B6261">
              <w:rPr>
                <w:rFonts w:ascii="Times New Roman" w:eastAsia="仿宋_GB2312" w:hAnsi="Times New Roman" w:hint="eastAsia"/>
                <w:color w:val="000000"/>
                <w:kern w:val="0"/>
                <w:sz w:val="28"/>
                <w:szCs w:val="28"/>
              </w:rPr>
              <w:t>安全和性能的通用基本原则</w:t>
            </w:r>
          </w:p>
        </w:tc>
      </w:tr>
      <w:tr w:rsidR="00F967A3" w:rsidRPr="008B6261" w14:paraId="18BDC950" w14:textId="77777777" w:rsidTr="00AB740F">
        <w:trPr>
          <w:jc w:val="center"/>
        </w:trPr>
        <w:tc>
          <w:tcPr>
            <w:tcW w:w="1161" w:type="dxa"/>
            <w:vAlign w:val="center"/>
          </w:tcPr>
          <w:p w14:paraId="769CE0E6"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w:t>
            </w:r>
          </w:p>
        </w:tc>
        <w:tc>
          <w:tcPr>
            <w:tcW w:w="7198" w:type="dxa"/>
            <w:gridSpan w:val="2"/>
          </w:tcPr>
          <w:p w14:paraId="7B6CD1E9"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sz w:val="28"/>
                <w:szCs w:val="28"/>
              </w:rPr>
              <w:t>一般原则</w:t>
            </w:r>
          </w:p>
        </w:tc>
      </w:tr>
      <w:tr w:rsidR="00F967A3" w:rsidRPr="008B6261" w14:paraId="7232F079" w14:textId="77777777" w:rsidTr="00AB740F">
        <w:trPr>
          <w:jc w:val="center"/>
        </w:trPr>
        <w:tc>
          <w:tcPr>
            <w:tcW w:w="1161" w:type="dxa"/>
            <w:vAlign w:val="center"/>
          </w:tcPr>
          <w:p w14:paraId="43E0CAAB"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A1.1</w:t>
            </w:r>
          </w:p>
        </w:tc>
        <w:tc>
          <w:tcPr>
            <w:tcW w:w="6379" w:type="dxa"/>
          </w:tcPr>
          <w:p w14:paraId="21CBDC56"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应当实现申请人的预期性能，其设计和生产应当确保器械在预期使用条件下达到预期目的。这些器械应当是安全的并且能够实现其预期性能，与患者受益相比，其风险应当是可接受的，且不会损害医疗环境、患者安全、使用者及他人的安全和健康。</w:t>
            </w:r>
          </w:p>
        </w:tc>
        <w:tc>
          <w:tcPr>
            <w:tcW w:w="819" w:type="dxa"/>
          </w:tcPr>
          <w:p w14:paraId="24D09D65"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3390DAD7" w14:textId="77777777" w:rsidTr="00AB740F">
        <w:trPr>
          <w:jc w:val="center"/>
        </w:trPr>
        <w:tc>
          <w:tcPr>
            <w:tcW w:w="1161" w:type="dxa"/>
            <w:vAlign w:val="center"/>
          </w:tcPr>
          <w:p w14:paraId="2740486C"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A1.2</w:t>
            </w:r>
          </w:p>
        </w:tc>
        <w:tc>
          <w:tcPr>
            <w:tcW w:w="6379" w:type="dxa"/>
          </w:tcPr>
          <w:p w14:paraId="68271174"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申请人应当建立、实施、形成文件和维护风险管理体系，确保医疗器械安全、有效且质量可控。在医疗器械全生命周期内，风险管理是一个持续、反复的过程，需要定期进行系统性的改进更新。在开展风险管理时，申请人应当：</w:t>
            </w:r>
          </w:p>
          <w:p w14:paraId="3DD56E26"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建立涵盖所有医疗器械风险管理计划并形成文件；</w:t>
            </w:r>
          </w:p>
          <w:p w14:paraId="3FEF8DE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识别并分析涵盖所有医疗器械的相关的已知和可预见的危险（源）；</w:t>
            </w:r>
          </w:p>
          <w:p w14:paraId="6424D36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c)</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估计和评价在预期使用和可合理预见的误使用过程中，发生的相关风险；</w:t>
            </w:r>
          </w:p>
          <w:p w14:paraId="73CEFE7E"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d)</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依据</w:t>
            </w:r>
            <w:r w:rsidRPr="008B6261">
              <w:rPr>
                <w:rFonts w:ascii="Times New Roman" w:eastAsia="仿宋_GB2312" w:hAnsi="Times New Roman" w:hint="eastAsia"/>
                <w:color w:val="000000"/>
                <w:kern w:val="0"/>
                <w:sz w:val="28"/>
                <w:szCs w:val="28"/>
              </w:rPr>
              <w:t>A1.3</w:t>
            </w:r>
            <w:r w:rsidRPr="008B6261">
              <w:rPr>
                <w:rFonts w:ascii="Times New Roman" w:eastAsia="仿宋_GB2312" w:hAnsi="Times New Roman" w:hint="eastAsia"/>
                <w:color w:val="000000"/>
                <w:kern w:val="0"/>
                <w:sz w:val="28"/>
                <w:szCs w:val="28"/>
              </w:rPr>
              <w:t>和</w:t>
            </w:r>
            <w:r w:rsidRPr="008B6261">
              <w:rPr>
                <w:rFonts w:ascii="Times New Roman" w:eastAsia="仿宋_GB2312" w:hAnsi="Times New Roman" w:hint="eastAsia"/>
                <w:color w:val="000000"/>
                <w:kern w:val="0"/>
                <w:sz w:val="28"/>
                <w:szCs w:val="28"/>
              </w:rPr>
              <w:t>A1.4</w:t>
            </w:r>
            <w:r w:rsidRPr="008B6261">
              <w:rPr>
                <w:rFonts w:ascii="Times New Roman" w:eastAsia="仿宋_GB2312" w:hAnsi="Times New Roman" w:hint="eastAsia"/>
                <w:color w:val="000000"/>
                <w:kern w:val="0"/>
                <w:sz w:val="28"/>
                <w:szCs w:val="28"/>
              </w:rPr>
              <w:t>相关要求，消除或控制</w:t>
            </w:r>
            <w:r w:rsidRPr="008B6261">
              <w:rPr>
                <w:rFonts w:ascii="Times New Roman" w:eastAsia="仿宋_GB2312" w:hAnsi="Times New Roman" w:hint="eastAsia"/>
                <w:color w:val="000000"/>
                <w:kern w:val="0"/>
                <w:sz w:val="28"/>
                <w:szCs w:val="28"/>
              </w:rPr>
              <w:t>c</w:t>
            </w:r>
            <w:r w:rsidRPr="008B6261">
              <w:rPr>
                <w:rFonts w:ascii="Times New Roman" w:eastAsia="仿宋_GB2312" w:hAnsi="Times New Roman" w:hint="eastAsia"/>
                <w:color w:val="000000"/>
                <w:kern w:val="0"/>
                <w:sz w:val="28"/>
                <w:szCs w:val="28"/>
              </w:rPr>
              <w:t>）点所述的风险；</w:t>
            </w:r>
          </w:p>
          <w:p w14:paraId="67060D1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e)</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评价生产和生产后阶段信息对综合风险、风险受益判定和风险可接受性的影响。上述评价应当包括先前未识别的危险（源）或危险情况，由危险情况导致的一个或多个风险对可接受性的影响，以及对先进技术水平的改变等。</w:t>
            </w:r>
          </w:p>
          <w:p w14:paraId="6E3081E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f)</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基于对</w:t>
            </w:r>
            <w:r w:rsidRPr="008B6261">
              <w:rPr>
                <w:rFonts w:ascii="Times New Roman" w:eastAsia="仿宋_GB2312" w:hAnsi="Times New Roman" w:hint="eastAsia"/>
                <w:color w:val="000000"/>
                <w:kern w:val="0"/>
                <w:sz w:val="28"/>
                <w:szCs w:val="28"/>
              </w:rPr>
              <w:t>e</w:t>
            </w:r>
            <w:r w:rsidRPr="008B6261">
              <w:rPr>
                <w:rFonts w:ascii="Times New Roman" w:eastAsia="仿宋_GB2312" w:hAnsi="Times New Roman" w:hint="eastAsia"/>
                <w:color w:val="000000"/>
                <w:kern w:val="0"/>
                <w:sz w:val="28"/>
                <w:szCs w:val="28"/>
              </w:rPr>
              <w:t>）点所述信息影响的评价，必要时修改控制措施以符合</w:t>
            </w:r>
            <w:r w:rsidRPr="008B6261">
              <w:rPr>
                <w:rFonts w:ascii="Times New Roman" w:eastAsia="仿宋_GB2312" w:hAnsi="Times New Roman" w:hint="eastAsia"/>
                <w:color w:val="000000"/>
                <w:kern w:val="0"/>
                <w:sz w:val="28"/>
                <w:szCs w:val="28"/>
              </w:rPr>
              <w:t>A1.3</w:t>
            </w:r>
            <w:r w:rsidRPr="008B6261">
              <w:rPr>
                <w:rFonts w:ascii="Times New Roman" w:eastAsia="仿宋_GB2312" w:hAnsi="Times New Roman" w:hint="eastAsia"/>
                <w:color w:val="000000"/>
                <w:kern w:val="0"/>
                <w:sz w:val="28"/>
                <w:szCs w:val="28"/>
              </w:rPr>
              <w:t>和</w:t>
            </w:r>
            <w:r w:rsidRPr="008B6261">
              <w:rPr>
                <w:rFonts w:ascii="Times New Roman" w:eastAsia="仿宋_GB2312" w:hAnsi="Times New Roman" w:hint="eastAsia"/>
                <w:color w:val="000000"/>
                <w:kern w:val="0"/>
                <w:sz w:val="28"/>
                <w:szCs w:val="28"/>
              </w:rPr>
              <w:t>A1.4</w:t>
            </w:r>
            <w:r w:rsidRPr="008B6261">
              <w:rPr>
                <w:rFonts w:ascii="Times New Roman" w:eastAsia="仿宋_GB2312" w:hAnsi="Times New Roman" w:hint="eastAsia"/>
                <w:color w:val="000000"/>
                <w:kern w:val="0"/>
                <w:sz w:val="28"/>
                <w:szCs w:val="28"/>
              </w:rPr>
              <w:t>相关要求。</w:t>
            </w:r>
          </w:p>
        </w:tc>
        <w:tc>
          <w:tcPr>
            <w:tcW w:w="819" w:type="dxa"/>
          </w:tcPr>
          <w:p w14:paraId="55F5036A"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是</w:t>
            </w:r>
          </w:p>
        </w:tc>
      </w:tr>
      <w:tr w:rsidR="00F967A3" w:rsidRPr="008B6261" w14:paraId="05A98719" w14:textId="77777777" w:rsidTr="00AB740F">
        <w:trPr>
          <w:jc w:val="center"/>
        </w:trPr>
        <w:tc>
          <w:tcPr>
            <w:tcW w:w="1161" w:type="dxa"/>
            <w:vAlign w:val="center"/>
          </w:tcPr>
          <w:p w14:paraId="57284212"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A1.3</w:t>
            </w:r>
          </w:p>
        </w:tc>
        <w:tc>
          <w:tcPr>
            <w:tcW w:w="6379" w:type="dxa"/>
          </w:tcPr>
          <w:p w14:paraId="3E7B8FD2"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申请人在设计和生产过程中采取的风险控制措施，应当遵循安全原则，采用先进技术。需要降低风险时，申请人应当控制风险，确保每个危险（源）相关的剩余风险和总体剩余风险是可接受的。在选择最合适的解决方案时，申请人应当按以下优先顺序进行：</w:t>
            </w:r>
          </w:p>
          <w:p w14:paraId="2549389E"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通过安全设计和生产消除或适当降低风险；</w:t>
            </w:r>
          </w:p>
          <w:p w14:paraId="050DCA4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适用时，对无法消除的风险采取充分的防护措施，包括必要的警报；</w:t>
            </w:r>
          </w:p>
          <w:p w14:paraId="7D151D0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c)</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提供安全信息（警告</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预防措施</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禁忌证），适当时，向使用者提供培训。</w:t>
            </w:r>
          </w:p>
        </w:tc>
        <w:tc>
          <w:tcPr>
            <w:tcW w:w="819" w:type="dxa"/>
          </w:tcPr>
          <w:p w14:paraId="2E080B62"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5CF3054F" w14:textId="77777777" w:rsidTr="00AB740F">
        <w:trPr>
          <w:jc w:val="center"/>
        </w:trPr>
        <w:tc>
          <w:tcPr>
            <w:tcW w:w="1161" w:type="dxa"/>
            <w:vAlign w:val="center"/>
          </w:tcPr>
          <w:p w14:paraId="53B06B0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A1.4</w:t>
            </w:r>
          </w:p>
        </w:tc>
        <w:tc>
          <w:tcPr>
            <w:tcW w:w="6379" w:type="dxa"/>
          </w:tcPr>
          <w:p w14:paraId="3207A891"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申请人应当告知使用者所有相关的剩余风险。</w:t>
            </w:r>
          </w:p>
        </w:tc>
        <w:tc>
          <w:tcPr>
            <w:tcW w:w="819" w:type="dxa"/>
          </w:tcPr>
          <w:p w14:paraId="6ADA8A2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6C91850D" w14:textId="77777777" w:rsidTr="00AB740F">
        <w:trPr>
          <w:trHeight w:val="103"/>
          <w:jc w:val="center"/>
        </w:trPr>
        <w:tc>
          <w:tcPr>
            <w:tcW w:w="1161" w:type="dxa"/>
            <w:vAlign w:val="center"/>
          </w:tcPr>
          <w:p w14:paraId="721F8D6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A1.5</w:t>
            </w:r>
          </w:p>
        </w:tc>
        <w:tc>
          <w:tcPr>
            <w:tcW w:w="6379" w:type="dxa"/>
          </w:tcPr>
          <w:p w14:paraId="3F7F885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在消除或降低与使用有关的风险时，申请人应该：</w:t>
            </w:r>
          </w:p>
          <w:p w14:paraId="1A9F7EF4"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适当降低医疗器械的特性（如人体工程学</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可用性）和预期使用环境（如灰尘和湿度）可能带来的风险；</w:t>
            </w:r>
          </w:p>
          <w:p w14:paraId="73D61354"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考虑预期使用者的技术知识、经验、教育背景、培训、身体状况（如适用）以及使用环境。</w:t>
            </w:r>
          </w:p>
        </w:tc>
        <w:tc>
          <w:tcPr>
            <w:tcW w:w="819" w:type="dxa"/>
          </w:tcPr>
          <w:p w14:paraId="76B082A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28B449A3" w14:textId="77777777" w:rsidTr="00AB740F">
        <w:trPr>
          <w:jc w:val="center"/>
        </w:trPr>
        <w:tc>
          <w:tcPr>
            <w:tcW w:w="1161" w:type="dxa"/>
            <w:vAlign w:val="center"/>
          </w:tcPr>
          <w:p w14:paraId="25AA4713"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A1.6</w:t>
            </w:r>
          </w:p>
        </w:tc>
        <w:tc>
          <w:tcPr>
            <w:tcW w:w="6379" w:type="dxa"/>
          </w:tcPr>
          <w:p w14:paraId="1075676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在申请人规定的生命周期内，在正常使用、维护和</w:t>
            </w:r>
            <w:r w:rsidRPr="008B6261">
              <w:rPr>
                <w:rFonts w:ascii="Times New Roman" w:eastAsia="仿宋_GB2312" w:hAnsi="Times New Roman" w:hint="eastAsia"/>
                <w:color w:val="000000"/>
                <w:kern w:val="0"/>
                <w:sz w:val="28"/>
                <w:szCs w:val="28"/>
              </w:rPr>
              <w:lastRenderedPageBreak/>
              <w:t>校准（如适用）情况下，外力不应对医疗器械的特性和性能造成不利影响，以致损害患者、使用者及他人的健康和安全。</w:t>
            </w:r>
          </w:p>
        </w:tc>
        <w:tc>
          <w:tcPr>
            <w:tcW w:w="819" w:type="dxa"/>
          </w:tcPr>
          <w:p w14:paraId="030D1A3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是</w:t>
            </w:r>
          </w:p>
        </w:tc>
      </w:tr>
      <w:tr w:rsidR="00F967A3" w:rsidRPr="008B6261" w14:paraId="7175FE34" w14:textId="77777777" w:rsidTr="00AB740F">
        <w:trPr>
          <w:jc w:val="center"/>
        </w:trPr>
        <w:tc>
          <w:tcPr>
            <w:tcW w:w="1161" w:type="dxa"/>
            <w:vAlign w:val="center"/>
          </w:tcPr>
          <w:p w14:paraId="2779C3E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A1.7</w:t>
            </w:r>
          </w:p>
        </w:tc>
        <w:tc>
          <w:tcPr>
            <w:tcW w:w="6379" w:type="dxa"/>
          </w:tcPr>
          <w:p w14:paraId="055CCBD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生产和包装，包括申请人所提供的说明和信息，应当确保在按照预期用途使用时，运输和贮存条件（例如：震动、振动、温度和湿度的波动）不会对医疗器械的特性和性能，包括完整性和清洁度，造成不利影响。申请人应能确保有效期内医疗器械的性能、安全和无菌保证水平。</w:t>
            </w:r>
          </w:p>
        </w:tc>
        <w:tc>
          <w:tcPr>
            <w:tcW w:w="819" w:type="dxa"/>
          </w:tcPr>
          <w:p w14:paraId="54057C1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04627540" w14:textId="77777777" w:rsidTr="00AB740F">
        <w:trPr>
          <w:trHeight w:val="211"/>
          <w:jc w:val="center"/>
        </w:trPr>
        <w:tc>
          <w:tcPr>
            <w:tcW w:w="1161" w:type="dxa"/>
            <w:vAlign w:val="center"/>
          </w:tcPr>
          <w:p w14:paraId="56A6032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A1.8</w:t>
            </w:r>
          </w:p>
        </w:tc>
        <w:tc>
          <w:tcPr>
            <w:tcW w:w="6379" w:type="dxa"/>
          </w:tcPr>
          <w:p w14:paraId="39D3EF85"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在货架有效期内、开封后的使用期间，以及运输或送货期间，医疗器械应具有可接受的稳定性。</w:t>
            </w:r>
          </w:p>
        </w:tc>
        <w:tc>
          <w:tcPr>
            <w:tcW w:w="819" w:type="dxa"/>
          </w:tcPr>
          <w:p w14:paraId="1298A0E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0A8718D6" w14:textId="77777777" w:rsidTr="00AB740F">
        <w:trPr>
          <w:jc w:val="center"/>
        </w:trPr>
        <w:tc>
          <w:tcPr>
            <w:tcW w:w="1161" w:type="dxa"/>
            <w:vAlign w:val="center"/>
          </w:tcPr>
          <w:p w14:paraId="5038C0DC"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A1.9</w:t>
            </w:r>
          </w:p>
        </w:tc>
        <w:tc>
          <w:tcPr>
            <w:tcW w:w="6379" w:type="dxa"/>
          </w:tcPr>
          <w:p w14:paraId="2C4BA2F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在正常使用条件下，基于当前先进技术水平，比较医疗器械性能带来的受益，所有已知的、可预见的风险以及任何不良副作用应最小化且可接受。</w:t>
            </w:r>
          </w:p>
        </w:tc>
        <w:tc>
          <w:tcPr>
            <w:tcW w:w="819" w:type="dxa"/>
          </w:tcPr>
          <w:p w14:paraId="6CB8D9C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6E0DA10D" w14:textId="77777777" w:rsidTr="00AB740F">
        <w:trPr>
          <w:trHeight w:val="70"/>
          <w:jc w:val="center"/>
        </w:trPr>
        <w:tc>
          <w:tcPr>
            <w:tcW w:w="1161" w:type="dxa"/>
            <w:vAlign w:val="center"/>
          </w:tcPr>
          <w:p w14:paraId="7BD07B1E"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A2</w:t>
            </w:r>
          </w:p>
        </w:tc>
        <w:tc>
          <w:tcPr>
            <w:tcW w:w="7198" w:type="dxa"/>
            <w:gridSpan w:val="2"/>
          </w:tcPr>
          <w:p w14:paraId="081022A4" w14:textId="77777777" w:rsidR="00F967A3" w:rsidRPr="008B6261" w:rsidRDefault="00F967A3" w:rsidP="00AB740F">
            <w:pPr>
              <w:pStyle w:val="af7"/>
              <w:spacing w:line="520" w:lineRule="exact"/>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临床评价</w:t>
            </w:r>
          </w:p>
        </w:tc>
      </w:tr>
      <w:tr w:rsidR="00F967A3" w:rsidRPr="008B6261" w14:paraId="6B8E3B5D" w14:textId="77777777" w:rsidTr="00AB740F">
        <w:trPr>
          <w:jc w:val="center"/>
        </w:trPr>
        <w:tc>
          <w:tcPr>
            <w:tcW w:w="1161" w:type="dxa"/>
            <w:vAlign w:val="center"/>
          </w:tcPr>
          <w:p w14:paraId="1BE867C3"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A2.1</w:t>
            </w:r>
          </w:p>
        </w:tc>
        <w:tc>
          <w:tcPr>
            <w:tcW w:w="6379" w:type="dxa"/>
          </w:tcPr>
          <w:p w14:paraId="3DE15704" w14:textId="77777777" w:rsidR="00F967A3" w:rsidRPr="008B6261" w:rsidRDefault="00F967A3" w:rsidP="00AB740F">
            <w:pPr>
              <w:pStyle w:val="ac"/>
              <w:spacing w:line="520" w:lineRule="exact"/>
              <w:ind w:firstLineChars="0" w:firstLine="0"/>
              <w:jc w:val="left"/>
              <w:rPr>
                <w:rFonts w:ascii="Times New Roman" w:eastAsia="仿宋_GB2312" w:hAnsi="Times New Roman"/>
                <w:color w:val="000000"/>
                <w:sz w:val="28"/>
                <w:szCs w:val="28"/>
              </w:rPr>
            </w:pPr>
            <w:r w:rsidRPr="008B6261">
              <w:rPr>
                <w:rFonts w:ascii="Times New Roman" w:eastAsia="仿宋_GB2312" w:hAnsi="Times New Roman" w:hint="eastAsia"/>
                <w:color w:val="000000"/>
                <w:sz w:val="28"/>
                <w:szCs w:val="28"/>
              </w:rPr>
              <w:t>基于监管要求，医疗器械可能需要进行临床评价（如适用）。所谓临床评价，就是对临床数据进行评估，确定医疗器械具有可接受的风险受益比，包括以下几种形式：</w:t>
            </w:r>
          </w:p>
          <w:p w14:paraId="08D4109E" w14:textId="77777777" w:rsidR="00F967A3" w:rsidRPr="008B6261" w:rsidRDefault="00F967A3" w:rsidP="00AB740F">
            <w:pPr>
              <w:pStyle w:val="ac"/>
              <w:spacing w:line="520" w:lineRule="exact"/>
              <w:ind w:firstLineChars="0" w:firstLine="0"/>
              <w:jc w:val="left"/>
              <w:rPr>
                <w:rFonts w:ascii="Times New Roman" w:eastAsia="仿宋_GB2312" w:hAnsi="Times New Roman"/>
                <w:color w:val="000000"/>
                <w:sz w:val="28"/>
                <w:szCs w:val="28"/>
              </w:rPr>
            </w:pPr>
            <w:r w:rsidRPr="008B6261">
              <w:rPr>
                <w:rFonts w:ascii="Times New Roman" w:eastAsia="仿宋_GB2312" w:hAnsi="Times New Roman" w:hint="eastAsia"/>
                <w:color w:val="000000"/>
                <w:sz w:val="28"/>
                <w:szCs w:val="28"/>
              </w:rPr>
              <w:t>a)</w:t>
            </w:r>
            <w:r w:rsidRPr="008B6261">
              <w:rPr>
                <w:rFonts w:ascii="Times New Roman" w:eastAsia="仿宋_GB2312" w:hAnsi="Times New Roman" w:hint="eastAsia"/>
                <w:color w:val="000000"/>
                <w:sz w:val="28"/>
                <w:szCs w:val="28"/>
              </w:rPr>
              <w:tab/>
            </w:r>
            <w:r w:rsidRPr="008B6261">
              <w:rPr>
                <w:rFonts w:ascii="Times New Roman" w:eastAsia="仿宋_GB2312" w:hAnsi="Times New Roman" w:hint="eastAsia"/>
                <w:color w:val="000000"/>
                <w:sz w:val="28"/>
                <w:szCs w:val="28"/>
              </w:rPr>
              <w:t>临床试验报告</w:t>
            </w:r>
          </w:p>
          <w:p w14:paraId="4A8E40E9" w14:textId="77777777" w:rsidR="00F967A3" w:rsidRPr="008B6261" w:rsidRDefault="00F967A3" w:rsidP="00AB740F">
            <w:pPr>
              <w:spacing w:line="520" w:lineRule="exact"/>
              <w:jc w:val="left"/>
              <w:rPr>
                <w:rFonts w:ascii="Times New Roman" w:eastAsia="仿宋_GB2312" w:hAnsi="Times New Roman"/>
                <w:color w:val="000000"/>
                <w:sz w:val="28"/>
                <w:szCs w:val="28"/>
              </w:rPr>
            </w:pPr>
            <w:r w:rsidRPr="008B6261">
              <w:rPr>
                <w:rFonts w:ascii="Times New Roman" w:eastAsia="仿宋_GB2312" w:hAnsi="Times New Roman" w:hint="eastAsia"/>
                <w:color w:val="000000"/>
                <w:sz w:val="28"/>
                <w:szCs w:val="28"/>
              </w:rPr>
              <w:t>b)</w:t>
            </w:r>
            <w:r w:rsidRPr="008B6261">
              <w:rPr>
                <w:rFonts w:ascii="Times New Roman" w:eastAsia="仿宋_GB2312" w:hAnsi="Times New Roman" w:hint="eastAsia"/>
                <w:color w:val="000000"/>
                <w:sz w:val="28"/>
                <w:szCs w:val="28"/>
              </w:rPr>
              <w:tab/>
            </w:r>
            <w:r w:rsidRPr="008B6261">
              <w:rPr>
                <w:rFonts w:ascii="Times New Roman" w:eastAsia="仿宋_GB2312" w:hAnsi="Times New Roman" w:hint="eastAsia"/>
                <w:color w:val="000000"/>
                <w:sz w:val="28"/>
                <w:szCs w:val="28"/>
              </w:rPr>
              <w:t>临床文献资料</w:t>
            </w:r>
          </w:p>
          <w:p w14:paraId="4E5CF75F" w14:textId="77777777" w:rsidR="00F967A3" w:rsidRPr="008B6261" w:rsidRDefault="00F967A3" w:rsidP="00AB740F">
            <w:pPr>
              <w:pStyle w:val="ac"/>
              <w:spacing w:line="520" w:lineRule="exact"/>
              <w:ind w:firstLineChars="0" w:firstLine="0"/>
              <w:jc w:val="left"/>
              <w:rPr>
                <w:rFonts w:ascii="Times New Roman" w:eastAsia="仿宋_GB2312" w:hAnsi="Times New Roman"/>
                <w:color w:val="000000"/>
                <w:sz w:val="28"/>
                <w:szCs w:val="28"/>
              </w:rPr>
            </w:pPr>
            <w:r w:rsidRPr="008B6261">
              <w:rPr>
                <w:rFonts w:ascii="Times New Roman" w:eastAsia="仿宋_GB2312" w:hAnsi="Times New Roman" w:hint="eastAsia"/>
                <w:color w:val="000000"/>
                <w:sz w:val="28"/>
                <w:szCs w:val="28"/>
              </w:rPr>
              <w:t>c)</w:t>
            </w:r>
            <w:r w:rsidRPr="008B6261">
              <w:rPr>
                <w:rFonts w:ascii="Times New Roman" w:eastAsia="仿宋_GB2312" w:hAnsi="Times New Roman" w:hint="eastAsia"/>
                <w:color w:val="000000"/>
                <w:sz w:val="28"/>
                <w:szCs w:val="28"/>
              </w:rPr>
              <w:tab/>
            </w:r>
            <w:r w:rsidRPr="008B6261">
              <w:rPr>
                <w:rFonts w:ascii="Times New Roman" w:eastAsia="仿宋_GB2312" w:hAnsi="Times New Roman" w:hint="eastAsia"/>
                <w:color w:val="000000"/>
                <w:sz w:val="28"/>
                <w:szCs w:val="28"/>
              </w:rPr>
              <w:t>临床经验数据</w:t>
            </w:r>
          </w:p>
        </w:tc>
        <w:tc>
          <w:tcPr>
            <w:tcW w:w="819" w:type="dxa"/>
          </w:tcPr>
          <w:p w14:paraId="5F8AD159" w14:textId="77777777" w:rsidR="00F967A3" w:rsidRPr="008B6261" w:rsidRDefault="00F967A3" w:rsidP="00AB740F">
            <w:pPr>
              <w:pStyle w:val="ac"/>
              <w:spacing w:line="520" w:lineRule="exact"/>
              <w:ind w:firstLineChars="0" w:firstLine="0"/>
              <w:jc w:val="center"/>
              <w:rPr>
                <w:rFonts w:ascii="Times New Roman" w:eastAsia="仿宋_GB2312" w:hAnsi="Times New Roman"/>
                <w:color w:val="000000"/>
                <w:sz w:val="28"/>
                <w:szCs w:val="28"/>
              </w:rPr>
            </w:pPr>
            <w:r w:rsidRPr="008B6261">
              <w:rPr>
                <w:rFonts w:ascii="Times New Roman" w:eastAsia="仿宋_GB2312" w:hAnsi="Times New Roman" w:hint="eastAsia"/>
                <w:color w:val="000000"/>
                <w:sz w:val="28"/>
                <w:szCs w:val="28"/>
              </w:rPr>
              <w:t>是</w:t>
            </w:r>
          </w:p>
        </w:tc>
      </w:tr>
      <w:tr w:rsidR="00F967A3" w:rsidRPr="008B6261" w14:paraId="56104737" w14:textId="77777777" w:rsidTr="00AB740F">
        <w:trPr>
          <w:jc w:val="center"/>
        </w:trPr>
        <w:tc>
          <w:tcPr>
            <w:tcW w:w="1161" w:type="dxa"/>
            <w:vAlign w:val="center"/>
          </w:tcPr>
          <w:p w14:paraId="4A885E8A"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A2.2</w:t>
            </w:r>
          </w:p>
        </w:tc>
        <w:tc>
          <w:tcPr>
            <w:tcW w:w="6379" w:type="dxa"/>
          </w:tcPr>
          <w:p w14:paraId="6C9FA26E" w14:textId="77777777" w:rsidR="00F967A3" w:rsidRPr="008B6261" w:rsidRDefault="00F967A3" w:rsidP="00AB740F">
            <w:pPr>
              <w:spacing w:line="520" w:lineRule="exact"/>
              <w:jc w:val="left"/>
              <w:rPr>
                <w:rFonts w:ascii="Times New Roman" w:eastAsia="仿宋_GB2312" w:hAnsi="Times New Roman"/>
                <w:color w:val="000000"/>
                <w:spacing w:val="-4"/>
                <w:kern w:val="0"/>
                <w:sz w:val="28"/>
                <w:szCs w:val="28"/>
              </w:rPr>
            </w:pPr>
            <w:r w:rsidRPr="008B6261">
              <w:rPr>
                <w:rFonts w:ascii="Times New Roman" w:eastAsia="仿宋_GB2312" w:hAnsi="Times New Roman" w:hint="eastAsia"/>
                <w:color w:val="000000"/>
                <w:spacing w:val="-4"/>
                <w:kern w:val="0"/>
                <w:sz w:val="28"/>
                <w:szCs w:val="28"/>
              </w:rPr>
              <w:t>临床试验的实施应当符合《赫尔辛基宣言》的伦理原则。保护受试者的权利、安全和健康，作为最重要的考虑因素，其重要性超过科学和社会效益。在临床试验的每个步骤，都应理解、遵守和使用上述原则。另</w:t>
            </w:r>
            <w:r w:rsidRPr="008B6261">
              <w:rPr>
                <w:rFonts w:ascii="Times New Roman" w:eastAsia="仿宋_GB2312" w:hAnsi="Times New Roman" w:hint="eastAsia"/>
                <w:color w:val="000000"/>
                <w:spacing w:val="-4"/>
                <w:kern w:val="0"/>
                <w:sz w:val="28"/>
                <w:szCs w:val="28"/>
              </w:rPr>
              <w:lastRenderedPageBreak/>
              <w:t>外，临床试验方案审批、患者知情同意等应符合相关法规要求。</w:t>
            </w:r>
          </w:p>
        </w:tc>
        <w:tc>
          <w:tcPr>
            <w:tcW w:w="819" w:type="dxa"/>
          </w:tcPr>
          <w:p w14:paraId="43274F0C" w14:textId="25119CF9" w:rsidR="00F967A3" w:rsidRPr="008B6261" w:rsidRDefault="001371DB" w:rsidP="00AB740F">
            <w:pPr>
              <w:spacing w:line="520" w:lineRule="exact"/>
              <w:jc w:val="center"/>
              <w:rPr>
                <w:rFonts w:ascii="Times New Roman" w:eastAsia="仿宋_GB2312" w:hAnsi="Times New Roman"/>
                <w:color w:val="000000"/>
                <w:spacing w:val="-4"/>
                <w:kern w:val="0"/>
                <w:sz w:val="28"/>
                <w:szCs w:val="28"/>
              </w:rPr>
            </w:pPr>
            <w:r>
              <w:rPr>
                <w:rFonts w:ascii="Times New Roman" w:eastAsia="仿宋_GB2312" w:hAnsi="Times New Roman" w:hint="eastAsia"/>
                <w:color w:val="000000"/>
                <w:spacing w:val="-4"/>
                <w:kern w:val="0"/>
                <w:sz w:val="28"/>
                <w:szCs w:val="28"/>
              </w:rPr>
              <w:lastRenderedPageBreak/>
              <w:t>否</w:t>
            </w:r>
          </w:p>
        </w:tc>
      </w:tr>
      <w:tr w:rsidR="00F967A3" w:rsidRPr="008B6261" w14:paraId="1BACA0EF" w14:textId="77777777" w:rsidTr="00AB740F">
        <w:trPr>
          <w:jc w:val="center"/>
        </w:trPr>
        <w:tc>
          <w:tcPr>
            <w:tcW w:w="1161" w:type="dxa"/>
            <w:vAlign w:val="center"/>
          </w:tcPr>
          <w:p w14:paraId="4988EA3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A3</w:t>
            </w:r>
          </w:p>
        </w:tc>
        <w:tc>
          <w:tcPr>
            <w:tcW w:w="7198" w:type="dxa"/>
            <w:gridSpan w:val="2"/>
          </w:tcPr>
          <w:p w14:paraId="248EF729"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化学、物理和生物学特性</w:t>
            </w:r>
          </w:p>
        </w:tc>
      </w:tr>
      <w:tr w:rsidR="00F967A3" w:rsidRPr="008B6261" w14:paraId="51D84457" w14:textId="77777777" w:rsidTr="00AB740F">
        <w:trPr>
          <w:jc w:val="center"/>
        </w:trPr>
        <w:tc>
          <w:tcPr>
            <w:tcW w:w="1161" w:type="dxa"/>
            <w:vAlign w:val="center"/>
          </w:tcPr>
          <w:p w14:paraId="48A6BDC6"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A3.1</w:t>
            </w:r>
          </w:p>
        </w:tc>
        <w:tc>
          <w:tcPr>
            <w:tcW w:w="6379" w:type="dxa"/>
          </w:tcPr>
          <w:p w14:paraId="3FCB43AD"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关于医疗器械的化学、物理和生物学特性，应当特别注意以下几点：</w:t>
            </w:r>
          </w:p>
          <w:p w14:paraId="73F0092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所用材料和组成成分的选择，需特别考虑：</w:t>
            </w:r>
          </w:p>
          <w:p w14:paraId="5A9C1E0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毒性；</w:t>
            </w:r>
          </w:p>
          <w:p w14:paraId="32397605"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生物相容性；</w:t>
            </w:r>
          </w:p>
          <w:p w14:paraId="6171787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易燃性；</w:t>
            </w:r>
          </w:p>
          <w:p w14:paraId="5927D84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工艺对材料性能的影响；</w:t>
            </w:r>
          </w:p>
          <w:p w14:paraId="68A1149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c)</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生物物理学或者建模研究结果应当事先进行验证（如适用）；</w:t>
            </w:r>
          </w:p>
          <w:p w14:paraId="069F441E"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d)</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所用材料的机械性能，如适用，应当考虑强度、延展性、断裂强度、耐磨性和抗疲劳性等属性；</w:t>
            </w:r>
          </w:p>
          <w:p w14:paraId="2704D7E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e)</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表面特性；</w:t>
            </w:r>
          </w:p>
          <w:p w14:paraId="7FDBFB81"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f)</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器械与已规定化学和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或物理性能的符合性。</w:t>
            </w:r>
          </w:p>
        </w:tc>
        <w:tc>
          <w:tcPr>
            <w:tcW w:w="819" w:type="dxa"/>
          </w:tcPr>
          <w:p w14:paraId="354C795A" w14:textId="3B934105"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否</w:t>
            </w:r>
          </w:p>
        </w:tc>
      </w:tr>
      <w:tr w:rsidR="00F967A3" w:rsidRPr="008B6261" w14:paraId="09A03512" w14:textId="77777777" w:rsidTr="00AB740F">
        <w:trPr>
          <w:jc w:val="center"/>
        </w:trPr>
        <w:tc>
          <w:tcPr>
            <w:tcW w:w="1161" w:type="dxa"/>
            <w:vAlign w:val="center"/>
          </w:tcPr>
          <w:p w14:paraId="70C2A4DB"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A3.2</w:t>
            </w:r>
          </w:p>
        </w:tc>
        <w:tc>
          <w:tcPr>
            <w:tcW w:w="6379" w:type="dxa"/>
          </w:tcPr>
          <w:p w14:paraId="763B4AE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基于医疗器械的预期用途，医疗器械的设计、生产和包装，应当尽可能减少污染物和残留物对使用者和患者，以及对从事医疗器械运输、贮存及其他相关人员造成的风险。特别要注意与使用者和患者暴露组织接触的时间和频次。</w:t>
            </w:r>
          </w:p>
        </w:tc>
        <w:tc>
          <w:tcPr>
            <w:tcW w:w="819" w:type="dxa"/>
          </w:tcPr>
          <w:p w14:paraId="5BB6A9E2" w14:textId="2742959A"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否</w:t>
            </w:r>
          </w:p>
        </w:tc>
      </w:tr>
      <w:tr w:rsidR="00F967A3" w:rsidRPr="008B6261" w14:paraId="6C9FCB44" w14:textId="77777777" w:rsidTr="00AB740F">
        <w:trPr>
          <w:jc w:val="center"/>
        </w:trPr>
        <w:tc>
          <w:tcPr>
            <w:tcW w:w="1161" w:type="dxa"/>
            <w:vAlign w:val="center"/>
          </w:tcPr>
          <w:p w14:paraId="6220B19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A3.3</w:t>
            </w:r>
          </w:p>
        </w:tc>
        <w:tc>
          <w:tcPr>
            <w:tcW w:w="6379" w:type="dxa"/>
          </w:tcPr>
          <w:p w14:paraId="1B4963E5"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医疗器械的设计和生产应当适当降低析出物（包括滤沥物和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或蒸发物）、降解产物、加工残留物等造成的风险。应当特别注意致癌、致突变或有生殖毒性的泄漏物或滤沥物。</w:t>
            </w:r>
          </w:p>
        </w:tc>
        <w:tc>
          <w:tcPr>
            <w:tcW w:w="819" w:type="dxa"/>
          </w:tcPr>
          <w:p w14:paraId="6989F599" w14:textId="3B1B6C3B"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否</w:t>
            </w:r>
          </w:p>
        </w:tc>
      </w:tr>
      <w:tr w:rsidR="00F967A3" w:rsidRPr="008B6261" w14:paraId="77CA5AE3" w14:textId="77777777" w:rsidTr="00AB740F">
        <w:trPr>
          <w:jc w:val="center"/>
        </w:trPr>
        <w:tc>
          <w:tcPr>
            <w:tcW w:w="1161" w:type="dxa"/>
            <w:vAlign w:val="center"/>
          </w:tcPr>
          <w:p w14:paraId="4945E3F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A3.4</w:t>
            </w:r>
          </w:p>
        </w:tc>
        <w:tc>
          <w:tcPr>
            <w:tcW w:w="6379" w:type="dxa"/>
          </w:tcPr>
          <w:p w14:paraId="19485D85"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医疗器械的设计和生产应当考虑到医疗器械及其预</w:t>
            </w:r>
            <w:r w:rsidRPr="008B6261">
              <w:rPr>
                <w:rFonts w:ascii="Times New Roman" w:eastAsia="仿宋_GB2312" w:hAnsi="Times New Roman" w:hint="eastAsia"/>
                <w:color w:val="000000"/>
                <w:kern w:val="0"/>
                <w:sz w:val="28"/>
                <w:szCs w:val="28"/>
              </w:rPr>
              <w:lastRenderedPageBreak/>
              <w:t>期使用环境的性质，适当降低物质意外进入器械所带来的风险。</w:t>
            </w:r>
          </w:p>
        </w:tc>
        <w:tc>
          <w:tcPr>
            <w:tcW w:w="819" w:type="dxa"/>
          </w:tcPr>
          <w:p w14:paraId="08386D6B"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否</w:t>
            </w:r>
          </w:p>
        </w:tc>
      </w:tr>
      <w:tr w:rsidR="00F967A3" w:rsidRPr="008B6261" w14:paraId="7A18F66F" w14:textId="77777777" w:rsidTr="00AB740F">
        <w:trPr>
          <w:jc w:val="center"/>
        </w:trPr>
        <w:tc>
          <w:tcPr>
            <w:tcW w:w="1161" w:type="dxa"/>
            <w:vAlign w:val="center"/>
          </w:tcPr>
          <w:p w14:paraId="290DBF6F"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A3.5</w:t>
            </w:r>
          </w:p>
        </w:tc>
        <w:tc>
          <w:tcPr>
            <w:tcW w:w="6379" w:type="dxa"/>
          </w:tcPr>
          <w:p w14:paraId="0F75E0A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医疗器械及其生产工艺的设计应当能消除或适当降低对使用者和其他可能接触者的感染风险。设计应当：</w:t>
            </w:r>
          </w:p>
          <w:p w14:paraId="38389D5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操作安全，易于处理；</w:t>
            </w:r>
          </w:p>
          <w:p w14:paraId="6EF90CA9"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尽量减少医疗器械的微生物泄漏和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或使用过程中的感染风险；</w:t>
            </w:r>
          </w:p>
          <w:p w14:paraId="6367AB79"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c)</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防止医疗器械或其内容物（例如：标本）的微生物污染；</w:t>
            </w:r>
          </w:p>
          <w:p w14:paraId="1B2A395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d)</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尽量减少意外风险（例如：割伤和刺伤（如针刺伤）、意外物质溅入眼睛等）。</w:t>
            </w:r>
          </w:p>
        </w:tc>
        <w:tc>
          <w:tcPr>
            <w:tcW w:w="819" w:type="dxa"/>
          </w:tcPr>
          <w:p w14:paraId="3DE7A104" w14:textId="05600774"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否</w:t>
            </w:r>
          </w:p>
        </w:tc>
      </w:tr>
      <w:tr w:rsidR="00F967A3" w:rsidRPr="008B6261" w14:paraId="54A735B1" w14:textId="77777777" w:rsidTr="00AB740F">
        <w:trPr>
          <w:jc w:val="center"/>
        </w:trPr>
        <w:tc>
          <w:tcPr>
            <w:tcW w:w="1161" w:type="dxa"/>
            <w:vAlign w:val="center"/>
          </w:tcPr>
          <w:p w14:paraId="2AB2F451"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A4</w:t>
            </w:r>
          </w:p>
        </w:tc>
        <w:tc>
          <w:tcPr>
            <w:tcW w:w="7198" w:type="dxa"/>
            <w:gridSpan w:val="2"/>
          </w:tcPr>
          <w:p w14:paraId="2E5381CC" w14:textId="77777777" w:rsidR="00F967A3" w:rsidRPr="008B6261" w:rsidRDefault="00F967A3" w:rsidP="00AB740F">
            <w:pPr>
              <w:pStyle w:val="af7"/>
              <w:spacing w:line="520" w:lineRule="exact"/>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灭菌和微生物污染</w:t>
            </w:r>
          </w:p>
        </w:tc>
      </w:tr>
      <w:tr w:rsidR="00F967A3" w:rsidRPr="008B6261" w14:paraId="43A86C41" w14:textId="77777777" w:rsidTr="00AB740F">
        <w:trPr>
          <w:jc w:val="center"/>
        </w:trPr>
        <w:tc>
          <w:tcPr>
            <w:tcW w:w="1161" w:type="dxa"/>
            <w:vAlign w:val="center"/>
          </w:tcPr>
          <w:p w14:paraId="2DC3A53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A4.1</w:t>
            </w:r>
          </w:p>
        </w:tc>
        <w:tc>
          <w:tcPr>
            <w:tcW w:w="6379" w:type="dxa"/>
          </w:tcPr>
          <w:p w14:paraId="45A4ECC4"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医疗器械其设计应当方便使用者对其进行安全清洁、消毒、灭菌和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或重复灭菌（必要时）。</w:t>
            </w:r>
          </w:p>
        </w:tc>
        <w:tc>
          <w:tcPr>
            <w:tcW w:w="819" w:type="dxa"/>
          </w:tcPr>
          <w:p w14:paraId="631BFC3C" w14:textId="64995991"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否</w:t>
            </w:r>
          </w:p>
        </w:tc>
      </w:tr>
      <w:tr w:rsidR="00F967A3" w:rsidRPr="008B6261" w14:paraId="2504FB35" w14:textId="77777777" w:rsidTr="00AB740F">
        <w:trPr>
          <w:jc w:val="center"/>
        </w:trPr>
        <w:tc>
          <w:tcPr>
            <w:tcW w:w="1161" w:type="dxa"/>
            <w:vAlign w:val="center"/>
          </w:tcPr>
          <w:p w14:paraId="2F4DC70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A4.2</w:t>
            </w:r>
          </w:p>
        </w:tc>
        <w:tc>
          <w:tcPr>
            <w:tcW w:w="6379" w:type="dxa"/>
          </w:tcPr>
          <w:p w14:paraId="55D8B04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具有微生物限度要求的医疗器械，其设计、生产和包装应当确保在出厂后，按照申请人规定的条件运输和贮存，符合微生物限度要求。</w:t>
            </w:r>
          </w:p>
        </w:tc>
        <w:tc>
          <w:tcPr>
            <w:tcW w:w="819" w:type="dxa"/>
          </w:tcPr>
          <w:p w14:paraId="74EF8D1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6801D117" w14:textId="77777777" w:rsidTr="00AB740F">
        <w:trPr>
          <w:jc w:val="center"/>
        </w:trPr>
        <w:tc>
          <w:tcPr>
            <w:tcW w:w="1161" w:type="dxa"/>
            <w:vAlign w:val="center"/>
          </w:tcPr>
          <w:p w14:paraId="4B25F54C"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A4.3</w:t>
            </w:r>
          </w:p>
        </w:tc>
        <w:tc>
          <w:tcPr>
            <w:tcW w:w="6379" w:type="dxa"/>
          </w:tcPr>
          <w:p w14:paraId="0A4044A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以无菌状态交付的医疗器械，其设计、生产和包装应按照适当的程序进行，以确保在出厂时无菌。在申请人规定的条件下运输和贮存的未破损无菌包装，打开前都应当保持无菌状态。应确保最终使用者可清晰地辨识包装的完整性（例如：防篡改包装）。</w:t>
            </w:r>
          </w:p>
        </w:tc>
        <w:tc>
          <w:tcPr>
            <w:tcW w:w="819" w:type="dxa"/>
          </w:tcPr>
          <w:p w14:paraId="5E9728B7" w14:textId="5B35A9E5"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否</w:t>
            </w:r>
          </w:p>
        </w:tc>
      </w:tr>
      <w:tr w:rsidR="00F967A3" w:rsidRPr="008B6261" w14:paraId="5C4FDE4B" w14:textId="77777777" w:rsidTr="00AB740F">
        <w:trPr>
          <w:jc w:val="center"/>
        </w:trPr>
        <w:tc>
          <w:tcPr>
            <w:tcW w:w="1161" w:type="dxa"/>
            <w:vAlign w:val="center"/>
          </w:tcPr>
          <w:p w14:paraId="28BF4CA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A4.4</w:t>
            </w:r>
          </w:p>
        </w:tc>
        <w:tc>
          <w:tcPr>
            <w:tcW w:w="6379" w:type="dxa"/>
          </w:tcPr>
          <w:p w14:paraId="4DED6336"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无菌医疗器械应按照经验证的方法进行加工、生产、包装和灭菌，其货架有效期应按照经验证的方法确定。</w:t>
            </w:r>
          </w:p>
        </w:tc>
        <w:tc>
          <w:tcPr>
            <w:tcW w:w="819" w:type="dxa"/>
          </w:tcPr>
          <w:p w14:paraId="2703EAB5" w14:textId="37D95341"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否</w:t>
            </w:r>
          </w:p>
        </w:tc>
      </w:tr>
      <w:tr w:rsidR="00F967A3" w:rsidRPr="008B6261" w14:paraId="0B37AC42" w14:textId="77777777" w:rsidTr="00AB740F">
        <w:trPr>
          <w:jc w:val="center"/>
        </w:trPr>
        <w:tc>
          <w:tcPr>
            <w:tcW w:w="1161" w:type="dxa"/>
            <w:vAlign w:val="center"/>
          </w:tcPr>
          <w:p w14:paraId="7F0FDA7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A4.5</w:t>
            </w:r>
          </w:p>
        </w:tc>
        <w:tc>
          <w:tcPr>
            <w:tcW w:w="6379" w:type="dxa"/>
          </w:tcPr>
          <w:p w14:paraId="1E3C93F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预期无菌使用的医疗器械（申请人灭菌或使用者灭菌），均应在适当且受控的条件和设施下生产和包装。</w:t>
            </w:r>
          </w:p>
        </w:tc>
        <w:tc>
          <w:tcPr>
            <w:tcW w:w="819" w:type="dxa"/>
          </w:tcPr>
          <w:p w14:paraId="15056671" w14:textId="4A2AB1AA"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否</w:t>
            </w:r>
          </w:p>
        </w:tc>
      </w:tr>
      <w:tr w:rsidR="00F967A3" w:rsidRPr="008B6261" w14:paraId="66352CA0" w14:textId="77777777" w:rsidTr="00AB740F">
        <w:trPr>
          <w:jc w:val="center"/>
        </w:trPr>
        <w:tc>
          <w:tcPr>
            <w:tcW w:w="1161" w:type="dxa"/>
            <w:vAlign w:val="center"/>
          </w:tcPr>
          <w:p w14:paraId="71D82415"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A4.6</w:t>
            </w:r>
          </w:p>
        </w:tc>
        <w:tc>
          <w:tcPr>
            <w:tcW w:w="6379" w:type="dxa"/>
          </w:tcPr>
          <w:p w14:paraId="0BED3E1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以非无菌状态交付，且使用前灭菌的医疗器械：</w:t>
            </w:r>
          </w:p>
          <w:p w14:paraId="27744AAE"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包装应尽量减少产品受到微生物污染的风险，且应适用于申请人规定的灭菌方法；</w:t>
            </w:r>
          </w:p>
          <w:p w14:paraId="3361C9E2"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申请人规定的灭菌方法应当经过验证。</w:t>
            </w:r>
          </w:p>
        </w:tc>
        <w:tc>
          <w:tcPr>
            <w:tcW w:w="819" w:type="dxa"/>
          </w:tcPr>
          <w:p w14:paraId="498AA051"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69C405DB" w14:textId="77777777" w:rsidTr="00AB740F">
        <w:trPr>
          <w:jc w:val="center"/>
        </w:trPr>
        <w:tc>
          <w:tcPr>
            <w:tcW w:w="1161" w:type="dxa"/>
            <w:vAlign w:val="center"/>
          </w:tcPr>
          <w:p w14:paraId="20FDD0D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A4.7</w:t>
            </w:r>
          </w:p>
        </w:tc>
        <w:tc>
          <w:tcPr>
            <w:tcW w:w="6379" w:type="dxa"/>
          </w:tcPr>
          <w:p w14:paraId="444286D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若医疗器械可以无菌和非无菌状态交付使用，应明确标识其交付状态。</w:t>
            </w:r>
          </w:p>
        </w:tc>
        <w:tc>
          <w:tcPr>
            <w:tcW w:w="819" w:type="dxa"/>
          </w:tcPr>
          <w:p w14:paraId="473C277F"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41E10938" w14:textId="77777777" w:rsidTr="00AB740F">
        <w:trPr>
          <w:jc w:val="center"/>
        </w:trPr>
        <w:tc>
          <w:tcPr>
            <w:tcW w:w="1161" w:type="dxa"/>
            <w:vAlign w:val="center"/>
          </w:tcPr>
          <w:p w14:paraId="202190C8"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A5</w:t>
            </w:r>
          </w:p>
        </w:tc>
        <w:tc>
          <w:tcPr>
            <w:tcW w:w="7198" w:type="dxa"/>
            <w:gridSpan w:val="2"/>
          </w:tcPr>
          <w:p w14:paraId="42BC038D" w14:textId="77777777" w:rsidR="00F967A3" w:rsidRPr="008B6261" w:rsidRDefault="00F967A3" w:rsidP="00AB740F">
            <w:pPr>
              <w:pStyle w:val="af7"/>
              <w:spacing w:line="520" w:lineRule="exact"/>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环境和使用条件</w:t>
            </w:r>
          </w:p>
        </w:tc>
      </w:tr>
      <w:tr w:rsidR="00F967A3" w:rsidRPr="008B6261" w14:paraId="33381817" w14:textId="77777777" w:rsidTr="00AB740F">
        <w:trPr>
          <w:jc w:val="center"/>
        </w:trPr>
        <w:tc>
          <w:tcPr>
            <w:tcW w:w="1161" w:type="dxa"/>
            <w:vAlign w:val="center"/>
          </w:tcPr>
          <w:p w14:paraId="712B90B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A5.1</w:t>
            </w:r>
          </w:p>
        </w:tc>
        <w:tc>
          <w:tcPr>
            <w:tcW w:w="6379" w:type="dxa"/>
          </w:tcPr>
          <w:p w14:paraId="2F5CBC5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如医疗器械预期与其他医疗器械或设备整合使用，应确保整合使用后的系统，包括连接系统，整体的安全性，且不影响器械本身的性能。整合使用上的限制应明确标识和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或在使用说明书中明确。对于需要使用者处理的连接，如液体、气体传输、电耦合或机械耦合等，在设计和生产过程中尽可能消除或降低所有可能的风险，包括错误连接或安全危害。</w:t>
            </w:r>
          </w:p>
        </w:tc>
        <w:tc>
          <w:tcPr>
            <w:tcW w:w="819" w:type="dxa"/>
          </w:tcPr>
          <w:p w14:paraId="13B21E10" w14:textId="121ED334"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否</w:t>
            </w:r>
          </w:p>
        </w:tc>
      </w:tr>
      <w:tr w:rsidR="00F967A3" w:rsidRPr="008B6261" w14:paraId="1BA0E7FC" w14:textId="77777777" w:rsidTr="00AB740F">
        <w:trPr>
          <w:jc w:val="center"/>
        </w:trPr>
        <w:tc>
          <w:tcPr>
            <w:tcW w:w="1161" w:type="dxa"/>
            <w:vAlign w:val="center"/>
          </w:tcPr>
          <w:p w14:paraId="0A0100C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A5.2</w:t>
            </w:r>
          </w:p>
        </w:tc>
        <w:tc>
          <w:tcPr>
            <w:tcW w:w="6379" w:type="dxa"/>
          </w:tcPr>
          <w:p w14:paraId="638689C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医疗器械的设计和生产应当考虑预期的使用环境和使用条件，以消除或降低下列风险：</w:t>
            </w:r>
          </w:p>
          <w:p w14:paraId="3B60BB29"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与物理和人体工程学</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可用性的特性有关，对使用者或他人造成损伤的风险；</w:t>
            </w:r>
          </w:p>
          <w:p w14:paraId="08F8F741"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由于用户界面设计、人体工程学</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可用性的特性以及预期使用环境导致的错误操作的风险；</w:t>
            </w:r>
          </w:p>
          <w:p w14:paraId="5232268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c)</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与合理可预期的外部因素或环境条件有关的风险，如磁场、外部电磁效应、静电释放、诊断和治疗带来的辐射、压力、湿度、温度和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或压力和加速</w:t>
            </w:r>
            <w:r w:rsidRPr="008B6261">
              <w:rPr>
                <w:rFonts w:ascii="Times New Roman" w:eastAsia="仿宋_GB2312" w:hAnsi="Times New Roman" w:hint="eastAsia"/>
                <w:color w:val="000000"/>
                <w:kern w:val="0"/>
                <w:sz w:val="28"/>
                <w:szCs w:val="28"/>
              </w:rPr>
              <w:lastRenderedPageBreak/>
              <w:t>度的变化；</w:t>
            </w:r>
          </w:p>
          <w:p w14:paraId="68FD899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d)</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正常使用条件下与固体材料、液体和其他物质，包括气体，接触而产生的风险；</w:t>
            </w:r>
          </w:p>
          <w:p w14:paraId="61948A06"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e)</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软件与信息技术（</w:t>
            </w:r>
            <w:r w:rsidRPr="008B6261">
              <w:rPr>
                <w:rFonts w:ascii="Times New Roman" w:eastAsia="仿宋_GB2312" w:hAnsi="Times New Roman" w:hint="eastAsia"/>
                <w:color w:val="000000"/>
                <w:kern w:val="0"/>
                <w:sz w:val="28"/>
                <w:szCs w:val="28"/>
              </w:rPr>
              <w:t>IT</w:t>
            </w:r>
            <w:r w:rsidRPr="008B6261">
              <w:rPr>
                <w:rFonts w:ascii="Times New Roman" w:eastAsia="仿宋_GB2312" w:hAnsi="Times New Roman" w:hint="eastAsia"/>
                <w:color w:val="000000"/>
                <w:kern w:val="0"/>
                <w:sz w:val="28"/>
                <w:szCs w:val="28"/>
              </w:rPr>
              <w:t>）运行环境的兼容性造成的风险；</w:t>
            </w:r>
          </w:p>
          <w:p w14:paraId="1A7FE10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f)</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正常使用过程中，医疗器械非预期析出物导致的环境风险；</w:t>
            </w:r>
          </w:p>
          <w:p w14:paraId="36E94D2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g)</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样本</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样品</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数据不正确识别和错误结果导致的风险，比如用于分析、测试或检测的样本容器、可拆卸部件和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或附件，其颜色和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或数字编码混淆；</w:t>
            </w:r>
          </w:p>
          <w:p w14:paraId="2F425339"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h)</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与其他用于诊断、监测或治疗的医疗器械互相干扰导致的风险。</w:t>
            </w:r>
          </w:p>
        </w:tc>
        <w:tc>
          <w:tcPr>
            <w:tcW w:w="819" w:type="dxa"/>
          </w:tcPr>
          <w:p w14:paraId="1E7F7B1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是</w:t>
            </w:r>
          </w:p>
        </w:tc>
      </w:tr>
      <w:tr w:rsidR="00F967A3" w:rsidRPr="008B6261" w14:paraId="71317632" w14:textId="77777777" w:rsidTr="00AB740F">
        <w:trPr>
          <w:jc w:val="center"/>
        </w:trPr>
        <w:tc>
          <w:tcPr>
            <w:tcW w:w="1161" w:type="dxa"/>
            <w:vAlign w:val="center"/>
          </w:tcPr>
          <w:p w14:paraId="06F079DB"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A5.3</w:t>
            </w:r>
          </w:p>
        </w:tc>
        <w:tc>
          <w:tcPr>
            <w:tcW w:w="6379" w:type="dxa"/>
          </w:tcPr>
          <w:p w14:paraId="527F68B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医疗器械的设计和生产应当消除或降低在正常状态及单一故障状态下燃烧和爆炸的风险，尤其是预期用途包括暴露于易燃、易爆物质或其他可致燃物相关的器械联用。</w:t>
            </w:r>
          </w:p>
        </w:tc>
        <w:tc>
          <w:tcPr>
            <w:tcW w:w="819" w:type="dxa"/>
          </w:tcPr>
          <w:p w14:paraId="7CE17AD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7EE91DF7" w14:textId="77777777" w:rsidTr="00AB740F">
        <w:trPr>
          <w:jc w:val="center"/>
        </w:trPr>
        <w:tc>
          <w:tcPr>
            <w:tcW w:w="1161" w:type="dxa"/>
            <w:vAlign w:val="center"/>
          </w:tcPr>
          <w:p w14:paraId="1190471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A5.4</w:t>
            </w:r>
          </w:p>
        </w:tc>
        <w:tc>
          <w:tcPr>
            <w:tcW w:w="6379" w:type="dxa"/>
          </w:tcPr>
          <w:p w14:paraId="6703F89F" w14:textId="77777777" w:rsidR="00F967A3" w:rsidRPr="008B6261" w:rsidRDefault="00F967A3" w:rsidP="00AB740F">
            <w:pPr>
              <w:spacing w:line="520" w:lineRule="exact"/>
              <w:rPr>
                <w:rFonts w:ascii="Times New Roman" w:eastAsia="仿宋_GB2312" w:hAnsi="Times New Roman"/>
                <w:sz w:val="28"/>
                <w:szCs w:val="28"/>
              </w:rPr>
            </w:pPr>
            <w:r w:rsidRPr="008B6261">
              <w:rPr>
                <w:rFonts w:ascii="Times New Roman" w:eastAsia="仿宋_GB2312" w:hAnsi="Times New Roman" w:hint="eastAsia"/>
                <w:sz w:val="28"/>
                <w:szCs w:val="28"/>
              </w:rPr>
              <w:t>医疗器械的设计和生产应能确保调整、校准和维护过程能够安全有效的完成。</w:t>
            </w:r>
          </w:p>
          <w:p w14:paraId="1E65DF9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对无法进行维护的医疗器械，如植入物，应尽量降低材料老化等风险；</w:t>
            </w:r>
          </w:p>
          <w:p w14:paraId="453FE9BE"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对无法进行调整和校准的医疗器械，如某些类型的温度计，应尽量降低测量或控制机制精度的损失风险。</w:t>
            </w:r>
          </w:p>
        </w:tc>
        <w:tc>
          <w:tcPr>
            <w:tcW w:w="819" w:type="dxa"/>
          </w:tcPr>
          <w:p w14:paraId="3FF6ECD9" w14:textId="77777777" w:rsidR="00F967A3" w:rsidRPr="008B6261" w:rsidRDefault="00F967A3" w:rsidP="00AB740F">
            <w:pPr>
              <w:spacing w:line="520" w:lineRule="exact"/>
              <w:jc w:val="center"/>
              <w:rPr>
                <w:rFonts w:ascii="Times New Roman" w:eastAsia="仿宋_GB2312" w:hAnsi="Times New Roman"/>
                <w:sz w:val="28"/>
                <w:szCs w:val="28"/>
              </w:rPr>
            </w:pPr>
            <w:r w:rsidRPr="008B6261">
              <w:rPr>
                <w:rFonts w:ascii="Times New Roman" w:eastAsia="仿宋_GB2312" w:hAnsi="Times New Roman" w:hint="eastAsia"/>
                <w:sz w:val="28"/>
                <w:szCs w:val="28"/>
              </w:rPr>
              <w:t>是</w:t>
            </w:r>
          </w:p>
        </w:tc>
      </w:tr>
      <w:tr w:rsidR="00F967A3" w:rsidRPr="008B6261" w14:paraId="52102123" w14:textId="77777777" w:rsidTr="00AB740F">
        <w:trPr>
          <w:jc w:val="center"/>
        </w:trPr>
        <w:tc>
          <w:tcPr>
            <w:tcW w:w="1161" w:type="dxa"/>
            <w:vAlign w:val="center"/>
          </w:tcPr>
          <w:p w14:paraId="502F847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A5.5</w:t>
            </w:r>
          </w:p>
        </w:tc>
        <w:tc>
          <w:tcPr>
            <w:tcW w:w="6379" w:type="dxa"/>
          </w:tcPr>
          <w:p w14:paraId="49F9AD42"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与其他医疗器械或产品联合使用的医疗器械，其设计和生产应能保证互操作性和兼容性可靠且安全。</w:t>
            </w:r>
          </w:p>
        </w:tc>
        <w:tc>
          <w:tcPr>
            <w:tcW w:w="819" w:type="dxa"/>
          </w:tcPr>
          <w:p w14:paraId="0A78A9A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2D12AA03" w14:textId="77777777" w:rsidTr="00AB740F">
        <w:trPr>
          <w:jc w:val="center"/>
        </w:trPr>
        <w:tc>
          <w:tcPr>
            <w:tcW w:w="1161" w:type="dxa"/>
            <w:vAlign w:val="center"/>
          </w:tcPr>
          <w:p w14:paraId="4FD4168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A5.6</w:t>
            </w:r>
          </w:p>
        </w:tc>
        <w:tc>
          <w:tcPr>
            <w:tcW w:w="6379" w:type="dxa"/>
          </w:tcPr>
          <w:p w14:paraId="16711894"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医疗器械的设计和生产应能降低未经授权的访问风</w:t>
            </w:r>
            <w:r w:rsidRPr="008B6261">
              <w:rPr>
                <w:rFonts w:ascii="Times New Roman" w:eastAsia="仿宋_GB2312" w:hAnsi="Times New Roman" w:hint="eastAsia"/>
                <w:color w:val="000000"/>
                <w:kern w:val="0"/>
                <w:sz w:val="28"/>
                <w:szCs w:val="28"/>
              </w:rPr>
              <w:lastRenderedPageBreak/>
              <w:t>险，这种访问可能会妨碍器械正常运行，或造成安全隐患。</w:t>
            </w:r>
          </w:p>
        </w:tc>
        <w:tc>
          <w:tcPr>
            <w:tcW w:w="819" w:type="dxa"/>
          </w:tcPr>
          <w:p w14:paraId="0BC8AFF3" w14:textId="7C897F13"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lastRenderedPageBreak/>
              <w:t>是</w:t>
            </w:r>
          </w:p>
        </w:tc>
      </w:tr>
      <w:tr w:rsidR="00F967A3" w:rsidRPr="008B6261" w14:paraId="2DC88C0E" w14:textId="77777777" w:rsidTr="00AB740F">
        <w:trPr>
          <w:jc w:val="center"/>
        </w:trPr>
        <w:tc>
          <w:tcPr>
            <w:tcW w:w="1161" w:type="dxa"/>
            <w:vAlign w:val="center"/>
          </w:tcPr>
          <w:p w14:paraId="4010F96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A5.7</w:t>
            </w:r>
          </w:p>
        </w:tc>
        <w:tc>
          <w:tcPr>
            <w:tcW w:w="6379" w:type="dxa"/>
          </w:tcPr>
          <w:p w14:paraId="663D973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具有测量、监视或有数值显示功能的医疗器械，其设计和生产应当符合人体工程学</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可用性原则，并应顾及器械预期用途、预期使用者、使用环境。</w:t>
            </w:r>
          </w:p>
        </w:tc>
        <w:tc>
          <w:tcPr>
            <w:tcW w:w="819" w:type="dxa"/>
          </w:tcPr>
          <w:p w14:paraId="63E0451E" w14:textId="7516FA7C"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是</w:t>
            </w:r>
          </w:p>
        </w:tc>
      </w:tr>
      <w:tr w:rsidR="00F967A3" w:rsidRPr="008B6261" w14:paraId="4D5F1300" w14:textId="77777777" w:rsidTr="00AB740F">
        <w:trPr>
          <w:jc w:val="center"/>
        </w:trPr>
        <w:tc>
          <w:tcPr>
            <w:tcW w:w="1161" w:type="dxa"/>
            <w:vAlign w:val="center"/>
          </w:tcPr>
          <w:p w14:paraId="01B1CE1B"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A5.8</w:t>
            </w:r>
          </w:p>
        </w:tc>
        <w:tc>
          <w:tcPr>
            <w:tcW w:w="6379" w:type="dxa"/>
          </w:tcPr>
          <w:p w14:paraId="1D3C8D32"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医疗器械的设计和生产应便于使用者、患者或其他人员对其以及相关废弃物的安全处置或再利用。使用说明书应明确安全处置或回收的程序和方法。</w:t>
            </w:r>
          </w:p>
        </w:tc>
        <w:tc>
          <w:tcPr>
            <w:tcW w:w="819" w:type="dxa"/>
          </w:tcPr>
          <w:p w14:paraId="3701712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5611B9F0" w14:textId="77777777" w:rsidTr="00AB740F">
        <w:trPr>
          <w:jc w:val="center"/>
        </w:trPr>
        <w:tc>
          <w:tcPr>
            <w:tcW w:w="1161" w:type="dxa"/>
            <w:vAlign w:val="center"/>
          </w:tcPr>
          <w:p w14:paraId="5368D06C"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A6</w:t>
            </w:r>
          </w:p>
        </w:tc>
        <w:tc>
          <w:tcPr>
            <w:tcW w:w="7198" w:type="dxa"/>
            <w:gridSpan w:val="2"/>
          </w:tcPr>
          <w:p w14:paraId="7710AEE0"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对电气、机械和热风险的防护</w:t>
            </w:r>
          </w:p>
        </w:tc>
      </w:tr>
      <w:tr w:rsidR="00F967A3" w:rsidRPr="008B6261" w14:paraId="7598092F" w14:textId="77777777" w:rsidTr="00AB740F">
        <w:trPr>
          <w:jc w:val="center"/>
        </w:trPr>
        <w:tc>
          <w:tcPr>
            <w:tcW w:w="1161" w:type="dxa"/>
            <w:vAlign w:val="center"/>
          </w:tcPr>
          <w:p w14:paraId="0117220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A6.1</w:t>
            </w:r>
          </w:p>
        </w:tc>
        <w:tc>
          <w:tcPr>
            <w:tcW w:w="6379" w:type="dxa"/>
          </w:tcPr>
          <w:p w14:paraId="6F821BD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医疗器械的设计和生产应具有机械相关的防护，保护使用者免于承受由诸如运动阻力、不稳定性和活动部件等引起的机械风险。</w:t>
            </w:r>
          </w:p>
        </w:tc>
        <w:tc>
          <w:tcPr>
            <w:tcW w:w="819" w:type="dxa"/>
          </w:tcPr>
          <w:p w14:paraId="6D73267A"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4C0B9682" w14:textId="77777777" w:rsidTr="00AB740F">
        <w:trPr>
          <w:jc w:val="center"/>
        </w:trPr>
        <w:tc>
          <w:tcPr>
            <w:tcW w:w="1161" w:type="dxa"/>
            <w:vAlign w:val="center"/>
          </w:tcPr>
          <w:p w14:paraId="64A53B72"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A6.2</w:t>
            </w:r>
          </w:p>
        </w:tc>
        <w:tc>
          <w:tcPr>
            <w:tcW w:w="6379" w:type="dxa"/>
          </w:tcPr>
          <w:p w14:paraId="31E6697E"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除非振动是器械特定性能的一部分，否则医疗器械的设计和生产应当将产品振动导致的风险降到最低，应尽量采用限制振动（特别是振动源）的方法。</w:t>
            </w:r>
          </w:p>
        </w:tc>
        <w:tc>
          <w:tcPr>
            <w:tcW w:w="819" w:type="dxa"/>
          </w:tcPr>
          <w:p w14:paraId="6F69E1E2"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1D26B3C9" w14:textId="77777777" w:rsidTr="00AB740F">
        <w:trPr>
          <w:jc w:val="center"/>
        </w:trPr>
        <w:tc>
          <w:tcPr>
            <w:tcW w:w="1161" w:type="dxa"/>
            <w:vAlign w:val="center"/>
          </w:tcPr>
          <w:p w14:paraId="7399D95B"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A6.3</w:t>
            </w:r>
          </w:p>
        </w:tc>
        <w:tc>
          <w:tcPr>
            <w:tcW w:w="6379" w:type="dxa"/>
          </w:tcPr>
          <w:p w14:paraId="703479FB" w14:textId="77777777" w:rsidR="00F967A3" w:rsidRPr="008B6261" w:rsidRDefault="00F967A3" w:rsidP="00AB740F">
            <w:pPr>
              <w:spacing w:line="520" w:lineRule="exact"/>
              <w:jc w:val="left"/>
              <w:rPr>
                <w:rFonts w:ascii="Times New Roman" w:eastAsia="仿宋_GB2312" w:hAnsi="Times New Roman"/>
                <w:color w:val="000000"/>
                <w:spacing w:val="-4"/>
                <w:kern w:val="0"/>
                <w:sz w:val="28"/>
                <w:szCs w:val="28"/>
              </w:rPr>
            </w:pPr>
            <w:r w:rsidRPr="008B6261">
              <w:rPr>
                <w:rFonts w:ascii="Times New Roman" w:eastAsia="仿宋_GB2312" w:hAnsi="Times New Roman" w:hint="eastAsia"/>
                <w:color w:val="000000"/>
                <w:spacing w:val="-4"/>
                <w:kern w:val="0"/>
                <w:sz w:val="28"/>
                <w:szCs w:val="28"/>
              </w:rPr>
              <w:t>除非噪声是器械特定性能的一部分，否则医疗器械设计和生产应将产品噪声导致的风险降到最低，应尽量采用限制噪声（特别是噪声源）的方法。</w:t>
            </w:r>
          </w:p>
        </w:tc>
        <w:tc>
          <w:tcPr>
            <w:tcW w:w="819" w:type="dxa"/>
          </w:tcPr>
          <w:p w14:paraId="28389130" w14:textId="77777777" w:rsidR="00F967A3" w:rsidRPr="008B6261" w:rsidRDefault="00F967A3" w:rsidP="00AB740F">
            <w:pPr>
              <w:spacing w:line="520" w:lineRule="exact"/>
              <w:jc w:val="center"/>
              <w:rPr>
                <w:rFonts w:ascii="Times New Roman" w:eastAsia="仿宋_GB2312" w:hAnsi="Times New Roman"/>
                <w:color w:val="000000"/>
                <w:spacing w:val="-4"/>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47C5B765" w14:textId="77777777" w:rsidTr="00AB740F">
        <w:trPr>
          <w:jc w:val="center"/>
        </w:trPr>
        <w:tc>
          <w:tcPr>
            <w:tcW w:w="1161" w:type="dxa"/>
            <w:vAlign w:val="center"/>
          </w:tcPr>
          <w:p w14:paraId="70CBD53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A6.4</w:t>
            </w:r>
          </w:p>
        </w:tc>
        <w:tc>
          <w:tcPr>
            <w:tcW w:w="6379" w:type="dxa"/>
          </w:tcPr>
          <w:p w14:paraId="56BFD62E" w14:textId="77777777" w:rsidR="00F967A3" w:rsidRPr="008B6261" w:rsidRDefault="00F967A3" w:rsidP="00AB740F">
            <w:pPr>
              <w:spacing w:line="520" w:lineRule="exact"/>
              <w:jc w:val="left"/>
              <w:rPr>
                <w:rFonts w:ascii="Times New Roman" w:eastAsia="仿宋_GB2312" w:hAnsi="Times New Roman"/>
                <w:color w:val="000000"/>
                <w:spacing w:val="-4"/>
                <w:kern w:val="0"/>
                <w:sz w:val="28"/>
                <w:szCs w:val="28"/>
              </w:rPr>
            </w:pPr>
            <w:r w:rsidRPr="008B6261">
              <w:rPr>
                <w:rFonts w:ascii="Times New Roman" w:eastAsia="仿宋_GB2312" w:hAnsi="Times New Roman" w:hint="eastAsia"/>
                <w:color w:val="000000"/>
                <w:spacing w:val="-4"/>
                <w:kern w:val="0"/>
                <w:sz w:val="28"/>
                <w:szCs w:val="28"/>
              </w:rPr>
              <w:t>如果医疗器械的部件在使用前或使用中需要进行连接或重新连接，其设计和生产应当降低这些部件间的连接故障风险。</w:t>
            </w:r>
          </w:p>
        </w:tc>
        <w:tc>
          <w:tcPr>
            <w:tcW w:w="819" w:type="dxa"/>
          </w:tcPr>
          <w:p w14:paraId="188880E6" w14:textId="3AF9ACF7" w:rsidR="00F967A3" w:rsidRPr="008B6261" w:rsidRDefault="001371DB" w:rsidP="00AB740F">
            <w:pPr>
              <w:spacing w:line="520" w:lineRule="exact"/>
              <w:jc w:val="center"/>
              <w:rPr>
                <w:rFonts w:ascii="Times New Roman" w:eastAsia="仿宋_GB2312" w:hAnsi="Times New Roman"/>
                <w:color w:val="000000"/>
                <w:spacing w:val="-4"/>
                <w:kern w:val="0"/>
                <w:sz w:val="28"/>
                <w:szCs w:val="28"/>
              </w:rPr>
            </w:pPr>
            <w:r>
              <w:rPr>
                <w:rFonts w:ascii="Times New Roman" w:eastAsia="仿宋_GB2312" w:hAnsi="Times New Roman" w:hint="eastAsia"/>
                <w:color w:val="000000"/>
                <w:kern w:val="0"/>
                <w:sz w:val="28"/>
                <w:szCs w:val="28"/>
              </w:rPr>
              <w:t>否</w:t>
            </w:r>
          </w:p>
        </w:tc>
      </w:tr>
      <w:tr w:rsidR="00F967A3" w:rsidRPr="008B6261" w14:paraId="2B2FF831" w14:textId="77777777" w:rsidTr="00AB740F">
        <w:trPr>
          <w:jc w:val="center"/>
        </w:trPr>
        <w:tc>
          <w:tcPr>
            <w:tcW w:w="1161" w:type="dxa"/>
            <w:vAlign w:val="center"/>
          </w:tcPr>
          <w:p w14:paraId="07196E3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A6.5</w:t>
            </w:r>
          </w:p>
        </w:tc>
        <w:tc>
          <w:tcPr>
            <w:tcW w:w="6379" w:type="dxa"/>
          </w:tcPr>
          <w:p w14:paraId="75A6FE1D" w14:textId="77777777" w:rsidR="00F967A3" w:rsidRPr="008B6261" w:rsidRDefault="00F967A3" w:rsidP="00AB740F">
            <w:pPr>
              <w:spacing w:line="520" w:lineRule="exact"/>
              <w:jc w:val="left"/>
              <w:rPr>
                <w:rFonts w:ascii="Times New Roman" w:eastAsia="仿宋_GB2312" w:hAnsi="Times New Roman"/>
                <w:color w:val="000000"/>
                <w:spacing w:val="-4"/>
                <w:kern w:val="0"/>
                <w:sz w:val="28"/>
                <w:szCs w:val="28"/>
              </w:rPr>
            </w:pPr>
            <w:r w:rsidRPr="008B6261">
              <w:rPr>
                <w:rFonts w:ascii="Times New Roman" w:eastAsia="仿宋_GB2312" w:hAnsi="Times New Roman" w:hint="eastAsia"/>
                <w:color w:val="000000"/>
                <w:spacing w:val="-4"/>
                <w:kern w:val="0"/>
                <w:sz w:val="28"/>
                <w:szCs w:val="28"/>
              </w:rPr>
              <w:t>医疗器械的可接触部件（不包括用于供热或既定温度设置部位）及其周围环境，在正常使用时不应存在过热风险。</w:t>
            </w:r>
          </w:p>
        </w:tc>
        <w:tc>
          <w:tcPr>
            <w:tcW w:w="819" w:type="dxa"/>
          </w:tcPr>
          <w:p w14:paraId="226F8437" w14:textId="77777777" w:rsidR="00F967A3" w:rsidRPr="008B6261" w:rsidRDefault="00FC415B" w:rsidP="00AB740F">
            <w:pPr>
              <w:spacing w:line="520" w:lineRule="exact"/>
              <w:jc w:val="center"/>
              <w:rPr>
                <w:rFonts w:ascii="Times New Roman" w:eastAsia="仿宋_GB2312" w:hAnsi="Times New Roman"/>
                <w:color w:val="000000"/>
                <w:spacing w:val="-4"/>
                <w:kern w:val="0"/>
                <w:sz w:val="28"/>
                <w:szCs w:val="28"/>
              </w:rPr>
            </w:pPr>
            <w:r w:rsidRPr="008B6261">
              <w:rPr>
                <w:rFonts w:ascii="Times New Roman" w:eastAsia="仿宋_GB2312" w:hAnsi="Times New Roman" w:hint="eastAsia"/>
                <w:color w:val="000000"/>
                <w:spacing w:val="-4"/>
                <w:kern w:val="0"/>
                <w:sz w:val="28"/>
                <w:szCs w:val="28"/>
              </w:rPr>
              <w:t>否</w:t>
            </w:r>
          </w:p>
        </w:tc>
      </w:tr>
      <w:tr w:rsidR="00F967A3" w:rsidRPr="008B6261" w14:paraId="6D557193" w14:textId="77777777" w:rsidTr="00AB740F">
        <w:trPr>
          <w:trHeight w:val="291"/>
          <w:jc w:val="center"/>
        </w:trPr>
        <w:tc>
          <w:tcPr>
            <w:tcW w:w="1161" w:type="dxa"/>
            <w:vAlign w:val="center"/>
          </w:tcPr>
          <w:p w14:paraId="6A512AD8"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A7</w:t>
            </w:r>
          </w:p>
        </w:tc>
        <w:tc>
          <w:tcPr>
            <w:tcW w:w="7198" w:type="dxa"/>
            <w:gridSpan w:val="2"/>
            <w:vAlign w:val="center"/>
          </w:tcPr>
          <w:p w14:paraId="46E57F6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有源医疗器械及与其连接的医疗器械</w:t>
            </w:r>
          </w:p>
        </w:tc>
      </w:tr>
      <w:tr w:rsidR="00F967A3" w:rsidRPr="008B6261" w14:paraId="5FC27AAC" w14:textId="77777777" w:rsidTr="00AB740F">
        <w:trPr>
          <w:jc w:val="center"/>
        </w:trPr>
        <w:tc>
          <w:tcPr>
            <w:tcW w:w="1161" w:type="dxa"/>
            <w:vAlign w:val="center"/>
          </w:tcPr>
          <w:p w14:paraId="01F3087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A7.1</w:t>
            </w:r>
          </w:p>
        </w:tc>
        <w:tc>
          <w:tcPr>
            <w:tcW w:w="6379" w:type="dxa"/>
          </w:tcPr>
          <w:p w14:paraId="6398A501"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当有源医疗器械发生单一故障时，应当采取适当的</w:t>
            </w:r>
            <w:r w:rsidRPr="008B6261">
              <w:rPr>
                <w:rFonts w:ascii="Times New Roman" w:eastAsia="仿宋_GB2312" w:hAnsi="Times New Roman" w:hint="eastAsia"/>
                <w:color w:val="000000"/>
                <w:kern w:val="0"/>
                <w:sz w:val="28"/>
                <w:szCs w:val="28"/>
              </w:rPr>
              <w:lastRenderedPageBreak/>
              <w:t>措施消除或降低因此而产生的风险。</w:t>
            </w:r>
          </w:p>
        </w:tc>
        <w:tc>
          <w:tcPr>
            <w:tcW w:w="819" w:type="dxa"/>
          </w:tcPr>
          <w:p w14:paraId="71FF0728" w14:textId="32AFFC1F"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lastRenderedPageBreak/>
              <w:t>否</w:t>
            </w:r>
          </w:p>
        </w:tc>
      </w:tr>
      <w:tr w:rsidR="00F967A3" w:rsidRPr="008B6261" w14:paraId="1B60EC7F" w14:textId="77777777" w:rsidTr="00AB740F">
        <w:trPr>
          <w:jc w:val="center"/>
        </w:trPr>
        <w:tc>
          <w:tcPr>
            <w:tcW w:w="1161" w:type="dxa"/>
            <w:vAlign w:val="center"/>
          </w:tcPr>
          <w:p w14:paraId="42E8FD1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A7.2</w:t>
            </w:r>
          </w:p>
        </w:tc>
        <w:tc>
          <w:tcPr>
            <w:tcW w:w="6379" w:type="dxa"/>
          </w:tcPr>
          <w:p w14:paraId="7F43193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患者的安全依赖于内部电源供电的医疗器械，应当具有检测供电状态的功能，并在电源容量不足时提供适当的提示或警告。</w:t>
            </w:r>
          </w:p>
        </w:tc>
        <w:tc>
          <w:tcPr>
            <w:tcW w:w="819" w:type="dxa"/>
          </w:tcPr>
          <w:p w14:paraId="4C2AA74C"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6DC8A761" w14:textId="77777777" w:rsidTr="00AB740F">
        <w:trPr>
          <w:jc w:val="center"/>
        </w:trPr>
        <w:tc>
          <w:tcPr>
            <w:tcW w:w="1161" w:type="dxa"/>
            <w:vAlign w:val="center"/>
          </w:tcPr>
          <w:p w14:paraId="705D8E7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A7.3</w:t>
            </w:r>
          </w:p>
        </w:tc>
        <w:tc>
          <w:tcPr>
            <w:tcW w:w="6379" w:type="dxa"/>
          </w:tcPr>
          <w:p w14:paraId="502F4C4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患者的安全取决于外部电源供电状态的医疗器械，应当包括可显示任何电源故障的报警系统。</w:t>
            </w:r>
          </w:p>
        </w:tc>
        <w:tc>
          <w:tcPr>
            <w:tcW w:w="819" w:type="dxa"/>
          </w:tcPr>
          <w:p w14:paraId="418D88DF"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015E22A2" w14:textId="77777777" w:rsidTr="00AB740F">
        <w:trPr>
          <w:jc w:val="center"/>
        </w:trPr>
        <w:tc>
          <w:tcPr>
            <w:tcW w:w="1161" w:type="dxa"/>
            <w:vAlign w:val="center"/>
          </w:tcPr>
          <w:p w14:paraId="45CA224F"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A7.4</w:t>
            </w:r>
          </w:p>
        </w:tc>
        <w:tc>
          <w:tcPr>
            <w:tcW w:w="6379" w:type="dxa"/>
          </w:tcPr>
          <w:p w14:paraId="7693041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用于监视患者一个或多个临床指标的医疗器械，必须配备适当报警系统，在患者健康状况恶化或危及生命时，向使用者发出警报。</w:t>
            </w:r>
          </w:p>
        </w:tc>
        <w:tc>
          <w:tcPr>
            <w:tcW w:w="819" w:type="dxa"/>
          </w:tcPr>
          <w:p w14:paraId="0110ECEE"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6D3EA865" w14:textId="77777777" w:rsidTr="00AB740F">
        <w:trPr>
          <w:jc w:val="center"/>
        </w:trPr>
        <w:tc>
          <w:tcPr>
            <w:tcW w:w="1161" w:type="dxa"/>
            <w:vAlign w:val="center"/>
          </w:tcPr>
          <w:p w14:paraId="13634ED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A7.5</w:t>
            </w:r>
          </w:p>
        </w:tc>
        <w:tc>
          <w:tcPr>
            <w:tcW w:w="6379" w:type="dxa"/>
          </w:tcPr>
          <w:p w14:paraId="63D52120"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鉴于电磁干扰可能会损害正常运行的装置或设备，医疗器械的设计和生产应降低产生电磁干扰的风险。</w:t>
            </w:r>
          </w:p>
        </w:tc>
        <w:tc>
          <w:tcPr>
            <w:tcW w:w="819" w:type="dxa"/>
          </w:tcPr>
          <w:p w14:paraId="0264B9F5"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0AB4189D" w14:textId="77777777" w:rsidTr="00AB740F">
        <w:trPr>
          <w:trHeight w:val="334"/>
          <w:jc w:val="center"/>
        </w:trPr>
        <w:tc>
          <w:tcPr>
            <w:tcW w:w="1161" w:type="dxa"/>
            <w:vAlign w:val="center"/>
          </w:tcPr>
          <w:p w14:paraId="17CF13F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A7.6</w:t>
            </w:r>
          </w:p>
        </w:tc>
        <w:tc>
          <w:tcPr>
            <w:tcW w:w="6379" w:type="dxa"/>
            <w:vAlign w:val="center"/>
          </w:tcPr>
          <w:p w14:paraId="7E3DE370" w14:textId="77777777" w:rsidR="00F967A3" w:rsidRPr="008B6261" w:rsidRDefault="00F967A3" w:rsidP="00AB740F">
            <w:pPr>
              <w:spacing w:line="520" w:lineRule="exac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医疗器械的设计和生产，应确保产品具有足够的抗电磁干扰能力，以确保产品的正常运行。</w:t>
            </w:r>
          </w:p>
        </w:tc>
        <w:tc>
          <w:tcPr>
            <w:tcW w:w="819" w:type="dxa"/>
          </w:tcPr>
          <w:p w14:paraId="274B316E" w14:textId="14C0F4F5"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否</w:t>
            </w:r>
          </w:p>
        </w:tc>
      </w:tr>
      <w:tr w:rsidR="00F967A3" w:rsidRPr="008B6261" w14:paraId="4A12C8E1" w14:textId="77777777" w:rsidTr="00AB740F">
        <w:trPr>
          <w:jc w:val="center"/>
        </w:trPr>
        <w:tc>
          <w:tcPr>
            <w:tcW w:w="1161" w:type="dxa"/>
            <w:vAlign w:val="center"/>
          </w:tcPr>
          <w:p w14:paraId="3A20F5BC"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A7.7</w:t>
            </w:r>
          </w:p>
        </w:tc>
        <w:tc>
          <w:tcPr>
            <w:tcW w:w="6379" w:type="dxa"/>
          </w:tcPr>
          <w:p w14:paraId="1D7FF7B4"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当产品按申请人的说明进行安装和维护，在正常状态和单一故障状态时，医疗器械的设计和生产应减少使用者和他人免于遭受意外电击的风险。</w:t>
            </w:r>
          </w:p>
        </w:tc>
        <w:tc>
          <w:tcPr>
            <w:tcW w:w="819" w:type="dxa"/>
          </w:tcPr>
          <w:p w14:paraId="514E7607" w14:textId="795A9976"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否</w:t>
            </w:r>
          </w:p>
        </w:tc>
      </w:tr>
      <w:tr w:rsidR="00F967A3" w:rsidRPr="008B6261" w14:paraId="2CA06DAF" w14:textId="77777777" w:rsidTr="00AB740F">
        <w:trPr>
          <w:trHeight w:val="243"/>
          <w:jc w:val="center"/>
        </w:trPr>
        <w:tc>
          <w:tcPr>
            <w:tcW w:w="1161" w:type="dxa"/>
            <w:vAlign w:val="center"/>
          </w:tcPr>
          <w:p w14:paraId="4DB12D83"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A8</w:t>
            </w:r>
          </w:p>
        </w:tc>
        <w:tc>
          <w:tcPr>
            <w:tcW w:w="7198" w:type="dxa"/>
            <w:gridSpan w:val="2"/>
          </w:tcPr>
          <w:p w14:paraId="212BE943" w14:textId="77777777" w:rsidR="00F967A3" w:rsidRPr="008B6261" w:rsidRDefault="00F967A3" w:rsidP="00AB740F">
            <w:pPr>
              <w:pStyle w:val="af7"/>
              <w:spacing w:line="520" w:lineRule="exact"/>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含有软件的医疗器械以及独立软件</w:t>
            </w:r>
          </w:p>
        </w:tc>
      </w:tr>
      <w:tr w:rsidR="00F967A3" w:rsidRPr="008B6261" w14:paraId="32C10ED5" w14:textId="77777777" w:rsidTr="00AB740F">
        <w:trPr>
          <w:jc w:val="center"/>
        </w:trPr>
        <w:tc>
          <w:tcPr>
            <w:tcW w:w="1161" w:type="dxa"/>
            <w:vAlign w:val="center"/>
          </w:tcPr>
          <w:p w14:paraId="219C8AD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A8.1</w:t>
            </w:r>
          </w:p>
        </w:tc>
        <w:tc>
          <w:tcPr>
            <w:tcW w:w="6379" w:type="dxa"/>
          </w:tcPr>
          <w:p w14:paraId="0D876A1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含有电子可编程系统（内含软件组件）的医疗器械或独立软件的设计，应确保准确度、可靠性、精确度、安全和性能符合其预期用途。应采取适当措施，消除或减少单一故障导致的风险或性能降低。</w:t>
            </w:r>
          </w:p>
        </w:tc>
        <w:tc>
          <w:tcPr>
            <w:tcW w:w="819" w:type="dxa"/>
          </w:tcPr>
          <w:p w14:paraId="1EFEDF16" w14:textId="7464BC49"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是</w:t>
            </w:r>
          </w:p>
        </w:tc>
      </w:tr>
      <w:tr w:rsidR="00F967A3" w:rsidRPr="008B6261" w14:paraId="48906AA0" w14:textId="77777777" w:rsidTr="00AB740F">
        <w:trPr>
          <w:jc w:val="center"/>
        </w:trPr>
        <w:tc>
          <w:tcPr>
            <w:tcW w:w="1161" w:type="dxa"/>
            <w:vAlign w:val="center"/>
          </w:tcPr>
          <w:p w14:paraId="3362D1E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A8.2</w:t>
            </w:r>
          </w:p>
        </w:tc>
        <w:tc>
          <w:tcPr>
            <w:tcW w:w="6379" w:type="dxa"/>
          </w:tcPr>
          <w:p w14:paraId="711C550D"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含有软件组件的医疗器械或独立软件，应根据先进技术进行开发、生产和维护，同时应当考虑开发生存周期（如快速迭代开发、频繁更新、更新的累积效应）、风险管理（如系统、环境和数据的变化）</w:t>
            </w:r>
            <w:r w:rsidRPr="008B6261">
              <w:rPr>
                <w:rFonts w:ascii="Times New Roman" w:eastAsia="仿宋_GB2312" w:hAnsi="Times New Roman" w:hint="eastAsia"/>
                <w:color w:val="000000"/>
                <w:kern w:val="0"/>
                <w:sz w:val="28"/>
                <w:szCs w:val="28"/>
              </w:rPr>
              <w:lastRenderedPageBreak/>
              <w:t>等原则，包括信息安全（如安全地进行更新）、验证和确认（如更新管理过程）的要求。</w:t>
            </w:r>
          </w:p>
        </w:tc>
        <w:tc>
          <w:tcPr>
            <w:tcW w:w="819" w:type="dxa"/>
          </w:tcPr>
          <w:p w14:paraId="66F7B966" w14:textId="3FA2156C"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lastRenderedPageBreak/>
              <w:t>是</w:t>
            </w:r>
          </w:p>
        </w:tc>
      </w:tr>
      <w:tr w:rsidR="00F967A3" w:rsidRPr="008B6261" w14:paraId="51BB85E7" w14:textId="77777777" w:rsidTr="00AB740F">
        <w:trPr>
          <w:jc w:val="center"/>
        </w:trPr>
        <w:tc>
          <w:tcPr>
            <w:tcW w:w="1161" w:type="dxa"/>
            <w:vAlign w:val="center"/>
          </w:tcPr>
          <w:p w14:paraId="67575D8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A8.3</w:t>
            </w:r>
          </w:p>
        </w:tc>
        <w:tc>
          <w:tcPr>
            <w:tcW w:w="6379" w:type="dxa"/>
          </w:tcPr>
          <w:p w14:paraId="1DAC095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预期与移动计算平台整合使用的软件，其设计和开发，应当考虑平台本身（如屏幕尺寸和对比度、联通性、内存等）以及与其使用相关的外部因素（不同环境下的照明或噪声水平）。</w:t>
            </w:r>
          </w:p>
        </w:tc>
        <w:tc>
          <w:tcPr>
            <w:tcW w:w="819" w:type="dxa"/>
          </w:tcPr>
          <w:p w14:paraId="6BEF2DC3" w14:textId="4B65BE28" w:rsidR="00F967A3" w:rsidRPr="008B6261" w:rsidRDefault="001371D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spacing w:val="-4"/>
                <w:kern w:val="0"/>
                <w:sz w:val="28"/>
                <w:szCs w:val="28"/>
              </w:rPr>
              <w:t>视情况而定</w:t>
            </w:r>
          </w:p>
        </w:tc>
      </w:tr>
      <w:tr w:rsidR="00F967A3" w:rsidRPr="008B6261" w14:paraId="729CFD1A" w14:textId="77777777" w:rsidTr="00AB740F">
        <w:trPr>
          <w:jc w:val="center"/>
        </w:trPr>
        <w:tc>
          <w:tcPr>
            <w:tcW w:w="1161" w:type="dxa"/>
            <w:vAlign w:val="center"/>
          </w:tcPr>
          <w:p w14:paraId="220CD6B2"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A8.4</w:t>
            </w:r>
          </w:p>
        </w:tc>
        <w:tc>
          <w:tcPr>
            <w:tcW w:w="6379" w:type="dxa"/>
          </w:tcPr>
          <w:p w14:paraId="6195341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申请人应规定软件按照预期正常运行所必须的最低要求，如硬件、</w:t>
            </w:r>
            <w:r w:rsidRPr="008B6261">
              <w:rPr>
                <w:rFonts w:ascii="Times New Roman" w:eastAsia="仿宋_GB2312" w:hAnsi="Times New Roman" w:hint="eastAsia"/>
                <w:color w:val="000000"/>
                <w:kern w:val="0"/>
                <w:sz w:val="28"/>
                <w:szCs w:val="28"/>
              </w:rPr>
              <w:t>IT</w:t>
            </w:r>
            <w:r w:rsidRPr="008B6261">
              <w:rPr>
                <w:rFonts w:ascii="Times New Roman" w:eastAsia="仿宋_GB2312" w:hAnsi="Times New Roman" w:hint="eastAsia"/>
                <w:color w:val="000000"/>
                <w:kern w:val="0"/>
                <w:sz w:val="28"/>
                <w:szCs w:val="28"/>
              </w:rPr>
              <w:t>网络特性和</w:t>
            </w:r>
            <w:r w:rsidRPr="008B6261">
              <w:rPr>
                <w:rFonts w:ascii="Times New Roman" w:eastAsia="仿宋_GB2312" w:hAnsi="Times New Roman" w:hint="eastAsia"/>
                <w:color w:val="000000"/>
                <w:kern w:val="0"/>
                <w:sz w:val="28"/>
                <w:szCs w:val="28"/>
              </w:rPr>
              <w:t>IT</w:t>
            </w:r>
            <w:r w:rsidRPr="008B6261">
              <w:rPr>
                <w:rFonts w:ascii="Times New Roman" w:eastAsia="仿宋_GB2312" w:hAnsi="Times New Roman" w:hint="eastAsia"/>
                <w:color w:val="000000"/>
                <w:kern w:val="0"/>
                <w:sz w:val="28"/>
                <w:szCs w:val="28"/>
              </w:rPr>
              <w:t>网络安全措施，包括未经授权的访问。</w:t>
            </w:r>
          </w:p>
        </w:tc>
        <w:tc>
          <w:tcPr>
            <w:tcW w:w="819" w:type="dxa"/>
          </w:tcPr>
          <w:p w14:paraId="33FC56DC" w14:textId="24AB7411"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是</w:t>
            </w:r>
          </w:p>
        </w:tc>
      </w:tr>
      <w:tr w:rsidR="00F967A3" w:rsidRPr="008B6261" w14:paraId="019A90E9" w14:textId="77777777" w:rsidTr="00AB740F">
        <w:trPr>
          <w:jc w:val="center"/>
        </w:trPr>
        <w:tc>
          <w:tcPr>
            <w:tcW w:w="1161" w:type="dxa"/>
            <w:vAlign w:val="center"/>
          </w:tcPr>
          <w:p w14:paraId="0BA6BDB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A8.5</w:t>
            </w:r>
          </w:p>
        </w:tc>
        <w:tc>
          <w:tcPr>
            <w:tcW w:w="6379" w:type="dxa"/>
          </w:tcPr>
          <w:p w14:paraId="16C8E54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医疗器械的设计、生产和维护应能提供足够的网络安全水平，以防止未经授权的访问。</w:t>
            </w:r>
          </w:p>
        </w:tc>
        <w:tc>
          <w:tcPr>
            <w:tcW w:w="819" w:type="dxa"/>
          </w:tcPr>
          <w:p w14:paraId="3410BFCB"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1B56C1F6" w14:textId="77777777" w:rsidTr="00AB740F">
        <w:trPr>
          <w:jc w:val="center"/>
        </w:trPr>
        <w:tc>
          <w:tcPr>
            <w:tcW w:w="1161" w:type="dxa"/>
            <w:vAlign w:val="center"/>
          </w:tcPr>
          <w:p w14:paraId="21B5FD08"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A9</w:t>
            </w:r>
          </w:p>
        </w:tc>
        <w:tc>
          <w:tcPr>
            <w:tcW w:w="7198" w:type="dxa"/>
            <w:gridSpan w:val="2"/>
          </w:tcPr>
          <w:p w14:paraId="5DB8F33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具有诊断或测量功能的医疗器械</w:t>
            </w:r>
          </w:p>
        </w:tc>
      </w:tr>
      <w:tr w:rsidR="00F967A3" w:rsidRPr="008B6261" w14:paraId="4722C40A" w14:textId="77777777" w:rsidTr="00AB740F">
        <w:trPr>
          <w:jc w:val="center"/>
        </w:trPr>
        <w:tc>
          <w:tcPr>
            <w:tcW w:w="1161" w:type="dxa"/>
            <w:vAlign w:val="center"/>
          </w:tcPr>
          <w:p w14:paraId="6A5BAEAA"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A9.1</w:t>
            </w:r>
          </w:p>
        </w:tc>
        <w:tc>
          <w:tcPr>
            <w:tcW w:w="6379" w:type="dxa"/>
          </w:tcPr>
          <w:p w14:paraId="5A48A7B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具有诊断或测量（包括监测）功能的医疗器械的设计和生产，应当基于适当的科技方法，除其他性能外，还应确保相应的准确度、精密度和稳定性，以实现其预期目的。</w:t>
            </w:r>
          </w:p>
          <w:p w14:paraId="30571044"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申请人应规定准确度限值（如适用）。</w:t>
            </w:r>
          </w:p>
          <w:p w14:paraId="1717D30D"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为便于使用者理解和接受，数字化测量值应以标准化单位表示（如可能），推荐使用国际通用的标准计量单位，考虑到安全、使用者的熟悉程度和既往的临床实践，也可使用其他公认的计量单位。</w:t>
            </w:r>
          </w:p>
          <w:p w14:paraId="0808651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c)</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医疗器械导示器和控制器的功能应有详细的说明，若器械通过可视化系统提供与操作、操作指示或调整参数有关的说明，该类信息应能够被使用者和患者（适用时）理解。</w:t>
            </w:r>
          </w:p>
        </w:tc>
        <w:tc>
          <w:tcPr>
            <w:tcW w:w="819" w:type="dxa"/>
          </w:tcPr>
          <w:p w14:paraId="451B65F2"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08D44061" w14:textId="77777777" w:rsidTr="00AB740F">
        <w:trPr>
          <w:jc w:val="center"/>
        </w:trPr>
        <w:tc>
          <w:tcPr>
            <w:tcW w:w="1161" w:type="dxa"/>
            <w:vAlign w:val="center"/>
          </w:tcPr>
          <w:p w14:paraId="1BC7864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A10</w:t>
            </w:r>
          </w:p>
        </w:tc>
        <w:tc>
          <w:tcPr>
            <w:tcW w:w="7198" w:type="dxa"/>
            <w:gridSpan w:val="2"/>
          </w:tcPr>
          <w:p w14:paraId="5077390B" w14:textId="77777777" w:rsidR="00F967A3" w:rsidRPr="008B6261" w:rsidRDefault="00F967A3" w:rsidP="00AB740F">
            <w:pPr>
              <w:pStyle w:val="af6"/>
              <w:spacing w:line="520" w:lineRule="exact"/>
              <w:jc w:val="left"/>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说明书和标签</w:t>
            </w:r>
          </w:p>
        </w:tc>
      </w:tr>
      <w:tr w:rsidR="00F967A3" w:rsidRPr="008B6261" w14:paraId="49571A3C" w14:textId="77777777" w:rsidTr="00AB740F">
        <w:trPr>
          <w:jc w:val="center"/>
        </w:trPr>
        <w:tc>
          <w:tcPr>
            <w:tcW w:w="1161" w:type="dxa"/>
            <w:vAlign w:val="center"/>
          </w:tcPr>
          <w:p w14:paraId="51B6737F"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A10.1</w:t>
            </w:r>
          </w:p>
        </w:tc>
        <w:tc>
          <w:tcPr>
            <w:tcW w:w="6379" w:type="dxa"/>
          </w:tcPr>
          <w:p w14:paraId="5F79BA0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应附有识别该器械及其申请人所需的信息。每个医疗器械还应附有相关安全和性能信息或相关指示。这些信息可出现在器械本身、包装上或使用说明书中，或者可以通过电子手段（如网站）便捷访问，易于被预期使用者理解。</w:t>
            </w:r>
          </w:p>
        </w:tc>
        <w:tc>
          <w:tcPr>
            <w:tcW w:w="819" w:type="dxa"/>
          </w:tcPr>
          <w:p w14:paraId="5BE3B301"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6814931E" w14:textId="77777777" w:rsidTr="00AB740F">
        <w:trPr>
          <w:jc w:val="center"/>
        </w:trPr>
        <w:tc>
          <w:tcPr>
            <w:tcW w:w="1161" w:type="dxa"/>
            <w:vAlign w:val="center"/>
          </w:tcPr>
          <w:p w14:paraId="2D9646B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A11</w:t>
            </w:r>
          </w:p>
        </w:tc>
        <w:tc>
          <w:tcPr>
            <w:tcW w:w="7198" w:type="dxa"/>
            <w:gridSpan w:val="2"/>
          </w:tcPr>
          <w:p w14:paraId="7923A8ED" w14:textId="77777777" w:rsidR="00F967A3" w:rsidRPr="008B6261" w:rsidRDefault="00F967A3" w:rsidP="00AB740F">
            <w:pPr>
              <w:pStyle w:val="af6"/>
              <w:spacing w:line="520" w:lineRule="exact"/>
              <w:jc w:val="left"/>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辐射防护</w:t>
            </w:r>
          </w:p>
        </w:tc>
      </w:tr>
      <w:tr w:rsidR="00F967A3" w:rsidRPr="008B6261" w14:paraId="2778C34A" w14:textId="77777777" w:rsidTr="00AB740F">
        <w:trPr>
          <w:jc w:val="center"/>
        </w:trPr>
        <w:tc>
          <w:tcPr>
            <w:tcW w:w="1161" w:type="dxa"/>
            <w:vAlign w:val="center"/>
          </w:tcPr>
          <w:p w14:paraId="785CCC06"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A11.1</w:t>
            </w:r>
          </w:p>
        </w:tc>
        <w:tc>
          <w:tcPr>
            <w:tcW w:w="6379" w:type="dxa"/>
          </w:tcPr>
          <w:p w14:paraId="1B0BF220"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医疗器械的设计、生产和包装应当考虑尽量减少使用者、他人和患者（如适用）的辐射吸收剂量，同时不影响其诊断或治疗功能。</w:t>
            </w:r>
          </w:p>
        </w:tc>
        <w:tc>
          <w:tcPr>
            <w:tcW w:w="819" w:type="dxa"/>
          </w:tcPr>
          <w:p w14:paraId="3454777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230E881D" w14:textId="77777777" w:rsidTr="00AB740F">
        <w:trPr>
          <w:jc w:val="center"/>
        </w:trPr>
        <w:tc>
          <w:tcPr>
            <w:tcW w:w="1161" w:type="dxa"/>
            <w:vAlign w:val="center"/>
          </w:tcPr>
          <w:p w14:paraId="5EE8AF4B"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A11.2</w:t>
            </w:r>
          </w:p>
        </w:tc>
        <w:tc>
          <w:tcPr>
            <w:tcW w:w="6379" w:type="dxa"/>
          </w:tcPr>
          <w:p w14:paraId="1F99C00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具有辐射或潜在辐射危害的医疗器械，其操作说明应详细说明辐射的性质，对使用者、他人或患者（若适用）的防护措施，避免误用的方法，降低运输、贮存和安装的风险。</w:t>
            </w:r>
          </w:p>
        </w:tc>
        <w:tc>
          <w:tcPr>
            <w:tcW w:w="819" w:type="dxa"/>
          </w:tcPr>
          <w:p w14:paraId="686919C5"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603471A6" w14:textId="77777777" w:rsidTr="00AB740F">
        <w:trPr>
          <w:jc w:val="center"/>
        </w:trPr>
        <w:tc>
          <w:tcPr>
            <w:tcW w:w="1161" w:type="dxa"/>
            <w:vAlign w:val="center"/>
          </w:tcPr>
          <w:p w14:paraId="7F88897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A11.3</w:t>
            </w:r>
          </w:p>
        </w:tc>
        <w:tc>
          <w:tcPr>
            <w:tcW w:w="6379" w:type="dxa"/>
          </w:tcPr>
          <w:p w14:paraId="340D83C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若医疗器械有辐射或有潜在辐射危害，应当具备辐射泄漏声光报警功能（如可行）。</w:t>
            </w:r>
          </w:p>
        </w:tc>
        <w:tc>
          <w:tcPr>
            <w:tcW w:w="819" w:type="dxa"/>
          </w:tcPr>
          <w:p w14:paraId="058526F6"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43F1CEA9" w14:textId="77777777" w:rsidTr="00AB740F">
        <w:trPr>
          <w:jc w:val="center"/>
        </w:trPr>
        <w:tc>
          <w:tcPr>
            <w:tcW w:w="1161" w:type="dxa"/>
            <w:vAlign w:val="center"/>
          </w:tcPr>
          <w:p w14:paraId="56F8D5A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A11.4</w:t>
            </w:r>
          </w:p>
        </w:tc>
        <w:tc>
          <w:tcPr>
            <w:tcW w:w="6379" w:type="dxa"/>
          </w:tcPr>
          <w:p w14:paraId="232A4F0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降低使用者、其他人员或患者（若适用）暴露于非预期、偏离或散射辐射的风险。在可能和适当的情况下，应采取措施减少使用者、其他人员或患者（若适用）等可能受影响的人在辐射中的暴露。</w:t>
            </w:r>
          </w:p>
        </w:tc>
        <w:tc>
          <w:tcPr>
            <w:tcW w:w="819" w:type="dxa"/>
          </w:tcPr>
          <w:p w14:paraId="292678B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232DF986" w14:textId="77777777" w:rsidTr="00AB740F">
        <w:trPr>
          <w:jc w:val="center"/>
        </w:trPr>
        <w:tc>
          <w:tcPr>
            <w:tcW w:w="1161" w:type="dxa"/>
            <w:vAlign w:val="center"/>
          </w:tcPr>
          <w:p w14:paraId="2E91FC7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A11.5</w:t>
            </w:r>
          </w:p>
        </w:tc>
        <w:tc>
          <w:tcPr>
            <w:tcW w:w="6379" w:type="dxa"/>
          </w:tcPr>
          <w:p w14:paraId="3190321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具有辐射或潜在辐射危害且需要安装的医疗器械，应当在操作说明中明确有关验收和性能测试、验收标准及维护程序的信息。</w:t>
            </w:r>
          </w:p>
        </w:tc>
        <w:tc>
          <w:tcPr>
            <w:tcW w:w="819" w:type="dxa"/>
          </w:tcPr>
          <w:p w14:paraId="03DF28D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11672A40" w14:textId="77777777" w:rsidTr="00AB740F">
        <w:trPr>
          <w:jc w:val="center"/>
        </w:trPr>
        <w:tc>
          <w:tcPr>
            <w:tcW w:w="1161" w:type="dxa"/>
            <w:vAlign w:val="center"/>
          </w:tcPr>
          <w:p w14:paraId="35CA5F7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A11.6</w:t>
            </w:r>
          </w:p>
        </w:tc>
        <w:tc>
          <w:tcPr>
            <w:tcW w:w="6379" w:type="dxa"/>
          </w:tcPr>
          <w:p w14:paraId="2FBD7DF9"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若医疗器械对使用者有辐射或潜在辐射危害，其设计和生产应确保辐射剂量、几何分布、能量分布（或质量）以及其他辐射关键特性能够得到合理的控制</w:t>
            </w:r>
            <w:r w:rsidRPr="008B6261">
              <w:rPr>
                <w:rFonts w:ascii="Times New Roman" w:eastAsia="仿宋_GB2312" w:hAnsi="Times New Roman" w:hint="eastAsia"/>
                <w:color w:val="000000"/>
                <w:kern w:val="0"/>
                <w:sz w:val="28"/>
                <w:szCs w:val="28"/>
              </w:rPr>
              <w:lastRenderedPageBreak/>
              <w:t>和调整，并可在使用过程中进行监控（如适用）。上述医疗器械的设计和生产，应确保相关可变参数的重复性在可接受范围内。</w:t>
            </w:r>
          </w:p>
        </w:tc>
        <w:tc>
          <w:tcPr>
            <w:tcW w:w="819" w:type="dxa"/>
          </w:tcPr>
          <w:p w14:paraId="13968B35"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否</w:t>
            </w:r>
          </w:p>
        </w:tc>
      </w:tr>
      <w:tr w:rsidR="00F967A3" w:rsidRPr="008B6261" w14:paraId="172B47E5" w14:textId="77777777" w:rsidTr="00AB740F">
        <w:trPr>
          <w:trHeight w:val="307"/>
          <w:jc w:val="center"/>
        </w:trPr>
        <w:tc>
          <w:tcPr>
            <w:tcW w:w="1161" w:type="dxa"/>
            <w:vAlign w:val="center"/>
          </w:tcPr>
          <w:p w14:paraId="3DCCA35B"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A12</w:t>
            </w:r>
          </w:p>
        </w:tc>
        <w:tc>
          <w:tcPr>
            <w:tcW w:w="7198" w:type="dxa"/>
            <w:gridSpan w:val="2"/>
            <w:vAlign w:val="center"/>
          </w:tcPr>
          <w:p w14:paraId="6EA3A62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对非专业用户使用风险的防护</w:t>
            </w:r>
          </w:p>
        </w:tc>
      </w:tr>
      <w:tr w:rsidR="00F967A3" w:rsidRPr="008B6261" w14:paraId="7192A4FF" w14:textId="77777777" w:rsidTr="00AB740F">
        <w:trPr>
          <w:jc w:val="center"/>
        </w:trPr>
        <w:tc>
          <w:tcPr>
            <w:tcW w:w="1161" w:type="dxa"/>
            <w:vAlign w:val="center"/>
          </w:tcPr>
          <w:p w14:paraId="7271E88A"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A12.1</w:t>
            </w:r>
          </w:p>
        </w:tc>
        <w:tc>
          <w:tcPr>
            <w:tcW w:w="6379" w:type="dxa"/>
          </w:tcPr>
          <w:p w14:paraId="16F2F9D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对于非专业用户使用的医疗器械（如自测或近患者检测），为保证医疗器械的正常使用，其设计和生产应当考虑非专业用户的操作技能，以及因非专业用户技术和使用环境的不同对结果的影响。申请人提供的信息和说明应易于理解和使用，并可对结果做出解释。</w:t>
            </w:r>
          </w:p>
        </w:tc>
        <w:tc>
          <w:tcPr>
            <w:tcW w:w="819" w:type="dxa"/>
          </w:tcPr>
          <w:p w14:paraId="02682CF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6CA61122" w14:textId="77777777" w:rsidTr="00AB740F">
        <w:trPr>
          <w:jc w:val="center"/>
        </w:trPr>
        <w:tc>
          <w:tcPr>
            <w:tcW w:w="1161" w:type="dxa"/>
            <w:vAlign w:val="center"/>
          </w:tcPr>
          <w:p w14:paraId="21D0C89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A12.2</w:t>
            </w:r>
          </w:p>
        </w:tc>
        <w:tc>
          <w:tcPr>
            <w:tcW w:w="6379" w:type="dxa"/>
          </w:tcPr>
          <w:p w14:paraId="61AC46A9"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供非专业用户使用的医疗器械（如自测或近患者检测）的设计和生产应当：</w:t>
            </w:r>
          </w:p>
          <w:p w14:paraId="291F9A4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确保使用者可以按照使用说明书的规定安全准确的使用。当无法将与说明书相关的风险降低到适当水平时，可以通过培训来降低此类风险；</w:t>
            </w:r>
          </w:p>
          <w:p w14:paraId="3C6DC02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尽可能减少非专业用户因错误操作和错误解释结果导致的风险。</w:t>
            </w:r>
          </w:p>
        </w:tc>
        <w:tc>
          <w:tcPr>
            <w:tcW w:w="819" w:type="dxa"/>
          </w:tcPr>
          <w:p w14:paraId="59715A6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36650D88" w14:textId="77777777" w:rsidTr="00AB740F">
        <w:trPr>
          <w:jc w:val="center"/>
        </w:trPr>
        <w:tc>
          <w:tcPr>
            <w:tcW w:w="1161" w:type="dxa"/>
            <w:vAlign w:val="center"/>
          </w:tcPr>
          <w:p w14:paraId="39EC3EE3"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A12.3</w:t>
            </w:r>
          </w:p>
        </w:tc>
        <w:tc>
          <w:tcPr>
            <w:tcW w:w="6379" w:type="dxa"/>
          </w:tcPr>
          <w:p w14:paraId="373555E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供非专业用户使用的医疗器械可通过以下措施方便用户：</w:t>
            </w:r>
          </w:p>
          <w:p w14:paraId="142DEED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在使用时，可以验证器械的正常运行；</w:t>
            </w:r>
          </w:p>
          <w:p w14:paraId="4130791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当器械不能正常运行或提供无效结果时，会发出警告。</w:t>
            </w:r>
          </w:p>
        </w:tc>
        <w:tc>
          <w:tcPr>
            <w:tcW w:w="819" w:type="dxa"/>
          </w:tcPr>
          <w:p w14:paraId="7BA2FA3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22CA3276" w14:textId="77777777" w:rsidTr="00AB740F">
        <w:trPr>
          <w:jc w:val="center"/>
        </w:trPr>
        <w:tc>
          <w:tcPr>
            <w:tcW w:w="1161" w:type="dxa"/>
            <w:vAlign w:val="center"/>
          </w:tcPr>
          <w:p w14:paraId="5DC4EB41"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A13</w:t>
            </w:r>
          </w:p>
        </w:tc>
        <w:tc>
          <w:tcPr>
            <w:tcW w:w="7198" w:type="dxa"/>
            <w:gridSpan w:val="2"/>
          </w:tcPr>
          <w:p w14:paraId="6681F61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含有生物源材料的医疗器械</w:t>
            </w:r>
          </w:p>
        </w:tc>
      </w:tr>
      <w:tr w:rsidR="00F967A3" w:rsidRPr="008B6261" w14:paraId="3458D04F" w14:textId="77777777" w:rsidTr="00AB740F">
        <w:trPr>
          <w:jc w:val="center"/>
        </w:trPr>
        <w:tc>
          <w:tcPr>
            <w:tcW w:w="1161" w:type="dxa"/>
            <w:vAlign w:val="center"/>
          </w:tcPr>
          <w:p w14:paraId="41FEA08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A13.1</w:t>
            </w:r>
          </w:p>
        </w:tc>
        <w:tc>
          <w:tcPr>
            <w:tcW w:w="6379" w:type="dxa"/>
          </w:tcPr>
          <w:p w14:paraId="60601AD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对于含有动植物组织、细胞或其它物质，细菌来源物质或衍生物的医疗器械，若无活性或以非活性状态交付，应当：</w:t>
            </w:r>
          </w:p>
          <w:p w14:paraId="61F2FA8E"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组织、细胞及其衍生物应来源于已受控且符合预期用途的动物种属。动物的地理来源信息应根据相关法规要求予以保留。</w:t>
            </w:r>
          </w:p>
          <w:p w14:paraId="4182FFDD"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动物源的组织、细胞、物质或其衍生物的采集、加工、保存、检测和处理过程，应确保患者、使用者以及其他人员（如适用）的安全。特别是病毒和其他传染性病原体，应通过经验证的先进技术消除或灭活，影响医疗器械性能的情况除外。</w:t>
            </w:r>
          </w:p>
        </w:tc>
        <w:tc>
          <w:tcPr>
            <w:tcW w:w="819" w:type="dxa"/>
          </w:tcPr>
          <w:p w14:paraId="599E98C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否</w:t>
            </w:r>
          </w:p>
        </w:tc>
      </w:tr>
      <w:tr w:rsidR="00F967A3" w:rsidRPr="008B6261" w14:paraId="3EEBD66A" w14:textId="77777777" w:rsidTr="00AB740F">
        <w:trPr>
          <w:jc w:val="center"/>
        </w:trPr>
        <w:tc>
          <w:tcPr>
            <w:tcW w:w="1161" w:type="dxa"/>
            <w:vAlign w:val="center"/>
          </w:tcPr>
          <w:p w14:paraId="4E3C2663"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A13.2</w:t>
            </w:r>
          </w:p>
        </w:tc>
        <w:tc>
          <w:tcPr>
            <w:tcW w:w="6379" w:type="dxa"/>
          </w:tcPr>
          <w:p w14:paraId="74998CF0"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对于监管部门而言，当医疗器械由人体来源的组织、细胞、物质或其衍生物生产时，应当采取以下措施：</w:t>
            </w:r>
          </w:p>
          <w:p w14:paraId="41C0BF62"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组织、细胞的捐赠、获取和检测应依据相关法规的要求进行；</w:t>
            </w:r>
          </w:p>
          <w:p w14:paraId="1A7AF78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为确保患者、使用者或他人的安全，应对组织、细胞或其衍生物进行加工、保存或其他处理。对于病毒和其他传染源，应通过源头控制，或在生产过程中通过经验证的先进技术消除或灭活。</w:t>
            </w:r>
          </w:p>
        </w:tc>
        <w:tc>
          <w:tcPr>
            <w:tcW w:w="819" w:type="dxa"/>
          </w:tcPr>
          <w:p w14:paraId="7A76E99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2FF05658" w14:textId="77777777" w:rsidTr="00AB740F">
        <w:trPr>
          <w:jc w:val="center"/>
        </w:trPr>
        <w:tc>
          <w:tcPr>
            <w:tcW w:w="1161" w:type="dxa"/>
            <w:vAlign w:val="center"/>
          </w:tcPr>
          <w:p w14:paraId="788D7FE3"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A13.3</w:t>
            </w:r>
          </w:p>
        </w:tc>
        <w:tc>
          <w:tcPr>
            <w:tcW w:w="6379" w:type="dxa"/>
          </w:tcPr>
          <w:p w14:paraId="6770306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当医疗器械使用</w:t>
            </w:r>
            <w:r w:rsidRPr="008B6261">
              <w:rPr>
                <w:rFonts w:ascii="Times New Roman" w:eastAsia="仿宋_GB2312" w:hAnsi="Times New Roman" w:hint="eastAsia"/>
                <w:color w:val="000000"/>
                <w:kern w:val="0"/>
                <w:sz w:val="28"/>
                <w:szCs w:val="28"/>
              </w:rPr>
              <w:t>A13.1</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A13.2</w:t>
            </w:r>
            <w:r w:rsidRPr="008B6261">
              <w:rPr>
                <w:rFonts w:ascii="Times New Roman" w:eastAsia="仿宋_GB2312" w:hAnsi="Times New Roman" w:hint="eastAsia"/>
                <w:color w:val="000000"/>
                <w:kern w:val="0"/>
                <w:sz w:val="28"/>
                <w:szCs w:val="28"/>
              </w:rPr>
              <w:t>以外的生物物质（例如植物或细菌来源的材料）生产时，其加工、保存、检测和处理应确保患者、用户以及其他人员（如废弃物处置人员等）的安全。对于病毒和其他传染源，为确保安全，应通过源头控制，或在生产过程中通过经验证的先进技术消除或灭活。</w:t>
            </w:r>
          </w:p>
        </w:tc>
        <w:tc>
          <w:tcPr>
            <w:tcW w:w="819" w:type="dxa"/>
          </w:tcPr>
          <w:p w14:paraId="55FEEDA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7548D65D" w14:textId="77777777" w:rsidTr="00AB740F">
        <w:trPr>
          <w:jc w:val="center"/>
        </w:trPr>
        <w:tc>
          <w:tcPr>
            <w:tcW w:w="1161" w:type="dxa"/>
            <w:vAlign w:val="center"/>
          </w:tcPr>
          <w:p w14:paraId="322D41AA"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B</w:t>
            </w:r>
          </w:p>
        </w:tc>
        <w:tc>
          <w:tcPr>
            <w:tcW w:w="7198" w:type="dxa"/>
            <w:gridSpan w:val="2"/>
          </w:tcPr>
          <w:p w14:paraId="0D3CEC7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适用于医疗器械的基本原则</w:t>
            </w:r>
          </w:p>
        </w:tc>
      </w:tr>
      <w:tr w:rsidR="00F967A3" w:rsidRPr="008B6261" w14:paraId="3EF9C50E" w14:textId="77777777" w:rsidTr="00AB740F">
        <w:trPr>
          <w:jc w:val="center"/>
        </w:trPr>
        <w:tc>
          <w:tcPr>
            <w:tcW w:w="1161" w:type="dxa"/>
            <w:vAlign w:val="center"/>
          </w:tcPr>
          <w:p w14:paraId="0654AA05"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B1</w:t>
            </w:r>
          </w:p>
        </w:tc>
        <w:tc>
          <w:tcPr>
            <w:tcW w:w="7198" w:type="dxa"/>
            <w:gridSpan w:val="2"/>
          </w:tcPr>
          <w:p w14:paraId="790B3B95"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化学、物理和生物学特性</w:t>
            </w:r>
          </w:p>
        </w:tc>
      </w:tr>
      <w:tr w:rsidR="00F967A3" w:rsidRPr="008B6261" w14:paraId="33FFF410" w14:textId="77777777" w:rsidTr="00AB740F">
        <w:trPr>
          <w:jc w:val="center"/>
        </w:trPr>
        <w:tc>
          <w:tcPr>
            <w:tcW w:w="1161" w:type="dxa"/>
            <w:vAlign w:val="center"/>
          </w:tcPr>
          <w:p w14:paraId="0F0982BB"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B1.1</w:t>
            </w:r>
          </w:p>
        </w:tc>
        <w:tc>
          <w:tcPr>
            <w:tcW w:w="6379" w:type="dxa"/>
          </w:tcPr>
          <w:p w14:paraId="7AE8EED6"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根据医疗器械的预期用途，以及产品（例如某些可吸收产品）在人体的吸收、分布、代谢和排泄情况，</w:t>
            </w:r>
            <w:r w:rsidRPr="008B6261">
              <w:rPr>
                <w:rFonts w:ascii="Times New Roman" w:eastAsia="仿宋_GB2312" w:hAnsi="Times New Roman" w:hint="eastAsia"/>
                <w:color w:val="000000"/>
                <w:kern w:val="0"/>
                <w:sz w:val="28"/>
                <w:szCs w:val="28"/>
              </w:rPr>
              <w:lastRenderedPageBreak/>
              <w:t>对于医疗器械的化学、物理和生物学特性，应特别注意所用材料</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物质与人体组织、细胞和体液之间的相容性。</w:t>
            </w:r>
          </w:p>
        </w:tc>
        <w:tc>
          <w:tcPr>
            <w:tcW w:w="819" w:type="dxa"/>
          </w:tcPr>
          <w:p w14:paraId="551F7CB4" w14:textId="1CB82CE5"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lastRenderedPageBreak/>
              <w:t>否</w:t>
            </w:r>
          </w:p>
        </w:tc>
      </w:tr>
      <w:tr w:rsidR="00F967A3" w:rsidRPr="008B6261" w14:paraId="46970B51" w14:textId="77777777" w:rsidTr="00AB740F">
        <w:trPr>
          <w:jc w:val="center"/>
        </w:trPr>
        <w:tc>
          <w:tcPr>
            <w:tcW w:w="1161" w:type="dxa"/>
            <w:vAlign w:val="center"/>
          </w:tcPr>
          <w:p w14:paraId="7D42C826"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B1.2</w:t>
            </w:r>
          </w:p>
        </w:tc>
        <w:tc>
          <w:tcPr>
            <w:tcW w:w="6379" w:type="dxa"/>
          </w:tcPr>
          <w:p w14:paraId="06055ECE"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能够保证产品在预期使用中接触到其他的材料、物质和气体时，仍然能够安全使用。如果医疗器械用于配合药物使用，则该产品的设计和生产需要符合药品管理的有关规定，且具有药物相容性，同时药品和器械的性能符合其适应证和预期用途。</w:t>
            </w:r>
          </w:p>
        </w:tc>
        <w:tc>
          <w:tcPr>
            <w:tcW w:w="819" w:type="dxa"/>
          </w:tcPr>
          <w:p w14:paraId="1712C833" w14:textId="30067F48"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否</w:t>
            </w:r>
          </w:p>
        </w:tc>
      </w:tr>
      <w:tr w:rsidR="00F967A3" w:rsidRPr="008B6261" w14:paraId="041ABF3D" w14:textId="77777777" w:rsidTr="00AB740F">
        <w:trPr>
          <w:jc w:val="center"/>
        </w:trPr>
        <w:tc>
          <w:tcPr>
            <w:tcW w:w="1161" w:type="dxa"/>
            <w:vAlign w:val="center"/>
          </w:tcPr>
          <w:p w14:paraId="2B9A0482"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B1.3</w:t>
            </w:r>
          </w:p>
        </w:tc>
        <w:tc>
          <w:tcPr>
            <w:tcW w:w="6379" w:type="dxa"/>
          </w:tcPr>
          <w:p w14:paraId="4EABC026"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医疗器械的设计和生产，除接触完整皮肤的产品外，应适当降低释放进入患者或使用者体内的颗粒，产生与颗粒尺寸和性质相关的风险。对纳米材料应给予重点关注。</w:t>
            </w:r>
          </w:p>
        </w:tc>
        <w:tc>
          <w:tcPr>
            <w:tcW w:w="819" w:type="dxa"/>
          </w:tcPr>
          <w:p w14:paraId="2DF7523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2D127BE1" w14:textId="77777777" w:rsidTr="00AB740F">
        <w:trPr>
          <w:jc w:val="center"/>
        </w:trPr>
        <w:tc>
          <w:tcPr>
            <w:tcW w:w="1161" w:type="dxa"/>
            <w:vAlign w:val="center"/>
          </w:tcPr>
          <w:p w14:paraId="112728C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B2</w:t>
            </w:r>
          </w:p>
        </w:tc>
        <w:tc>
          <w:tcPr>
            <w:tcW w:w="7198" w:type="dxa"/>
            <w:gridSpan w:val="2"/>
          </w:tcPr>
          <w:p w14:paraId="26552FA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辐射防护</w:t>
            </w:r>
          </w:p>
        </w:tc>
      </w:tr>
      <w:tr w:rsidR="00F967A3" w:rsidRPr="008B6261" w14:paraId="25B08D68" w14:textId="77777777" w:rsidTr="00AB740F">
        <w:trPr>
          <w:jc w:val="center"/>
        </w:trPr>
        <w:tc>
          <w:tcPr>
            <w:tcW w:w="1161" w:type="dxa"/>
            <w:vAlign w:val="center"/>
          </w:tcPr>
          <w:p w14:paraId="3927288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B2.1</w:t>
            </w:r>
          </w:p>
        </w:tc>
        <w:tc>
          <w:tcPr>
            <w:tcW w:w="6379" w:type="dxa"/>
          </w:tcPr>
          <w:p w14:paraId="2E4A88F4"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用于医学影像的医疗器械具有电离辐射时，其设计和生产，在保障图像和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或输出质量的同时，应尽可能降低患者、使用者和其他人员的辐射吸收剂量。</w:t>
            </w:r>
          </w:p>
        </w:tc>
        <w:tc>
          <w:tcPr>
            <w:tcW w:w="819" w:type="dxa"/>
          </w:tcPr>
          <w:p w14:paraId="7C74BE2C"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09BAACE7" w14:textId="77777777" w:rsidTr="00AB740F">
        <w:trPr>
          <w:jc w:val="center"/>
        </w:trPr>
        <w:tc>
          <w:tcPr>
            <w:tcW w:w="1161" w:type="dxa"/>
            <w:vAlign w:val="center"/>
          </w:tcPr>
          <w:p w14:paraId="012D862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B2.2</w:t>
            </w:r>
          </w:p>
        </w:tc>
        <w:tc>
          <w:tcPr>
            <w:tcW w:w="6379" w:type="dxa"/>
          </w:tcPr>
          <w:p w14:paraId="4A8068E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具有电离辐射的医疗器械应能够精确预估（或监测）、显示、报告和记录治疗过程中的辐射剂量。</w:t>
            </w:r>
          </w:p>
        </w:tc>
        <w:tc>
          <w:tcPr>
            <w:tcW w:w="819" w:type="dxa"/>
          </w:tcPr>
          <w:p w14:paraId="3B460F03"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003757C0" w14:textId="77777777" w:rsidTr="00AB740F">
        <w:trPr>
          <w:jc w:val="center"/>
        </w:trPr>
        <w:tc>
          <w:tcPr>
            <w:tcW w:w="1161" w:type="dxa"/>
            <w:vAlign w:val="center"/>
          </w:tcPr>
          <w:p w14:paraId="5987BFFB"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B3</w:t>
            </w:r>
          </w:p>
        </w:tc>
        <w:tc>
          <w:tcPr>
            <w:tcW w:w="7198" w:type="dxa"/>
            <w:gridSpan w:val="2"/>
          </w:tcPr>
          <w:p w14:paraId="47DCE48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植入医疗器械的特殊要求</w:t>
            </w:r>
          </w:p>
        </w:tc>
      </w:tr>
      <w:tr w:rsidR="00F967A3" w:rsidRPr="008B6261" w14:paraId="6516B2A1" w14:textId="77777777" w:rsidTr="00AB740F">
        <w:trPr>
          <w:jc w:val="center"/>
        </w:trPr>
        <w:tc>
          <w:tcPr>
            <w:tcW w:w="1161" w:type="dxa"/>
            <w:vAlign w:val="center"/>
          </w:tcPr>
          <w:p w14:paraId="662E124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B3.1</w:t>
            </w:r>
          </w:p>
        </w:tc>
        <w:tc>
          <w:tcPr>
            <w:tcW w:w="6379" w:type="dxa"/>
          </w:tcPr>
          <w:p w14:paraId="10800A1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植入医疗器械的设计和生产，应当能消除或降低相关治疗风险，例如除颤器、高频手术设备的使用。</w:t>
            </w:r>
          </w:p>
        </w:tc>
        <w:tc>
          <w:tcPr>
            <w:tcW w:w="819" w:type="dxa"/>
          </w:tcPr>
          <w:p w14:paraId="1B108DA5"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08105A34" w14:textId="77777777" w:rsidTr="00AB740F">
        <w:trPr>
          <w:jc w:val="center"/>
        </w:trPr>
        <w:tc>
          <w:tcPr>
            <w:tcW w:w="1161" w:type="dxa"/>
            <w:vAlign w:val="center"/>
          </w:tcPr>
          <w:p w14:paraId="32CFB37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B3.2</w:t>
            </w:r>
          </w:p>
        </w:tc>
        <w:tc>
          <w:tcPr>
            <w:tcW w:w="6379" w:type="dxa"/>
          </w:tcPr>
          <w:p w14:paraId="6524A210"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可编程有源植入式医疗器械的设计和生产，应保证产品在无需手术时即可准确识别。</w:t>
            </w:r>
          </w:p>
        </w:tc>
        <w:tc>
          <w:tcPr>
            <w:tcW w:w="819" w:type="dxa"/>
          </w:tcPr>
          <w:p w14:paraId="496A24B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45A1F3A6" w14:textId="77777777" w:rsidTr="00AB740F">
        <w:trPr>
          <w:jc w:val="center"/>
        </w:trPr>
        <w:tc>
          <w:tcPr>
            <w:tcW w:w="1161" w:type="dxa"/>
            <w:vAlign w:val="center"/>
          </w:tcPr>
          <w:p w14:paraId="766133CF"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B4</w:t>
            </w:r>
          </w:p>
        </w:tc>
        <w:tc>
          <w:tcPr>
            <w:tcW w:w="7198" w:type="dxa"/>
            <w:gridSpan w:val="2"/>
          </w:tcPr>
          <w:p w14:paraId="0A0D91E0"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提供能量或物质的医疗器械对患者或使用者的风险防护</w:t>
            </w:r>
          </w:p>
        </w:tc>
      </w:tr>
      <w:tr w:rsidR="00F967A3" w:rsidRPr="008B6261" w14:paraId="59308866" w14:textId="77777777" w:rsidTr="00AB740F">
        <w:trPr>
          <w:jc w:val="center"/>
        </w:trPr>
        <w:tc>
          <w:tcPr>
            <w:tcW w:w="1161" w:type="dxa"/>
            <w:vAlign w:val="center"/>
          </w:tcPr>
          <w:p w14:paraId="710D06C3"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B4.1</w:t>
            </w:r>
          </w:p>
        </w:tc>
        <w:tc>
          <w:tcPr>
            <w:tcW w:w="6379" w:type="dxa"/>
          </w:tcPr>
          <w:p w14:paraId="1BC9506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用于给患者提供能量或物质的医疗器械，其设计和</w:t>
            </w:r>
            <w:r w:rsidRPr="008B6261">
              <w:rPr>
                <w:rFonts w:ascii="Times New Roman" w:eastAsia="仿宋_GB2312" w:hAnsi="Times New Roman" w:hint="eastAsia"/>
                <w:color w:val="000000"/>
                <w:kern w:val="0"/>
                <w:sz w:val="28"/>
                <w:szCs w:val="28"/>
              </w:rPr>
              <w:lastRenderedPageBreak/>
              <w:t>生产应能精确地设定和维持输出量，以保证患者、使用者和其他人的安全。</w:t>
            </w:r>
          </w:p>
        </w:tc>
        <w:tc>
          <w:tcPr>
            <w:tcW w:w="819" w:type="dxa"/>
          </w:tcPr>
          <w:p w14:paraId="151EC9CD"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否</w:t>
            </w:r>
          </w:p>
        </w:tc>
      </w:tr>
      <w:tr w:rsidR="00F967A3" w:rsidRPr="008B6261" w14:paraId="68D99CA7" w14:textId="77777777" w:rsidTr="00AB740F">
        <w:trPr>
          <w:jc w:val="center"/>
        </w:trPr>
        <w:tc>
          <w:tcPr>
            <w:tcW w:w="1161" w:type="dxa"/>
            <w:vAlign w:val="center"/>
          </w:tcPr>
          <w:p w14:paraId="35EDA37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B4.2</w:t>
            </w:r>
          </w:p>
        </w:tc>
        <w:tc>
          <w:tcPr>
            <w:tcW w:w="6379" w:type="dxa"/>
          </w:tcPr>
          <w:p w14:paraId="78A51A71"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若输出量不足可能导致危险，医疗器械应具有防止和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或指示“输出量不足”的功能。意外输出危险等级量的能量或物质作为较大风险，应采取适当的措施予以降低。</w:t>
            </w:r>
          </w:p>
        </w:tc>
        <w:tc>
          <w:tcPr>
            <w:tcW w:w="819" w:type="dxa"/>
          </w:tcPr>
          <w:p w14:paraId="70F457CF"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3A01955D" w14:textId="77777777" w:rsidTr="00AB740F">
        <w:trPr>
          <w:jc w:val="center"/>
        </w:trPr>
        <w:tc>
          <w:tcPr>
            <w:tcW w:w="1161" w:type="dxa"/>
            <w:vAlign w:val="center"/>
          </w:tcPr>
          <w:p w14:paraId="7F5BA7A1"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B5</w:t>
            </w:r>
          </w:p>
        </w:tc>
        <w:tc>
          <w:tcPr>
            <w:tcW w:w="7198" w:type="dxa"/>
            <w:gridSpan w:val="2"/>
          </w:tcPr>
          <w:p w14:paraId="7A3ABA14" w14:textId="77777777" w:rsidR="00F967A3" w:rsidRPr="008B6261" w:rsidRDefault="00F967A3" w:rsidP="00AB740F">
            <w:pPr>
              <w:pStyle w:val="af6"/>
              <w:spacing w:line="520" w:lineRule="exact"/>
              <w:jc w:val="left"/>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含有药物成分的组合产品</w:t>
            </w:r>
          </w:p>
        </w:tc>
      </w:tr>
      <w:tr w:rsidR="00F967A3" w:rsidRPr="008B6261" w14:paraId="241B690F" w14:textId="77777777" w:rsidTr="00AB740F">
        <w:trPr>
          <w:jc w:val="center"/>
        </w:trPr>
        <w:tc>
          <w:tcPr>
            <w:tcW w:w="1161" w:type="dxa"/>
            <w:vAlign w:val="center"/>
          </w:tcPr>
          <w:p w14:paraId="69CBF39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B5.1</w:t>
            </w:r>
          </w:p>
        </w:tc>
        <w:tc>
          <w:tcPr>
            <w:tcW w:w="6379" w:type="dxa"/>
          </w:tcPr>
          <w:p w14:paraId="504DBE4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当医疗器械组成成分中含有某种物质，依据监管法规，该物质作为药用产品</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药物进行管理，且该物质在体内为医疗器械提供辅助作用时，应将医疗器械和此物质作为一个整体，对其安全和性能进行验证，同时应当验证该物质的特征、安全、质量和有效性。</w:t>
            </w:r>
          </w:p>
        </w:tc>
        <w:tc>
          <w:tcPr>
            <w:tcW w:w="819" w:type="dxa"/>
          </w:tcPr>
          <w:p w14:paraId="51898761" w14:textId="7BCE9866" w:rsidR="00F967A3" w:rsidRPr="008B6261" w:rsidRDefault="001371DB" w:rsidP="00AB740F">
            <w:pPr>
              <w:spacing w:line="520" w:lineRule="exact"/>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否</w:t>
            </w:r>
          </w:p>
        </w:tc>
      </w:tr>
    </w:tbl>
    <w:p w14:paraId="4A9A2F9A" w14:textId="77777777" w:rsidR="00F967A3" w:rsidRPr="008B6261" w:rsidRDefault="00F967A3" w:rsidP="00AB740F">
      <w:pPr>
        <w:spacing w:line="520" w:lineRule="exact"/>
        <w:rPr>
          <w:rFonts w:ascii="Times New Roman" w:hAnsi="Times New Roman"/>
        </w:rPr>
      </w:pPr>
    </w:p>
    <w:p w14:paraId="182107E8" w14:textId="39A5680B" w:rsidR="00A07758" w:rsidRPr="008B6261" w:rsidRDefault="00A07758">
      <w:pPr>
        <w:widowControl/>
        <w:jc w:val="left"/>
        <w:rPr>
          <w:rFonts w:ascii="Times New Roman" w:eastAsiaTheme="minorEastAsia" w:hAnsi="Times New Roman"/>
          <w:sz w:val="24"/>
          <w:szCs w:val="24"/>
        </w:rPr>
      </w:pPr>
      <w:r w:rsidRPr="008B6261">
        <w:rPr>
          <w:rFonts w:ascii="Times New Roman" w:eastAsiaTheme="minorEastAsia" w:hAnsi="Times New Roman"/>
          <w:sz w:val="24"/>
          <w:szCs w:val="24"/>
        </w:rPr>
        <w:br w:type="page"/>
      </w:r>
    </w:p>
    <w:p w14:paraId="38C9EE78" w14:textId="77777777" w:rsidR="00A07758" w:rsidRPr="008B6261" w:rsidRDefault="00A07758" w:rsidP="00A07758">
      <w:pPr>
        <w:spacing w:line="520" w:lineRule="exact"/>
        <w:jc w:val="left"/>
        <w:rPr>
          <w:rFonts w:ascii="Times New Roman" w:eastAsia="黑体" w:hAnsi="Times New Roman"/>
          <w:color w:val="000000"/>
          <w:sz w:val="32"/>
          <w:szCs w:val="32"/>
        </w:rPr>
      </w:pPr>
      <w:r w:rsidRPr="008B6261">
        <w:rPr>
          <w:rFonts w:ascii="Times New Roman" w:eastAsia="黑体" w:hAnsi="Times New Roman"/>
          <w:color w:val="000000"/>
          <w:sz w:val="32"/>
          <w:szCs w:val="32"/>
        </w:rPr>
        <w:lastRenderedPageBreak/>
        <w:t>附</w:t>
      </w:r>
      <w:r w:rsidRPr="008B6261">
        <w:rPr>
          <w:rFonts w:ascii="Times New Roman" w:eastAsia="黑体" w:hAnsi="Times New Roman" w:hint="eastAsia"/>
          <w:color w:val="000000"/>
          <w:sz w:val="32"/>
          <w:szCs w:val="32"/>
        </w:rPr>
        <w:t>件</w:t>
      </w:r>
      <w:r w:rsidRPr="008B6261">
        <w:rPr>
          <w:rFonts w:ascii="Times New Roman" w:eastAsia="黑体" w:hAnsi="Times New Roman" w:hint="eastAsia"/>
          <w:color w:val="000000"/>
          <w:sz w:val="32"/>
          <w:szCs w:val="32"/>
        </w:rPr>
        <w:t>2</w:t>
      </w:r>
      <w:r w:rsidRPr="008B6261">
        <w:rPr>
          <w:rFonts w:ascii="Times New Roman" w:eastAsia="黑体" w:hAnsi="Times New Roman"/>
          <w:color w:val="000000"/>
          <w:sz w:val="32"/>
          <w:szCs w:val="32"/>
        </w:rPr>
        <w:t xml:space="preserve"> </w:t>
      </w:r>
    </w:p>
    <w:p w14:paraId="35CE56AC" w14:textId="77777777" w:rsidR="00A07758" w:rsidRPr="008B6261" w:rsidRDefault="00A07758" w:rsidP="00A07758">
      <w:pPr>
        <w:spacing w:line="520" w:lineRule="exact"/>
        <w:jc w:val="left"/>
        <w:rPr>
          <w:rFonts w:ascii="Times New Roman" w:eastAsia="黑体" w:hAnsi="Times New Roman"/>
          <w:color w:val="000000"/>
          <w:sz w:val="32"/>
          <w:szCs w:val="32"/>
        </w:rPr>
      </w:pPr>
    </w:p>
    <w:p w14:paraId="47DFDF99" w14:textId="77777777" w:rsidR="00A07758" w:rsidRPr="008B6261" w:rsidRDefault="00A07758" w:rsidP="00A07758">
      <w:pPr>
        <w:spacing w:line="520" w:lineRule="exact"/>
        <w:jc w:val="center"/>
        <w:rPr>
          <w:rFonts w:ascii="Times New Roman" w:eastAsia="方正小标宋简体" w:hAnsi="Times New Roman"/>
          <w:color w:val="000000" w:themeColor="text1"/>
          <w:sz w:val="44"/>
          <w:szCs w:val="44"/>
        </w:rPr>
      </w:pPr>
      <w:r w:rsidRPr="008B6261">
        <w:rPr>
          <w:rFonts w:ascii="Times New Roman" w:eastAsia="方正小标宋简体" w:hAnsi="Times New Roman" w:hint="eastAsia"/>
          <w:color w:val="000000" w:themeColor="text1"/>
          <w:sz w:val="44"/>
          <w:szCs w:val="44"/>
        </w:rPr>
        <w:t>指导原则适用情况</w:t>
      </w:r>
    </w:p>
    <w:tbl>
      <w:tblPr>
        <w:tblStyle w:val="ab"/>
        <w:tblpPr w:leftFromText="180" w:rightFromText="180" w:vertAnchor="text" w:horzAnchor="margin" w:tblpY="388"/>
        <w:tblOverlap w:val="never"/>
        <w:tblW w:w="8330" w:type="dxa"/>
        <w:tblLook w:val="04A0" w:firstRow="1" w:lastRow="0" w:firstColumn="1" w:lastColumn="0" w:noHBand="0" w:noVBand="1"/>
      </w:tblPr>
      <w:tblGrid>
        <w:gridCol w:w="8330"/>
      </w:tblGrid>
      <w:tr w:rsidR="00A07758" w:rsidRPr="008B6261" w14:paraId="5D576B2E" w14:textId="77777777" w:rsidTr="00071ED0">
        <w:tc>
          <w:tcPr>
            <w:tcW w:w="8330" w:type="dxa"/>
          </w:tcPr>
          <w:p w14:paraId="7291C59F" w14:textId="77777777" w:rsidR="00A07758" w:rsidRPr="008B6261" w:rsidRDefault="00A07758" w:rsidP="00071ED0">
            <w:pPr>
              <w:spacing w:line="520" w:lineRule="exact"/>
              <w:jc w:val="center"/>
              <w:rPr>
                <w:rFonts w:ascii="Times New Roman" w:eastAsia="仿宋_GB2312" w:hAnsi="Times New Roman"/>
                <w:b/>
                <w:color w:val="000000" w:themeColor="text1"/>
                <w:sz w:val="28"/>
                <w:szCs w:val="28"/>
              </w:rPr>
            </w:pPr>
            <w:r w:rsidRPr="008B6261">
              <w:rPr>
                <w:rFonts w:ascii="Times New Roman" w:eastAsia="仿宋_GB2312" w:hAnsi="Times New Roman" w:hint="eastAsia"/>
                <w:b/>
                <w:color w:val="000000" w:themeColor="text1"/>
                <w:sz w:val="28"/>
                <w:szCs w:val="28"/>
              </w:rPr>
              <w:t>指导原则名称</w:t>
            </w:r>
          </w:p>
        </w:tc>
      </w:tr>
      <w:tr w:rsidR="00A07758" w:rsidRPr="008B6261" w14:paraId="0D20427A" w14:textId="77777777" w:rsidTr="00071ED0">
        <w:tc>
          <w:tcPr>
            <w:tcW w:w="8330" w:type="dxa"/>
          </w:tcPr>
          <w:p w14:paraId="7DB7BED1" w14:textId="26D93B30" w:rsidR="00A07758" w:rsidRPr="008B6261" w:rsidRDefault="00B54652" w:rsidP="00071ED0">
            <w:pPr>
              <w:spacing w:line="520" w:lineRule="exact"/>
              <w:jc w:val="left"/>
              <w:rPr>
                <w:rFonts w:ascii="Times New Roman" w:eastAsia="仿宋_GB2312" w:hAnsi="Times New Roman"/>
                <w:color w:val="000000" w:themeColor="text1"/>
                <w:sz w:val="28"/>
                <w:szCs w:val="28"/>
              </w:rPr>
            </w:pPr>
            <w:r>
              <w:rPr>
                <w:rFonts w:ascii="Times New Roman" w:eastAsia="仿宋_GB2312" w:hAnsi="Times New Roman" w:hint="eastAsia"/>
                <w:color w:val="000000"/>
                <w:sz w:val="28"/>
                <w:szCs w:val="28"/>
              </w:rPr>
              <w:t>医疗器械软件注册审查指导原则（</w:t>
            </w:r>
            <w:r>
              <w:rPr>
                <w:rFonts w:ascii="Times New Roman" w:eastAsia="仿宋_GB2312" w:hAnsi="Times New Roman" w:hint="eastAsia"/>
                <w:color w:val="000000"/>
                <w:sz w:val="28"/>
                <w:szCs w:val="28"/>
              </w:rPr>
              <w:t>2</w:t>
            </w:r>
            <w:r>
              <w:rPr>
                <w:rFonts w:ascii="Times New Roman" w:eastAsia="仿宋_GB2312" w:hAnsi="Times New Roman"/>
                <w:color w:val="000000"/>
                <w:sz w:val="28"/>
                <w:szCs w:val="28"/>
              </w:rPr>
              <w:t>022</w:t>
            </w:r>
            <w:r>
              <w:rPr>
                <w:rFonts w:ascii="Times New Roman" w:eastAsia="仿宋_GB2312" w:hAnsi="Times New Roman" w:hint="eastAsia"/>
                <w:color w:val="000000"/>
                <w:sz w:val="28"/>
                <w:szCs w:val="28"/>
              </w:rPr>
              <w:t>年修订版）</w:t>
            </w:r>
          </w:p>
        </w:tc>
      </w:tr>
      <w:tr w:rsidR="00B54652" w:rsidRPr="008B6261" w14:paraId="31FCC54D" w14:textId="77777777" w:rsidTr="00071ED0">
        <w:tc>
          <w:tcPr>
            <w:tcW w:w="8330" w:type="dxa"/>
          </w:tcPr>
          <w:p w14:paraId="045452E5" w14:textId="599D4701" w:rsidR="00B54652" w:rsidRDefault="00B54652" w:rsidP="00071ED0">
            <w:pPr>
              <w:spacing w:line="520" w:lineRule="exact"/>
              <w:jc w:val="left"/>
              <w:rPr>
                <w:rFonts w:ascii="Times New Roman" w:eastAsia="仿宋_GB2312" w:hAnsi="Times New Roman"/>
                <w:color w:val="000000"/>
                <w:sz w:val="28"/>
                <w:szCs w:val="28"/>
              </w:rPr>
            </w:pPr>
            <w:r>
              <w:rPr>
                <w:rFonts w:ascii="Times New Roman" w:eastAsia="仿宋_GB2312" w:hAnsi="Times New Roman" w:hint="eastAsia"/>
                <w:color w:val="000000"/>
                <w:sz w:val="28"/>
                <w:szCs w:val="28"/>
              </w:rPr>
              <w:t>医疗器械网络安全注册审查指导原则（</w:t>
            </w:r>
            <w:r>
              <w:rPr>
                <w:rFonts w:ascii="Times New Roman" w:eastAsia="仿宋_GB2312" w:hAnsi="Times New Roman" w:hint="eastAsia"/>
                <w:color w:val="000000"/>
                <w:sz w:val="28"/>
                <w:szCs w:val="28"/>
              </w:rPr>
              <w:t>2</w:t>
            </w:r>
            <w:r>
              <w:rPr>
                <w:rFonts w:ascii="Times New Roman" w:eastAsia="仿宋_GB2312" w:hAnsi="Times New Roman"/>
                <w:color w:val="000000"/>
                <w:sz w:val="28"/>
                <w:szCs w:val="28"/>
              </w:rPr>
              <w:t>022</w:t>
            </w:r>
            <w:r>
              <w:rPr>
                <w:rFonts w:ascii="Times New Roman" w:eastAsia="仿宋_GB2312" w:hAnsi="Times New Roman" w:hint="eastAsia"/>
                <w:color w:val="000000"/>
                <w:sz w:val="28"/>
                <w:szCs w:val="28"/>
              </w:rPr>
              <w:t>年修订版）</w:t>
            </w:r>
          </w:p>
        </w:tc>
      </w:tr>
      <w:tr w:rsidR="00B54652" w:rsidRPr="008B6261" w14:paraId="0522D228" w14:textId="77777777" w:rsidTr="00071ED0">
        <w:tc>
          <w:tcPr>
            <w:tcW w:w="8330" w:type="dxa"/>
          </w:tcPr>
          <w:p w14:paraId="214F9564" w14:textId="3327B4E6" w:rsidR="00B54652" w:rsidRDefault="00B54652" w:rsidP="00071ED0">
            <w:pPr>
              <w:spacing w:line="520" w:lineRule="exact"/>
              <w:jc w:val="left"/>
              <w:rPr>
                <w:rFonts w:ascii="Times New Roman" w:eastAsia="仿宋_GB2312" w:hAnsi="Times New Roman"/>
                <w:color w:val="000000"/>
                <w:sz w:val="28"/>
                <w:szCs w:val="28"/>
              </w:rPr>
            </w:pPr>
            <w:r w:rsidRPr="003D3C6B">
              <w:rPr>
                <w:rFonts w:ascii="Times New Roman" w:eastAsia="仿宋_GB2312" w:hAnsi="Times New Roman" w:hint="eastAsia"/>
                <w:color w:val="000000"/>
                <w:sz w:val="28"/>
                <w:szCs w:val="28"/>
              </w:rPr>
              <w:t>人工智能医疗器械注册审查指导原则</w:t>
            </w:r>
          </w:p>
        </w:tc>
      </w:tr>
      <w:tr w:rsidR="00A07758" w:rsidRPr="008B6261" w14:paraId="6D71511F" w14:textId="77777777" w:rsidTr="00071ED0">
        <w:tc>
          <w:tcPr>
            <w:tcW w:w="8330" w:type="dxa"/>
          </w:tcPr>
          <w:p w14:paraId="29A30130" w14:textId="77777777" w:rsidR="00A07758" w:rsidRPr="008B6261" w:rsidRDefault="00A07758" w:rsidP="00071ED0">
            <w:pPr>
              <w:spacing w:line="520" w:lineRule="exact"/>
              <w:jc w:val="left"/>
              <w:rPr>
                <w:rFonts w:ascii="Times New Roman" w:eastAsia="仿宋_GB2312" w:hAnsi="Times New Roman"/>
                <w:color w:val="000000" w:themeColor="text1"/>
                <w:sz w:val="28"/>
                <w:szCs w:val="28"/>
              </w:rPr>
            </w:pPr>
            <w:r w:rsidRPr="008B6261">
              <w:rPr>
                <w:rFonts w:ascii="Times New Roman" w:eastAsia="仿宋_GB2312" w:hAnsi="Times New Roman" w:hint="eastAsia"/>
                <w:color w:val="000000" w:themeColor="text1"/>
                <w:sz w:val="28"/>
                <w:szCs w:val="28"/>
              </w:rPr>
              <w:t>医疗器械产品技术要求编写指导原则</w:t>
            </w:r>
          </w:p>
        </w:tc>
      </w:tr>
    </w:tbl>
    <w:p w14:paraId="2F42056E" w14:textId="77777777" w:rsidR="00A07758" w:rsidRPr="008B6261" w:rsidRDefault="00A07758" w:rsidP="00A07758">
      <w:pPr>
        <w:widowControl/>
        <w:spacing w:line="520" w:lineRule="exact"/>
        <w:jc w:val="left"/>
        <w:rPr>
          <w:rFonts w:ascii="Times New Roman" w:eastAsia="黑体" w:hAnsi="Times New Roman"/>
          <w:color w:val="000000" w:themeColor="text1"/>
          <w:sz w:val="32"/>
          <w:szCs w:val="32"/>
        </w:rPr>
      </w:pPr>
    </w:p>
    <w:p w14:paraId="12D7077C" w14:textId="77777777" w:rsidR="00A07758" w:rsidRPr="008B6261" w:rsidRDefault="00A07758" w:rsidP="00A07758">
      <w:pPr>
        <w:widowControl/>
        <w:spacing w:line="520" w:lineRule="exact"/>
        <w:jc w:val="left"/>
        <w:rPr>
          <w:rFonts w:ascii="Times New Roman" w:eastAsia="黑体" w:hAnsi="Times New Roman"/>
          <w:color w:val="000000" w:themeColor="text1"/>
          <w:sz w:val="32"/>
          <w:szCs w:val="32"/>
        </w:rPr>
      </w:pPr>
      <w:r w:rsidRPr="008B6261">
        <w:rPr>
          <w:rFonts w:ascii="Times New Roman" w:eastAsia="黑体" w:hAnsi="Times New Roman"/>
          <w:color w:val="000000" w:themeColor="text1"/>
          <w:sz w:val="32"/>
          <w:szCs w:val="32"/>
        </w:rPr>
        <w:br w:type="page"/>
      </w:r>
    </w:p>
    <w:p w14:paraId="5E46CE34" w14:textId="77777777" w:rsidR="00A07758" w:rsidRPr="008B6261" w:rsidRDefault="00A07758" w:rsidP="00A07758">
      <w:pPr>
        <w:spacing w:line="520" w:lineRule="exact"/>
        <w:jc w:val="left"/>
        <w:outlineLvl w:val="0"/>
        <w:rPr>
          <w:rFonts w:ascii="Times New Roman" w:eastAsia="黑体" w:hAnsi="Times New Roman"/>
          <w:color w:val="000000" w:themeColor="text1"/>
          <w:sz w:val="32"/>
          <w:szCs w:val="32"/>
        </w:rPr>
      </w:pPr>
      <w:r w:rsidRPr="008B6261">
        <w:rPr>
          <w:rFonts w:ascii="Times New Roman" w:eastAsia="黑体" w:hAnsi="Times New Roman"/>
          <w:color w:val="000000" w:themeColor="text1"/>
          <w:sz w:val="32"/>
          <w:szCs w:val="32"/>
        </w:rPr>
        <w:lastRenderedPageBreak/>
        <w:t>附</w:t>
      </w:r>
      <w:r w:rsidRPr="008B6261">
        <w:rPr>
          <w:rFonts w:ascii="Times New Roman" w:eastAsia="黑体" w:hAnsi="Times New Roman" w:hint="eastAsia"/>
          <w:color w:val="000000" w:themeColor="text1"/>
          <w:sz w:val="32"/>
          <w:szCs w:val="32"/>
        </w:rPr>
        <w:t>件</w:t>
      </w:r>
      <w:r w:rsidRPr="008B6261">
        <w:rPr>
          <w:rFonts w:ascii="Times New Roman" w:eastAsia="黑体" w:hAnsi="Times New Roman" w:hint="eastAsia"/>
          <w:color w:val="000000" w:themeColor="text1"/>
          <w:sz w:val="32"/>
          <w:szCs w:val="32"/>
        </w:rPr>
        <w:t>3</w:t>
      </w:r>
      <w:r w:rsidRPr="008B6261">
        <w:rPr>
          <w:rFonts w:ascii="Times New Roman" w:eastAsia="黑体" w:hAnsi="Times New Roman"/>
          <w:color w:val="000000" w:themeColor="text1"/>
          <w:sz w:val="32"/>
          <w:szCs w:val="32"/>
        </w:rPr>
        <w:t xml:space="preserve"> </w:t>
      </w:r>
    </w:p>
    <w:p w14:paraId="5D617688" w14:textId="77777777" w:rsidR="00A07758" w:rsidRPr="008B6261" w:rsidRDefault="00A07758" w:rsidP="00A07758">
      <w:pPr>
        <w:spacing w:line="520" w:lineRule="exact"/>
        <w:jc w:val="center"/>
        <w:rPr>
          <w:rFonts w:ascii="Times New Roman" w:eastAsia="黑体" w:hAnsi="Times New Roman"/>
          <w:color w:val="000000" w:themeColor="text1"/>
          <w:sz w:val="28"/>
          <w:szCs w:val="28"/>
        </w:rPr>
      </w:pPr>
    </w:p>
    <w:p w14:paraId="7F0D30D8" w14:textId="77777777" w:rsidR="00A07758" w:rsidRPr="008B6261" w:rsidRDefault="00A07758" w:rsidP="00A07758">
      <w:pPr>
        <w:spacing w:line="520" w:lineRule="exact"/>
        <w:jc w:val="center"/>
        <w:rPr>
          <w:rFonts w:ascii="Times New Roman" w:eastAsia="方正小标宋简体" w:hAnsi="Times New Roman"/>
          <w:color w:val="000000" w:themeColor="text1"/>
          <w:sz w:val="44"/>
          <w:szCs w:val="44"/>
        </w:rPr>
      </w:pPr>
      <w:r w:rsidRPr="008B6261">
        <w:rPr>
          <w:rFonts w:ascii="Times New Roman" w:eastAsia="方正小标宋简体" w:hAnsi="Times New Roman" w:hint="eastAsia"/>
          <w:color w:val="000000" w:themeColor="text1"/>
          <w:sz w:val="44"/>
          <w:szCs w:val="44"/>
        </w:rPr>
        <w:t>标准适用情况</w:t>
      </w:r>
    </w:p>
    <w:p w14:paraId="3817CED2" w14:textId="77777777" w:rsidR="00A07758" w:rsidRPr="008B6261" w:rsidRDefault="00A07758" w:rsidP="00A07758">
      <w:pPr>
        <w:spacing w:line="520" w:lineRule="exact"/>
        <w:jc w:val="center"/>
        <w:outlineLvl w:val="0"/>
        <w:rPr>
          <w:rFonts w:ascii="Times New Roman" w:eastAsia="方正小标宋简体" w:hAnsi="Times New Roman"/>
          <w:color w:val="000000" w:themeColor="text1"/>
          <w:sz w:val="44"/>
          <w:szCs w:val="44"/>
        </w:rPr>
      </w:pPr>
    </w:p>
    <w:tbl>
      <w:tblPr>
        <w:tblStyle w:val="ab"/>
        <w:tblW w:w="0" w:type="auto"/>
        <w:tblInd w:w="108" w:type="dxa"/>
        <w:tblLook w:val="04A0" w:firstRow="1" w:lastRow="0" w:firstColumn="1" w:lastColumn="0" w:noHBand="0" w:noVBand="1"/>
      </w:tblPr>
      <w:tblGrid>
        <w:gridCol w:w="8222"/>
      </w:tblGrid>
      <w:tr w:rsidR="00A07758" w:rsidRPr="008B6261" w14:paraId="5EFE8192" w14:textId="77777777" w:rsidTr="00071ED0">
        <w:tc>
          <w:tcPr>
            <w:tcW w:w="8222" w:type="dxa"/>
          </w:tcPr>
          <w:p w14:paraId="04662DFA" w14:textId="77777777" w:rsidR="00A07758" w:rsidRPr="008B6261" w:rsidRDefault="00A07758" w:rsidP="00071ED0">
            <w:pPr>
              <w:spacing w:line="520" w:lineRule="exact"/>
              <w:jc w:val="center"/>
              <w:rPr>
                <w:rFonts w:ascii="Times New Roman" w:eastAsia="仿宋_GB2312" w:hAnsi="Times New Roman"/>
                <w:b/>
                <w:color w:val="000000" w:themeColor="text1"/>
                <w:sz w:val="28"/>
                <w:szCs w:val="28"/>
              </w:rPr>
            </w:pPr>
            <w:r w:rsidRPr="008B6261">
              <w:rPr>
                <w:rFonts w:ascii="Times New Roman" w:eastAsia="仿宋_GB2312" w:hAnsi="Times New Roman" w:hint="eastAsia"/>
                <w:b/>
                <w:color w:val="000000" w:themeColor="text1"/>
                <w:sz w:val="28"/>
                <w:szCs w:val="28"/>
              </w:rPr>
              <w:t>适用标准</w:t>
            </w:r>
          </w:p>
        </w:tc>
      </w:tr>
      <w:tr w:rsidR="00A07758" w:rsidRPr="008B6261" w14:paraId="5BF93C0F" w14:textId="77777777" w:rsidTr="00071ED0">
        <w:tc>
          <w:tcPr>
            <w:tcW w:w="8222" w:type="dxa"/>
          </w:tcPr>
          <w:p w14:paraId="64BDAF41" w14:textId="653DC5EA" w:rsidR="00A07758" w:rsidRPr="008B6261" w:rsidRDefault="00921775" w:rsidP="00071ED0">
            <w:pPr>
              <w:spacing w:line="520" w:lineRule="exact"/>
              <w:jc w:val="left"/>
              <w:rPr>
                <w:rFonts w:ascii="Times New Roman" w:eastAsia="仿宋_GB2312" w:hAnsi="Times New Roman"/>
                <w:color w:val="000000" w:themeColor="text1"/>
                <w:sz w:val="28"/>
                <w:szCs w:val="28"/>
              </w:rPr>
            </w:pPr>
            <w:r w:rsidRPr="00921775">
              <w:rPr>
                <w:rFonts w:ascii="Times New Roman" w:eastAsia="仿宋_GB2312" w:hAnsi="Times New Roman"/>
                <w:color w:val="000000" w:themeColor="text1"/>
                <w:sz w:val="28"/>
                <w:szCs w:val="28"/>
              </w:rPr>
              <w:t>YY 9706.247-2021</w:t>
            </w:r>
            <w:r w:rsidRPr="0045036C">
              <w:rPr>
                <w:rFonts w:ascii="Times New Roman" w:eastAsia="仿宋_GB2312" w:hAnsi="Times New Roman"/>
                <w:color w:val="000000"/>
                <w:sz w:val="28"/>
                <w:szCs w:val="28"/>
              </w:rPr>
              <w:t>医用电气设备</w:t>
            </w:r>
            <w:r w:rsidRPr="0045036C">
              <w:rPr>
                <w:rFonts w:ascii="Times New Roman" w:eastAsia="仿宋_GB2312" w:hAnsi="Times New Roman"/>
                <w:color w:val="000000"/>
                <w:sz w:val="28"/>
                <w:szCs w:val="28"/>
              </w:rPr>
              <w:t xml:space="preserve"> </w:t>
            </w:r>
            <w:r w:rsidRPr="0045036C">
              <w:rPr>
                <w:rFonts w:ascii="Times New Roman" w:eastAsia="仿宋_GB2312" w:hAnsi="Times New Roman"/>
                <w:color w:val="000000"/>
                <w:sz w:val="28"/>
                <w:szCs w:val="28"/>
              </w:rPr>
              <w:t>第</w:t>
            </w:r>
            <w:r>
              <w:rPr>
                <w:rFonts w:ascii="Times New Roman" w:eastAsia="仿宋_GB2312" w:hAnsi="Times New Roman"/>
                <w:color w:val="000000"/>
                <w:sz w:val="28"/>
                <w:szCs w:val="28"/>
              </w:rPr>
              <w:t>2-47</w:t>
            </w:r>
            <w:r w:rsidRPr="0045036C">
              <w:rPr>
                <w:rFonts w:ascii="Times New Roman" w:eastAsia="仿宋_GB2312" w:hAnsi="Times New Roman"/>
                <w:color w:val="000000"/>
                <w:sz w:val="28"/>
                <w:szCs w:val="28"/>
              </w:rPr>
              <w:t>部分：</w:t>
            </w:r>
            <w:r>
              <w:rPr>
                <w:rFonts w:ascii="Times New Roman" w:eastAsia="仿宋_GB2312" w:hAnsi="Times New Roman" w:hint="eastAsia"/>
                <w:color w:val="000000"/>
                <w:sz w:val="28"/>
                <w:szCs w:val="28"/>
              </w:rPr>
              <w:t>动态心电图系统的基本安全和基本性能专用要求</w:t>
            </w:r>
          </w:p>
        </w:tc>
      </w:tr>
      <w:tr w:rsidR="00A07758" w:rsidRPr="008B6261" w14:paraId="2BFDBA42" w14:textId="77777777" w:rsidTr="00071ED0">
        <w:tc>
          <w:tcPr>
            <w:tcW w:w="8222" w:type="dxa"/>
          </w:tcPr>
          <w:p w14:paraId="0381F76D" w14:textId="77B42369" w:rsidR="00A07758" w:rsidRPr="008B6261" w:rsidRDefault="00921775" w:rsidP="00071ED0">
            <w:pPr>
              <w:spacing w:line="520" w:lineRule="exact"/>
              <w:jc w:val="left"/>
              <w:rPr>
                <w:rFonts w:ascii="Times New Roman" w:eastAsia="仿宋_GB2312" w:hAnsi="Times New Roman"/>
                <w:color w:val="000000" w:themeColor="text1"/>
                <w:sz w:val="28"/>
                <w:szCs w:val="28"/>
              </w:rPr>
            </w:pPr>
            <w:r>
              <w:rPr>
                <w:rFonts w:ascii="Times New Roman" w:eastAsia="仿宋_GB2312" w:hAnsi="Times New Roman" w:hint="eastAsia"/>
                <w:color w:val="000000"/>
                <w:sz w:val="28"/>
                <w:szCs w:val="28"/>
              </w:rPr>
              <w:t>G</w:t>
            </w:r>
            <w:r>
              <w:rPr>
                <w:rFonts w:ascii="Times New Roman" w:eastAsia="仿宋_GB2312" w:hAnsi="Times New Roman"/>
                <w:color w:val="000000"/>
                <w:sz w:val="28"/>
                <w:szCs w:val="28"/>
              </w:rPr>
              <w:t>B/T 25000.51-2016</w:t>
            </w:r>
            <w:r>
              <w:rPr>
                <w:rFonts w:ascii="Times New Roman" w:eastAsia="仿宋_GB2312" w:hAnsi="Times New Roman" w:hint="eastAsia"/>
                <w:color w:val="000000"/>
                <w:sz w:val="28"/>
                <w:szCs w:val="28"/>
              </w:rPr>
              <w:t>系统与软件工程</w:t>
            </w:r>
            <w:r>
              <w:rPr>
                <w:rFonts w:ascii="Times New Roman" w:eastAsia="仿宋_GB2312" w:hAnsi="Times New Roman" w:hint="eastAsia"/>
                <w:color w:val="000000"/>
                <w:sz w:val="28"/>
                <w:szCs w:val="28"/>
              </w:rPr>
              <w:t xml:space="preserve"> </w:t>
            </w:r>
            <w:r>
              <w:rPr>
                <w:rFonts w:ascii="Times New Roman" w:eastAsia="仿宋_GB2312" w:hAnsi="Times New Roman" w:hint="eastAsia"/>
                <w:color w:val="000000"/>
                <w:sz w:val="28"/>
                <w:szCs w:val="28"/>
              </w:rPr>
              <w:t>系统与软件质量要求和评价（</w:t>
            </w:r>
            <w:r>
              <w:rPr>
                <w:rFonts w:ascii="Times New Roman" w:eastAsia="仿宋_GB2312" w:hAnsi="Times New Roman"/>
                <w:color w:val="000000"/>
                <w:sz w:val="28"/>
                <w:szCs w:val="28"/>
              </w:rPr>
              <w:t>SQ</w:t>
            </w:r>
            <w:r>
              <w:rPr>
                <w:rFonts w:ascii="Times New Roman" w:eastAsia="仿宋_GB2312" w:hAnsi="Times New Roman" w:hint="eastAsia"/>
                <w:color w:val="000000"/>
                <w:sz w:val="28"/>
                <w:szCs w:val="28"/>
              </w:rPr>
              <w:t>ua</w:t>
            </w:r>
            <w:r>
              <w:rPr>
                <w:rFonts w:ascii="Times New Roman" w:eastAsia="仿宋_GB2312" w:hAnsi="Times New Roman"/>
                <w:color w:val="000000"/>
                <w:sz w:val="28"/>
                <w:szCs w:val="28"/>
              </w:rPr>
              <w:t>RE</w:t>
            </w:r>
            <w:r>
              <w:rPr>
                <w:rFonts w:ascii="Times New Roman" w:eastAsia="仿宋_GB2312" w:hAnsi="Times New Roman" w:hint="eastAsia"/>
                <w:color w:val="000000"/>
                <w:sz w:val="28"/>
                <w:szCs w:val="28"/>
              </w:rPr>
              <w:t>）第</w:t>
            </w:r>
            <w:r>
              <w:rPr>
                <w:rFonts w:ascii="Times New Roman" w:eastAsia="仿宋_GB2312" w:hAnsi="Times New Roman" w:hint="eastAsia"/>
                <w:color w:val="000000"/>
                <w:sz w:val="28"/>
                <w:szCs w:val="28"/>
              </w:rPr>
              <w:t>5</w:t>
            </w:r>
            <w:r>
              <w:rPr>
                <w:rFonts w:ascii="Times New Roman" w:eastAsia="仿宋_GB2312" w:hAnsi="Times New Roman"/>
                <w:color w:val="000000"/>
                <w:sz w:val="28"/>
                <w:szCs w:val="28"/>
              </w:rPr>
              <w:t>1</w:t>
            </w:r>
            <w:r>
              <w:rPr>
                <w:rFonts w:ascii="Times New Roman" w:eastAsia="仿宋_GB2312" w:hAnsi="Times New Roman" w:hint="eastAsia"/>
                <w:color w:val="000000"/>
                <w:sz w:val="28"/>
                <w:szCs w:val="28"/>
              </w:rPr>
              <w:t>部分：就绪可用软件产品（</w:t>
            </w:r>
            <w:r>
              <w:rPr>
                <w:rFonts w:ascii="Times New Roman" w:eastAsia="仿宋_GB2312" w:hAnsi="Times New Roman" w:hint="eastAsia"/>
                <w:color w:val="000000"/>
                <w:sz w:val="28"/>
                <w:szCs w:val="28"/>
              </w:rPr>
              <w:t>R</w:t>
            </w:r>
            <w:r>
              <w:rPr>
                <w:rFonts w:ascii="Times New Roman" w:eastAsia="仿宋_GB2312" w:hAnsi="Times New Roman"/>
                <w:color w:val="000000"/>
                <w:sz w:val="28"/>
                <w:szCs w:val="28"/>
              </w:rPr>
              <w:t>USP</w:t>
            </w:r>
            <w:r>
              <w:rPr>
                <w:rFonts w:ascii="Times New Roman" w:eastAsia="仿宋_GB2312" w:hAnsi="Times New Roman" w:hint="eastAsia"/>
                <w:color w:val="000000"/>
                <w:sz w:val="28"/>
                <w:szCs w:val="28"/>
              </w:rPr>
              <w:t>）的质量要求和测试细则</w:t>
            </w:r>
          </w:p>
        </w:tc>
      </w:tr>
    </w:tbl>
    <w:p w14:paraId="3FDF4F84" w14:textId="77777777" w:rsidR="00A07758" w:rsidRPr="008B6261" w:rsidRDefault="00A07758" w:rsidP="00A07758">
      <w:pPr>
        <w:snapToGrid w:val="0"/>
        <w:spacing w:line="520" w:lineRule="exact"/>
        <w:ind w:firstLineChars="200" w:firstLine="640"/>
        <w:rPr>
          <w:rFonts w:ascii="Times New Roman" w:eastAsia="仿宋_GB2312" w:hAnsi="Times New Roman"/>
          <w:color w:val="000000"/>
          <w:sz w:val="32"/>
          <w:szCs w:val="32"/>
        </w:rPr>
      </w:pPr>
    </w:p>
    <w:p w14:paraId="74FA571D" w14:textId="77777777" w:rsidR="00A07758" w:rsidRPr="008B6261" w:rsidRDefault="00A07758" w:rsidP="00A07758">
      <w:pPr>
        <w:spacing w:line="520" w:lineRule="exact"/>
        <w:jc w:val="left"/>
        <w:rPr>
          <w:rFonts w:ascii="Times New Roman" w:eastAsia="仿宋_GB2312" w:hAnsi="Times New Roman"/>
          <w:color w:val="000000"/>
          <w:sz w:val="30"/>
          <w:szCs w:val="30"/>
        </w:rPr>
      </w:pPr>
    </w:p>
    <w:p w14:paraId="19955267" w14:textId="0A017C78" w:rsidR="00292903" w:rsidRPr="008B6261" w:rsidRDefault="00292903" w:rsidP="00A07758">
      <w:pPr>
        <w:widowControl/>
        <w:spacing w:line="520" w:lineRule="exact"/>
        <w:jc w:val="left"/>
        <w:rPr>
          <w:rFonts w:ascii="Times New Roman" w:eastAsia="方正小标宋_GBK" w:hAnsi="Times New Roman"/>
          <w:color w:val="000000"/>
          <w:sz w:val="36"/>
          <w:szCs w:val="36"/>
        </w:rPr>
      </w:pPr>
    </w:p>
    <w:sectPr w:rsidR="00292903" w:rsidRPr="008B6261" w:rsidSect="009F75A9">
      <w:footerReference w:type="default" r:id="rId7"/>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1BCF0" w14:textId="77777777" w:rsidR="002C07DC" w:rsidRDefault="002C07DC" w:rsidP="000968B5">
      <w:r>
        <w:separator/>
      </w:r>
    </w:p>
  </w:endnote>
  <w:endnote w:type="continuationSeparator" w:id="0">
    <w:p w14:paraId="04374D5B" w14:textId="77777777" w:rsidR="002C07DC" w:rsidRDefault="002C07DC" w:rsidP="0009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icrosoft YaHei UI"/>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方正小标宋_GBK">
    <w:altName w:val="微软雅黑"/>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00090"/>
      <w:docPartObj>
        <w:docPartGallery w:val="Page Numbers (Bottom of Page)"/>
        <w:docPartUnique/>
      </w:docPartObj>
    </w:sdtPr>
    <w:sdtEndPr/>
    <w:sdtContent>
      <w:sdt>
        <w:sdtPr>
          <w:id w:val="1728636285"/>
          <w:docPartObj>
            <w:docPartGallery w:val="Page Numbers (Top of Page)"/>
            <w:docPartUnique/>
          </w:docPartObj>
        </w:sdtPr>
        <w:sdtEndPr/>
        <w:sdtContent>
          <w:p w14:paraId="67148AAD" w14:textId="226BFA09" w:rsidR="00A32CF4" w:rsidRDefault="00A32CF4">
            <w:pPr>
              <w:pStyle w:val="a8"/>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55519B">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55519B">
              <w:rPr>
                <w:b/>
                <w:bCs/>
                <w:noProof/>
              </w:rPr>
              <w:t>23</w:t>
            </w:r>
            <w:r>
              <w:rPr>
                <w:b/>
                <w:bCs/>
                <w:sz w:val="24"/>
                <w:szCs w:val="24"/>
              </w:rPr>
              <w:fldChar w:fldCharType="end"/>
            </w:r>
          </w:p>
        </w:sdtContent>
      </w:sdt>
    </w:sdtContent>
  </w:sdt>
  <w:p w14:paraId="1A1903AA" w14:textId="77777777" w:rsidR="00A32CF4" w:rsidRDefault="00A32CF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D653A" w14:textId="77777777" w:rsidR="002C07DC" w:rsidRDefault="002C07DC" w:rsidP="000968B5">
      <w:r>
        <w:separator/>
      </w:r>
    </w:p>
  </w:footnote>
  <w:footnote w:type="continuationSeparator" w:id="0">
    <w:p w14:paraId="5557A285" w14:textId="77777777" w:rsidR="002C07DC" w:rsidRDefault="002C07DC" w:rsidP="000968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9C7EFF"/>
    <w:multiLevelType w:val="hybridMultilevel"/>
    <w:tmpl w:val="EC3C702A"/>
    <w:lvl w:ilvl="0" w:tplc="E264B5B2">
      <w:start w:val="1"/>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7FCA37B6"/>
    <w:multiLevelType w:val="multilevel"/>
    <w:tmpl w:val="C730096E"/>
    <w:lvl w:ilvl="0">
      <w:start w:val="1"/>
      <w:numFmt w:val="decimal"/>
      <w:pStyle w:val="a"/>
      <w:lvlText w:val="%1"/>
      <w:lvlJc w:val="left"/>
      <w:pPr>
        <w:ind w:left="425" w:hanging="425"/>
      </w:pPr>
      <w:rPr>
        <w:rFonts w:hint="eastAsia"/>
      </w:rPr>
    </w:lvl>
    <w:lvl w:ilvl="1">
      <w:start w:val="1"/>
      <w:numFmt w:val="decimal"/>
      <w:pStyle w:val="a0"/>
      <w:lvlText w:val="%1.%2"/>
      <w:lvlJc w:val="left"/>
      <w:pPr>
        <w:ind w:left="992" w:hanging="567"/>
      </w:pPr>
      <w:rPr>
        <w:rFonts w:hint="eastAsia"/>
        <w:color w:val="auto"/>
      </w:rPr>
    </w:lvl>
    <w:lvl w:ilvl="2">
      <w:start w:val="1"/>
      <w:numFmt w:val="decimal"/>
      <w:pStyle w:val="a1"/>
      <w:lvlText w:val="%1.%2.%3"/>
      <w:lvlJc w:val="left"/>
      <w:pPr>
        <w:ind w:left="1418" w:hanging="567"/>
      </w:pPr>
      <w:rPr>
        <w:rFonts w:hint="eastAsia"/>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48E"/>
    <w:rsid w:val="0000234E"/>
    <w:rsid w:val="00011199"/>
    <w:rsid w:val="00014A65"/>
    <w:rsid w:val="0002027E"/>
    <w:rsid w:val="00021C4F"/>
    <w:rsid w:val="00024827"/>
    <w:rsid w:val="000271EF"/>
    <w:rsid w:val="00030529"/>
    <w:rsid w:val="00052AC7"/>
    <w:rsid w:val="00070230"/>
    <w:rsid w:val="00071ED0"/>
    <w:rsid w:val="00072537"/>
    <w:rsid w:val="0008115F"/>
    <w:rsid w:val="000879FB"/>
    <w:rsid w:val="00087D57"/>
    <w:rsid w:val="0009053E"/>
    <w:rsid w:val="000968B5"/>
    <w:rsid w:val="00096A60"/>
    <w:rsid w:val="000A3E2C"/>
    <w:rsid w:val="000C6DBE"/>
    <w:rsid w:val="000E61D4"/>
    <w:rsid w:val="00103E0D"/>
    <w:rsid w:val="001162F9"/>
    <w:rsid w:val="001352B2"/>
    <w:rsid w:val="001371DB"/>
    <w:rsid w:val="0015238F"/>
    <w:rsid w:val="001669BB"/>
    <w:rsid w:val="00176DCF"/>
    <w:rsid w:val="0019788D"/>
    <w:rsid w:val="001B5367"/>
    <w:rsid w:val="001B6F02"/>
    <w:rsid w:val="001D6E94"/>
    <w:rsid w:val="001F74CE"/>
    <w:rsid w:val="0026120F"/>
    <w:rsid w:val="00263706"/>
    <w:rsid w:val="00265D09"/>
    <w:rsid w:val="0027148E"/>
    <w:rsid w:val="002715D0"/>
    <w:rsid w:val="00272771"/>
    <w:rsid w:val="00280D31"/>
    <w:rsid w:val="002832B9"/>
    <w:rsid w:val="00292903"/>
    <w:rsid w:val="002A02E0"/>
    <w:rsid w:val="002A1A39"/>
    <w:rsid w:val="002B6BFF"/>
    <w:rsid w:val="002C07DC"/>
    <w:rsid w:val="002C0AAB"/>
    <w:rsid w:val="002C3856"/>
    <w:rsid w:val="002C63AB"/>
    <w:rsid w:val="002D054E"/>
    <w:rsid w:val="0034409F"/>
    <w:rsid w:val="00353AC8"/>
    <w:rsid w:val="00356D96"/>
    <w:rsid w:val="00357D5B"/>
    <w:rsid w:val="00361F92"/>
    <w:rsid w:val="00363C54"/>
    <w:rsid w:val="00371158"/>
    <w:rsid w:val="00372D88"/>
    <w:rsid w:val="00381E08"/>
    <w:rsid w:val="00382200"/>
    <w:rsid w:val="00382F02"/>
    <w:rsid w:val="00390CB7"/>
    <w:rsid w:val="00392F37"/>
    <w:rsid w:val="003A7DDE"/>
    <w:rsid w:val="003B1C24"/>
    <w:rsid w:val="003B3D6D"/>
    <w:rsid w:val="003C333F"/>
    <w:rsid w:val="003C6237"/>
    <w:rsid w:val="003C66E0"/>
    <w:rsid w:val="003D3D95"/>
    <w:rsid w:val="003E687C"/>
    <w:rsid w:val="003F32F5"/>
    <w:rsid w:val="00414010"/>
    <w:rsid w:val="00422A79"/>
    <w:rsid w:val="00423992"/>
    <w:rsid w:val="004470FC"/>
    <w:rsid w:val="00453287"/>
    <w:rsid w:val="00454F34"/>
    <w:rsid w:val="0046734A"/>
    <w:rsid w:val="00470271"/>
    <w:rsid w:val="00482E81"/>
    <w:rsid w:val="00494EA2"/>
    <w:rsid w:val="00496755"/>
    <w:rsid w:val="004A0E60"/>
    <w:rsid w:val="004A174D"/>
    <w:rsid w:val="004A345F"/>
    <w:rsid w:val="004C5588"/>
    <w:rsid w:val="004E05A6"/>
    <w:rsid w:val="004F04A1"/>
    <w:rsid w:val="004F1AF3"/>
    <w:rsid w:val="004F4A05"/>
    <w:rsid w:val="004F566A"/>
    <w:rsid w:val="00506ACA"/>
    <w:rsid w:val="005172B8"/>
    <w:rsid w:val="0053091F"/>
    <w:rsid w:val="00530F79"/>
    <w:rsid w:val="00533528"/>
    <w:rsid w:val="0054434B"/>
    <w:rsid w:val="00553FB0"/>
    <w:rsid w:val="0055519B"/>
    <w:rsid w:val="005619DE"/>
    <w:rsid w:val="00583080"/>
    <w:rsid w:val="00593329"/>
    <w:rsid w:val="005A2C82"/>
    <w:rsid w:val="005B00DC"/>
    <w:rsid w:val="005B0764"/>
    <w:rsid w:val="005B4CB4"/>
    <w:rsid w:val="005C4B92"/>
    <w:rsid w:val="005E1C09"/>
    <w:rsid w:val="005E2339"/>
    <w:rsid w:val="005E6D1F"/>
    <w:rsid w:val="00611BFD"/>
    <w:rsid w:val="006134CE"/>
    <w:rsid w:val="006267AD"/>
    <w:rsid w:val="0063325C"/>
    <w:rsid w:val="00640A7D"/>
    <w:rsid w:val="00642211"/>
    <w:rsid w:val="00643B35"/>
    <w:rsid w:val="00671C5F"/>
    <w:rsid w:val="00682AF1"/>
    <w:rsid w:val="006B469B"/>
    <w:rsid w:val="006C1905"/>
    <w:rsid w:val="006E09CC"/>
    <w:rsid w:val="006E4137"/>
    <w:rsid w:val="006E7EAB"/>
    <w:rsid w:val="006F6FBA"/>
    <w:rsid w:val="007136A7"/>
    <w:rsid w:val="00713827"/>
    <w:rsid w:val="00714810"/>
    <w:rsid w:val="0072081D"/>
    <w:rsid w:val="007322DC"/>
    <w:rsid w:val="00737F99"/>
    <w:rsid w:val="00743867"/>
    <w:rsid w:val="00746F65"/>
    <w:rsid w:val="00764E51"/>
    <w:rsid w:val="00765801"/>
    <w:rsid w:val="0077438E"/>
    <w:rsid w:val="00784620"/>
    <w:rsid w:val="007A3EDC"/>
    <w:rsid w:val="007B1200"/>
    <w:rsid w:val="007B18BB"/>
    <w:rsid w:val="007B72E8"/>
    <w:rsid w:val="007C185C"/>
    <w:rsid w:val="007C32A3"/>
    <w:rsid w:val="007D48DB"/>
    <w:rsid w:val="00811F66"/>
    <w:rsid w:val="008126D0"/>
    <w:rsid w:val="00812E12"/>
    <w:rsid w:val="00822B2F"/>
    <w:rsid w:val="008274DA"/>
    <w:rsid w:val="0083131E"/>
    <w:rsid w:val="00837A20"/>
    <w:rsid w:val="008461FB"/>
    <w:rsid w:val="00855159"/>
    <w:rsid w:val="00874664"/>
    <w:rsid w:val="00874E11"/>
    <w:rsid w:val="00881040"/>
    <w:rsid w:val="008872BE"/>
    <w:rsid w:val="00892DC8"/>
    <w:rsid w:val="00896959"/>
    <w:rsid w:val="008A11F3"/>
    <w:rsid w:val="008A551F"/>
    <w:rsid w:val="008B6261"/>
    <w:rsid w:val="008F0FB9"/>
    <w:rsid w:val="008F55EA"/>
    <w:rsid w:val="008F7C64"/>
    <w:rsid w:val="00921775"/>
    <w:rsid w:val="009338BD"/>
    <w:rsid w:val="00937FE4"/>
    <w:rsid w:val="00950F22"/>
    <w:rsid w:val="0095168E"/>
    <w:rsid w:val="00956F8E"/>
    <w:rsid w:val="009635DA"/>
    <w:rsid w:val="00981B90"/>
    <w:rsid w:val="0098741A"/>
    <w:rsid w:val="009945B4"/>
    <w:rsid w:val="009A2617"/>
    <w:rsid w:val="009B1486"/>
    <w:rsid w:val="009B4049"/>
    <w:rsid w:val="009E4159"/>
    <w:rsid w:val="009E4C0D"/>
    <w:rsid w:val="009F4FF2"/>
    <w:rsid w:val="009F75A9"/>
    <w:rsid w:val="00A04F83"/>
    <w:rsid w:val="00A07758"/>
    <w:rsid w:val="00A21938"/>
    <w:rsid w:val="00A32413"/>
    <w:rsid w:val="00A32CF4"/>
    <w:rsid w:val="00A43EE1"/>
    <w:rsid w:val="00A50D9E"/>
    <w:rsid w:val="00A72233"/>
    <w:rsid w:val="00A76327"/>
    <w:rsid w:val="00A76E22"/>
    <w:rsid w:val="00A8109B"/>
    <w:rsid w:val="00A9088D"/>
    <w:rsid w:val="00AB2B42"/>
    <w:rsid w:val="00AB740F"/>
    <w:rsid w:val="00AD7206"/>
    <w:rsid w:val="00AE4228"/>
    <w:rsid w:val="00AE4E0B"/>
    <w:rsid w:val="00AF272C"/>
    <w:rsid w:val="00AF7A06"/>
    <w:rsid w:val="00B01752"/>
    <w:rsid w:val="00B02C25"/>
    <w:rsid w:val="00B32731"/>
    <w:rsid w:val="00B54652"/>
    <w:rsid w:val="00B7408C"/>
    <w:rsid w:val="00B74E8E"/>
    <w:rsid w:val="00B92EC2"/>
    <w:rsid w:val="00BA4274"/>
    <w:rsid w:val="00BC3AC0"/>
    <w:rsid w:val="00BD6DD1"/>
    <w:rsid w:val="00BD7FB4"/>
    <w:rsid w:val="00BE3EE7"/>
    <w:rsid w:val="00C00896"/>
    <w:rsid w:val="00C15605"/>
    <w:rsid w:val="00C351A9"/>
    <w:rsid w:val="00C46EAF"/>
    <w:rsid w:val="00C5356A"/>
    <w:rsid w:val="00C60C3D"/>
    <w:rsid w:val="00C71793"/>
    <w:rsid w:val="00C8072D"/>
    <w:rsid w:val="00C83C10"/>
    <w:rsid w:val="00C93045"/>
    <w:rsid w:val="00C939C3"/>
    <w:rsid w:val="00CB6FE1"/>
    <w:rsid w:val="00CC67D6"/>
    <w:rsid w:val="00CE3764"/>
    <w:rsid w:val="00CE45AF"/>
    <w:rsid w:val="00CE626B"/>
    <w:rsid w:val="00CF26F1"/>
    <w:rsid w:val="00CF67CF"/>
    <w:rsid w:val="00D035B6"/>
    <w:rsid w:val="00D10474"/>
    <w:rsid w:val="00D3480C"/>
    <w:rsid w:val="00D405D7"/>
    <w:rsid w:val="00D4352F"/>
    <w:rsid w:val="00D44EF0"/>
    <w:rsid w:val="00D471D3"/>
    <w:rsid w:val="00D57515"/>
    <w:rsid w:val="00D575FB"/>
    <w:rsid w:val="00D61529"/>
    <w:rsid w:val="00D6260D"/>
    <w:rsid w:val="00D6327B"/>
    <w:rsid w:val="00D74603"/>
    <w:rsid w:val="00D77373"/>
    <w:rsid w:val="00DA5954"/>
    <w:rsid w:val="00DB3BC0"/>
    <w:rsid w:val="00DB51A1"/>
    <w:rsid w:val="00DD0768"/>
    <w:rsid w:val="00DD38DA"/>
    <w:rsid w:val="00DD3E21"/>
    <w:rsid w:val="00DF14FB"/>
    <w:rsid w:val="00E02780"/>
    <w:rsid w:val="00E03EC0"/>
    <w:rsid w:val="00E10892"/>
    <w:rsid w:val="00E13CD9"/>
    <w:rsid w:val="00E15391"/>
    <w:rsid w:val="00E163A4"/>
    <w:rsid w:val="00E167EB"/>
    <w:rsid w:val="00E16904"/>
    <w:rsid w:val="00E265F6"/>
    <w:rsid w:val="00E3669D"/>
    <w:rsid w:val="00E42202"/>
    <w:rsid w:val="00E437CC"/>
    <w:rsid w:val="00E67182"/>
    <w:rsid w:val="00E81C75"/>
    <w:rsid w:val="00E85915"/>
    <w:rsid w:val="00E93BAC"/>
    <w:rsid w:val="00EC00B9"/>
    <w:rsid w:val="00EC1EB7"/>
    <w:rsid w:val="00ED31DF"/>
    <w:rsid w:val="00ED7BD2"/>
    <w:rsid w:val="00EE03F4"/>
    <w:rsid w:val="00EE3DEE"/>
    <w:rsid w:val="00EF7E9A"/>
    <w:rsid w:val="00F27936"/>
    <w:rsid w:val="00F41B62"/>
    <w:rsid w:val="00F41D75"/>
    <w:rsid w:val="00F60BCB"/>
    <w:rsid w:val="00F70A56"/>
    <w:rsid w:val="00F87B51"/>
    <w:rsid w:val="00F967A3"/>
    <w:rsid w:val="00FA08A9"/>
    <w:rsid w:val="00FA4940"/>
    <w:rsid w:val="00FC415B"/>
    <w:rsid w:val="00FC527F"/>
    <w:rsid w:val="00FD7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7F33A"/>
  <w15:docId w15:val="{858A4901-A480-45CE-B78B-64919193B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968B5"/>
    <w:pPr>
      <w:widowControl w:val="0"/>
      <w:jc w:val="both"/>
    </w:pPr>
    <w:rPr>
      <w:rFonts w:ascii="等线" w:eastAsia="等线" w:hAnsi="等线" w:cs="Times New Roman"/>
    </w:rPr>
  </w:style>
  <w:style w:type="paragraph" w:styleId="1">
    <w:name w:val="heading 1"/>
    <w:basedOn w:val="a2"/>
    <w:next w:val="a2"/>
    <w:link w:val="10"/>
    <w:uiPriority w:val="1"/>
    <w:qFormat/>
    <w:rsid w:val="00353AC8"/>
    <w:pPr>
      <w:ind w:left="159"/>
      <w:outlineLvl w:val="0"/>
    </w:pPr>
    <w:rPr>
      <w:rFonts w:ascii="宋体" w:eastAsia="宋体" w:hAnsi="宋体" w:cstheme="minorBidi"/>
      <w:b/>
      <w:bCs/>
      <w:sz w:val="32"/>
      <w:szCs w:val="32"/>
    </w:rPr>
  </w:style>
  <w:style w:type="paragraph" w:styleId="2">
    <w:name w:val="heading 2"/>
    <w:basedOn w:val="a2"/>
    <w:next w:val="a2"/>
    <w:link w:val="20"/>
    <w:uiPriority w:val="9"/>
    <w:semiHidden/>
    <w:unhideWhenUsed/>
    <w:qFormat/>
    <w:rsid w:val="00F967A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2"/>
    <w:next w:val="a2"/>
    <w:link w:val="30"/>
    <w:semiHidden/>
    <w:unhideWhenUsed/>
    <w:qFormat/>
    <w:rsid w:val="00353AC8"/>
    <w:pPr>
      <w:spacing w:beforeAutospacing="1" w:afterAutospacing="1"/>
      <w:jc w:val="left"/>
      <w:outlineLvl w:val="2"/>
    </w:pPr>
    <w:rPr>
      <w:rFonts w:ascii="宋体" w:eastAsia="宋体" w:hAnsi="宋体" w:hint="eastAsia"/>
      <w:b/>
      <w:kern w:val="0"/>
      <w:sz w:val="27"/>
      <w:szCs w:val="27"/>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0968B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3"/>
    <w:link w:val="a6"/>
    <w:uiPriority w:val="99"/>
    <w:rsid w:val="000968B5"/>
    <w:rPr>
      <w:sz w:val="18"/>
      <w:szCs w:val="18"/>
    </w:rPr>
  </w:style>
  <w:style w:type="paragraph" w:styleId="a8">
    <w:name w:val="footer"/>
    <w:basedOn w:val="a2"/>
    <w:link w:val="a9"/>
    <w:uiPriority w:val="99"/>
    <w:unhideWhenUsed/>
    <w:rsid w:val="000968B5"/>
    <w:pPr>
      <w:tabs>
        <w:tab w:val="center" w:pos="4153"/>
        <w:tab w:val="right" w:pos="8306"/>
      </w:tabs>
      <w:snapToGrid w:val="0"/>
      <w:jc w:val="left"/>
    </w:pPr>
    <w:rPr>
      <w:sz w:val="18"/>
      <w:szCs w:val="18"/>
    </w:rPr>
  </w:style>
  <w:style w:type="character" w:customStyle="1" w:styleId="a9">
    <w:name w:val="页脚 字符"/>
    <w:basedOn w:val="a3"/>
    <w:link w:val="a8"/>
    <w:uiPriority w:val="99"/>
    <w:rsid w:val="000968B5"/>
    <w:rPr>
      <w:sz w:val="18"/>
      <w:szCs w:val="18"/>
    </w:rPr>
  </w:style>
  <w:style w:type="character" w:customStyle="1" w:styleId="10">
    <w:name w:val="标题 1 字符"/>
    <w:basedOn w:val="a3"/>
    <w:link w:val="1"/>
    <w:uiPriority w:val="1"/>
    <w:rsid w:val="00353AC8"/>
    <w:rPr>
      <w:rFonts w:ascii="宋体" w:eastAsia="宋体" w:hAnsi="宋体"/>
      <w:b/>
      <w:bCs/>
      <w:sz w:val="32"/>
      <w:szCs w:val="32"/>
    </w:rPr>
  </w:style>
  <w:style w:type="character" w:customStyle="1" w:styleId="30">
    <w:name w:val="标题 3 字符"/>
    <w:basedOn w:val="a3"/>
    <w:link w:val="3"/>
    <w:semiHidden/>
    <w:rsid w:val="00353AC8"/>
    <w:rPr>
      <w:rFonts w:ascii="宋体" w:eastAsia="宋体" w:hAnsi="宋体" w:cs="Times New Roman"/>
      <w:b/>
      <w:kern w:val="0"/>
      <w:sz w:val="27"/>
      <w:szCs w:val="27"/>
    </w:rPr>
  </w:style>
  <w:style w:type="paragraph" w:styleId="aa">
    <w:name w:val="Normal (Web)"/>
    <w:basedOn w:val="a2"/>
    <w:autoRedefine/>
    <w:qFormat/>
    <w:rsid w:val="00353AC8"/>
    <w:pPr>
      <w:spacing w:beforeAutospacing="1" w:afterAutospacing="1"/>
      <w:jc w:val="left"/>
    </w:pPr>
    <w:rPr>
      <w:rFonts w:asciiTheme="minorHAnsi" w:eastAsiaTheme="minorEastAsia" w:hAnsiTheme="minorHAnsi"/>
      <w:kern w:val="0"/>
      <w:sz w:val="24"/>
      <w:szCs w:val="24"/>
    </w:rPr>
  </w:style>
  <w:style w:type="table" w:styleId="ab">
    <w:name w:val="Table Grid"/>
    <w:basedOn w:val="a4"/>
    <w:autoRedefine/>
    <w:uiPriority w:val="59"/>
    <w:qFormat/>
    <w:rsid w:val="00353AC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2"/>
    <w:qFormat/>
    <w:rsid w:val="0008115F"/>
    <w:pPr>
      <w:ind w:firstLineChars="200" w:firstLine="420"/>
    </w:pPr>
  </w:style>
  <w:style w:type="paragraph" w:customStyle="1" w:styleId="ad">
    <w:name w:val="字母编号列项（一级）"/>
    <w:uiPriority w:val="99"/>
    <w:qFormat/>
    <w:rsid w:val="005172B8"/>
    <w:pPr>
      <w:ind w:leftChars="200" w:left="840" w:hangingChars="200" w:hanging="420"/>
      <w:jc w:val="both"/>
    </w:pPr>
    <w:rPr>
      <w:rFonts w:ascii="宋体" w:eastAsia="宋体" w:hAnsi="Times New Roman" w:cs="宋体"/>
      <w:kern w:val="0"/>
      <w:sz w:val="20"/>
      <w:szCs w:val="20"/>
    </w:rPr>
  </w:style>
  <w:style w:type="paragraph" w:customStyle="1" w:styleId="ae">
    <w:name w:val="标准的最小标题"/>
    <w:next w:val="a2"/>
    <w:link w:val="Char"/>
    <w:rsid w:val="005172B8"/>
    <w:pPr>
      <w:widowControl w:val="0"/>
      <w:spacing w:line="300" w:lineRule="auto"/>
      <w:jc w:val="both"/>
    </w:pPr>
    <w:rPr>
      <w:rFonts w:ascii="Times New Roman" w:eastAsia="宋体" w:hAnsi="Times New Roman" w:cs="Times New Roman"/>
      <w:sz w:val="24"/>
      <w:szCs w:val="21"/>
    </w:rPr>
  </w:style>
  <w:style w:type="character" w:customStyle="1" w:styleId="Char">
    <w:name w:val="标准的最小标题 Char"/>
    <w:link w:val="ae"/>
    <w:qFormat/>
    <w:locked/>
    <w:rsid w:val="005172B8"/>
    <w:rPr>
      <w:rFonts w:ascii="Times New Roman" w:eastAsia="宋体" w:hAnsi="Times New Roman" w:cs="Times New Roman"/>
      <w:sz w:val="24"/>
      <w:szCs w:val="21"/>
    </w:rPr>
  </w:style>
  <w:style w:type="paragraph" w:customStyle="1" w:styleId="af">
    <w:name w:val="表格"/>
    <w:basedOn w:val="a2"/>
    <w:link w:val="af0"/>
    <w:qFormat/>
    <w:rsid w:val="005172B8"/>
    <w:rPr>
      <w:rFonts w:ascii="Times New Roman" w:eastAsia="宋体" w:hAnsi="Times New Roman"/>
      <w:sz w:val="24"/>
    </w:rPr>
  </w:style>
  <w:style w:type="paragraph" w:customStyle="1" w:styleId="a">
    <w:name w:val="一级标题"/>
    <w:basedOn w:val="a2"/>
    <w:link w:val="af1"/>
    <w:qFormat/>
    <w:rsid w:val="005172B8"/>
    <w:pPr>
      <w:numPr>
        <w:numId w:val="2"/>
      </w:numPr>
      <w:spacing w:line="360" w:lineRule="auto"/>
      <w:ind w:left="0" w:firstLine="0"/>
      <w:jc w:val="left"/>
    </w:pPr>
    <w:rPr>
      <w:rFonts w:ascii="Times New Roman" w:eastAsia="宋体" w:hAnsi="Times New Roman"/>
      <w:b/>
      <w:bCs/>
      <w:kern w:val="0"/>
      <w:sz w:val="24"/>
      <w:szCs w:val="36"/>
    </w:rPr>
  </w:style>
  <w:style w:type="paragraph" w:customStyle="1" w:styleId="a0">
    <w:name w:val="二级标题"/>
    <w:basedOn w:val="a"/>
    <w:link w:val="af2"/>
    <w:qFormat/>
    <w:rsid w:val="005172B8"/>
    <w:pPr>
      <w:numPr>
        <w:ilvl w:val="1"/>
      </w:numPr>
    </w:pPr>
    <w:rPr>
      <w:b w:val="0"/>
    </w:rPr>
  </w:style>
  <w:style w:type="character" w:customStyle="1" w:styleId="af1">
    <w:name w:val="一级标题 字符"/>
    <w:link w:val="a"/>
    <w:rsid w:val="005172B8"/>
    <w:rPr>
      <w:rFonts w:ascii="Times New Roman" w:eastAsia="宋体" w:hAnsi="Times New Roman" w:cs="Times New Roman"/>
      <w:b/>
      <w:bCs/>
      <w:kern w:val="0"/>
      <w:sz w:val="24"/>
      <w:szCs w:val="36"/>
    </w:rPr>
  </w:style>
  <w:style w:type="paragraph" w:customStyle="1" w:styleId="a1">
    <w:name w:val="三级标题"/>
    <w:basedOn w:val="a2"/>
    <w:link w:val="af3"/>
    <w:qFormat/>
    <w:rsid w:val="005172B8"/>
    <w:pPr>
      <w:numPr>
        <w:ilvl w:val="2"/>
        <w:numId w:val="2"/>
      </w:numPr>
      <w:spacing w:line="360" w:lineRule="auto"/>
      <w:ind w:left="0" w:firstLine="0"/>
      <w:jc w:val="left"/>
    </w:pPr>
    <w:rPr>
      <w:rFonts w:ascii="Times New Roman" w:eastAsia="宋体" w:hAnsi="Times New Roman"/>
      <w:sz w:val="24"/>
      <w:szCs w:val="24"/>
    </w:rPr>
  </w:style>
  <w:style w:type="character" w:customStyle="1" w:styleId="af2">
    <w:name w:val="二级标题 字符"/>
    <w:link w:val="a0"/>
    <w:rsid w:val="005172B8"/>
    <w:rPr>
      <w:rFonts w:ascii="Times New Roman" w:eastAsia="宋体" w:hAnsi="Times New Roman" w:cs="Times New Roman"/>
      <w:bCs/>
      <w:kern w:val="0"/>
      <w:sz w:val="24"/>
      <w:szCs w:val="36"/>
    </w:rPr>
  </w:style>
  <w:style w:type="character" w:customStyle="1" w:styleId="af3">
    <w:name w:val="三级标题 字符"/>
    <w:link w:val="a1"/>
    <w:rsid w:val="005172B8"/>
    <w:rPr>
      <w:rFonts w:ascii="Times New Roman" w:eastAsia="宋体" w:hAnsi="Times New Roman" w:cs="Times New Roman"/>
      <w:sz w:val="24"/>
      <w:szCs w:val="24"/>
    </w:rPr>
  </w:style>
  <w:style w:type="character" w:customStyle="1" w:styleId="af0">
    <w:name w:val="表格 字符"/>
    <w:basedOn w:val="a3"/>
    <w:link w:val="af"/>
    <w:rsid w:val="005172B8"/>
    <w:rPr>
      <w:rFonts w:ascii="Times New Roman" w:eastAsia="宋体" w:hAnsi="Times New Roman" w:cs="Times New Roman"/>
      <w:sz w:val="24"/>
    </w:rPr>
  </w:style>
  <w:style w:type="paragraph" w:styleId="af4">
    <w:name w:val="Balloon Text"/>
    <w:basedOn w:val="a2"/>
    <w:link w:val="af5"/>
    <w:uiPriority w:val="99"/>
    <w:semiHidden/>
    <w:unhideWhenUsed/>
    <w:rsid w:val="001162F9"/>
    <w:rPr>
      <w:sz w:val="18"/>
      <w:szCs w:val="18"/>
    </w:rPr>
  </w:style>
  <w:style w:type="character" w:customStyle="1" w:styleId="af5">
    <w:name w:val="批注框文本 字符"/>
    <w:basedOn w:val="a3"/>
    <w:link w:val="af4"/>
    <w:uiPriority w:val="99"/>
    <w:semiHidden/>
    <w:rsid w:val="001162F9"/>
    <w:rPr>
      <w:rFonts w:ascii="等线" w:eastAsia="等线" w:hAnsi="等线" w:cs="Times New Roman"/>
      <w:sz w:val="18"/>
      <w:szCs w:val="18"/>
    </w:rPr>
  </w:style>
  <w:style w:type="paragraph" w:customStyle="1" w:styleId="af6">
    <w:name w:val="表格正文文本"/>
    <w:basedOn w:val="a2"/>
    <w:qFormat/>
    <w:rsid w:val="00F967A3"/>
    <w:pPr>
      <w:widowControl/>
      <w:jc w:val="center"/>
    </w:pPr>
    <w:rPr>
      <w:rFonts w:ascii="Tahoma" w:eastAsia="宋体" w:hAnsi="Tahoma"/>
      <w:kern w:val="0"/>
      <w:sz w:val="18"/>
      <w:szCs w:val="20"/>
    </w:rPr>
  </w:style>
  <w:style w:type="paragraph" w:customStyle="1" w:styleId="af7">
    <w:name w:val="调查项目"/>
    <w:basedOn w:val="a2"/>
    <w:qFormat/>
    <w:rsid w:val="00F967A3"/>
    <w:pPr>
      <w:widowControl/>
      <w:jc w:val="left"/>
      <w:outlineLvl w:val="1"/>
    </w:pPr>
    <w:rPr>
      <w:rFonts w:ascii="Tahoma" w:eastAsia="黑体" w:hAnsi="Tahoma"/>
      <w:bCs/>
      <w:color w:val="333399"/>
      <w:kern w:val="0"/>
      <w:sz w:val="18"/>
      <w:szCs w:val="18"/>
    </w:rPr>
  </w:style>
  <w:style w:type="paragraph" w:customStyle="1" w:styleId="af8">
    <w:name w:val="列标题"/>
    <w:basedOn w:val="2"/>
    <w:qFormat/>
    <w:rsid w:val="00F967A3"/>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character" w:customStyle="1" w:styleId="20">
    <w:name w:val="标题 2 字符"/>
    <w:basedOn w:val="a3"/>
    <w:link w:val="2"/>
    <w:uiPriority w:val="9"/>
    <w:semiHidden/>
    <w:rsid w:val="00F967A3"/>
    <w:rPr>
      <w:rFonts w:asciiTheme="majorHAnsi" w:eastAsiaTheme="majorEastAsia" w:hAnsiTheme="majorHAnsi" w:cstheme="majorBidi"/>
      <w:b/>
      <w:bCs/>
      <w:sz w:val="32"/>
      <w:szCs w:val="32"/>
    </w:rPr>
  </w:style>
  <w:style w:type="character" w:styleId="af9">
    <w:name w:val="line number"/>
    <w:basedOn w:val="a3"/>
    <w:uiPriority w:val="99"/>
    <w:semiHidden/>
    <w:unhideWhenUsed/>
    <w:rsid w:val="00AB740F"/>
  </w:style>
  <w:style w:type="character" w:styleId="afa">
    <w:name w:val="annotation reference"/>
    <w:basedOn w:val="a3"/>
    <w:uiPriority w:val="99"/>
    <w:semiHidden/>
    <w:unhideWhenUsed/>
    <w:rsid w:val="000879FB"/>
    <w:rPr>
      <w:sz w:val="21"/>
      <w:szCs w:val="21"/>
    </w:rPr>
  </w:style>
  <w:style w:type="paragraph" w:styleId="afb">
    <w:name w:val="annotation text"/>
    <w:basedOn w:val="a2"/>
    <w:link w:val="afc"/>
    <w:uiPriority w:val="99"/>
    <w:unhideWhenUsed/>
    <w:rsid w:val="000879FB"/>
    <w:pPr>
      <w:jc w:val="left"/>
    </w:pPr>
  </w:style>
  <w:style w:type="character" w:customStyle="1" w:styleId="afc">
    <w:name w:val="批注文字 字符"/>
    <w:basedOn w:val="a3"/>
    <w:link w:val="afb"/>
    <w:uiPriority w:val="99"/>
    <w:rsid w:val="000879FB"/>
    <w:rPr>
      <w:rFonts w:ascii="等线" w:eastAsia="等线" w:hAnsi="等线" w:cs="Times New Roman"/>
    </w:rPr>
  </w:style>
  <w:style w:type="paragraph" w:styleId="afd">
    <w:name w:val="annotation subject"/>
    <w:basedOn w:val="afb"/>
    <w:next w:val="afb"/>
    <w:link w:val="afe"/>
    <w:uiPriority w:val="99"/>
    <w:semiHidden/>
    <w:unhideWhenUsed/>
    <w:rsid w:val="000879FB"/>
    <w:rPr>
      <w:b/>
      <w:bCs/>
    </w:rPr>
  </w:style>
  <w:style w:type="character" w:customStyle="1" w:styleId="afe">
    <w:name w:val="批注主题 字符"/>
    <w:basedOn w:val="afc"/>
    <w:link w:val="afd"/>
    <w:uiPriority w:val="99"/>
    <w:semiHidden/>
    <w:rsid w:val="000879FB"/>
    <w:rPr>
      <w:rFonts w:ascii="等线" w:eastAsia="等线" w:hAnsi="等线"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194096">
      <w:bodyDiv w:val="1"/>
      <w:marLeft w:val="120"/>
      <w:marRight w:val="120"/>
      <w:marTop w:val="120"/>
      <w:marBottom w:val="120"/>
      <w:divBdr>
        <w:top w:val="none" w:sz="0" w:space="0" w:color="auto"/>
        <w:left w:val="none" w:sz="0" w:space="0" w:color="auto"/>
        <w:bottom w:val="none" w:sz="0" w:space="0" w:color="auto"/>
        <w:right w:val="none" w:sz="0" w:space="0" w:color="auto"/>
      </w:divBdr>
    </w:div>
    <w:div w:id="1073048799">
      <w:bodyDiv w:val="1"/>
      <w:marLeft w:val="120"/>
      <w:marRight w:val="120"/>
      <w:marTop w:val="120"/>
      <w:marBottom w:val="12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1474</TotalTime>
  <Pages>23</Pages>
  <Words>1641</Words>
  <Characters>9354</Characters>
  <Application>Microsoft Office Word</Application>
  <DocSecurity>0</DocSecurity>
  <Lines>77</Lines>
  <Paragraphs>21</Paragraphs>
  <ScaleCrop>false</ScaleCrop>
  <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QHTF</dc:creator>
  <cp:keywords/>
  <dc:description/>
  <cp:lastModifiedBy>梁阳彬</cp:lastModifiedBy>
  <cp:revision>389</cp:revision>
  <dcterms:created xsi:type="dcterms:W3CDTF">2024-04-09T03:09:00Z</dcterms:created>
  <dcterms:modified xsi:type="dcterms:W3CDTF">2026-06-02T03:30:00Z</dcterms:modified>
</cp:coreProperties>
</file>