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5E358F" w14:textId="0FF19C05" w:rsidR="00034D1D" w:rsidRPr="00B107F3" w:rsidRDefault="00034D1D" w:rsidP="00B107F3">
      <w:pPr>
        <w:spacing w:line="520" w:lineRule="exact"/>
        <w:rPr>
          <w:rFonts w:ascii="Times New Roman" w:eastAsia="仿宋_GB2312" w:hAnsi="Times New Roman"/>
          <w:sz w:val="32"/>
          <w:szCs w:val="32"/>
        </w:rPr>
      </w:pPr>
    </w:p>
    <w:p w14:paraId="5A70B874" w14:textId="1A5B384E" w:rsidR="00034D1D" w:rsidRPr="00B107F3" w:rsidRDefault="00D346ED" w:rsidP="00B107F3">
      <w:pPr>
        <w:spacing w:line="520" w:lineRule="exact"/>
        <w:jc w:val="center"/>
        <w:rPr>
          <w:rFonts w:ascii="Times New Roman" w:eastAsia="方正小标宋简体" w:hAnsi="Times New Roman"/>
          <w:sz w:val="44"/>
          <w:szCs w:val="44"/>
        </w:rPr>
      </w:pPr>
      <w:r w:rsidRPr="00B107F3">
        <w:rPr>
          <w:rFonts w:ascii="Times New Roman" w:eastAsia="方正小标宋简体" w:hAnsi="Times New Roman"/>
          <w:sz w:val="44"/>
          <w:szCs w:val="44"/>
        </w:rPr>
        <w:t>全缝线锚钉同品种临床评价</w:t>
      </w:r>
      <w:r w:rsidR="00B16236" w:rsidRPr="00B107F3">
        <w:rPr>
          <w:rFonts w:ascii="Times New Roman" w:eastAsia="方正小标宋简体" w:hAnsi="Times New Roman"/>
          <w:sz w:val="44"/>
          <w:szCs w:val="44"/>
        </w:rPr>
        <w:t>技术审评要点</w:t>
      </w:r>
      <w:r w:rsidR="00B16236" w:rsidRPr="00B107F3">
        <w:rPr>
          <w:rFonts w:ascii="Times New Roman" w:eastAsia="楷体_GB2312" w:hAnsi="Times New Roman"/>
          <w:color w:val="000000"/>
          <w:sz w:val="32"/>
          <w:szCs w:val="32"/>
        </w:rPr>
        <w:t>（</w:t>
      </w:r>
      <w:r w:rsidRPr="00B107F3">
        <w:rPr>
          <w:rFonts w:ascii="Times New Roman" w:eastAsia="楷体_GB2312" w:hAnsi="Times New Roman"/>
          <w:color w:val="000000"/>
          <w:sz w:val="32"/>
          <w:szCs w:val="32"/>
        </w:rPr>
        <w:t>征求意见稿</w:t>
      </w:r>
      <w:r w:rsidR="00B16236" w:rsidRPr="00B107F3">
        <w:rPr>
          <w:rFonts w:ascii="Times New Roman" w:eastAsia="楷体_GB2312" w:hAnsi="Times New Roman"/>
          <w:color w:val="000000"/>
          <w:sz w:val="32"/>
          <w:szCs w:val="32"/>
        </w:rPr>
        <w:t>）</w:t>
      </w:r>
    </w:p>
    <w:p w14:paraId="79FD2192" w14:textId="77777777" w:rsidR="00034D1D" w:rsidRPr="00B107F3" w:rsidRDefault="00034D1D" w:rsidP="00B107F3">
      <w:pPr>
        <w:spacing w:line="520" w:lineRule="exact"/>
        <w:jc w:val="center"/>
        <w:rPr>
          <w:rFonts w:ascii="Times New Roman" w:eastAsia="方正小标宋简体" w:hAnsi="Times New Roman"/>
          <w:sz w:val="44"/>
          <w:szCs w:val="44"/>
        </w:rPr>
      </w:pPr>
    </w:p>
    <w:p w14:paraId="35D6E242" w14:textId="044E2771" w:rsidR="00034D1D" w:rsidRPr="00B107F3" w:rsidRDefault="00B16236" w:rsidP="00B107F3">
      <w:pPr>
        <w:snapToGrid w:val="0"/>
        <w:spacing w:line="520" w:lineRule="exact"/>
        <w:ind w:firstLineChars="200" w:firstLine="640"/>
        <w:rPr>
          <w:rFonts w:ascii="Times New Roman" w:eastAsia="仿宋_GB2312" w:hAnsi="Times New Roman"/>
          <w:kern w:val="0"/>
          <w:sz w:val="32"/>
          <w:szCs w:val="32"/>
        </w:rPr>
      </w:pPr>
      <w:r w:rsidRPr="00B107F3">
        <w:rPr>
          <w:rFonts w:ascii="Times New Roman" w:eastAsia="仿宋_GB2312" w:hAnsi="Times New Roman"/>
          <w:kern w:val="0"/>
          <w:sz w:val="32"/>
          <w:szCs w:val="32"/>
        </w:rPr>
        <w:t>本审评要点是</w:t>
      </w:r>
      <w:r w:rsidR="00D346ED" w:rsidRPr="00B107F3">
        <w:rPr>
          <w:rFonts w:ascii="Times New Roman" w:eastAsia="仿宋_GB2312" w:hAnsi="Times New Roman"/>
          <w:kern w:val="0"/>
          <w:sz w:val="32"/>
          <w:szCs w:val="32"/>
        </w:rPr>
        <w:t>全缝线锚钉</w:t>
      </w:r>
      <w:r w:rsidRPr="00B107F3">
        <w:rPr>
          <w:rFonts w:ascii="Times New Roman" w:eastAsia="仿宋_GB2312" w:hAnsi="Times New Roman"/>
          <w:sz w:val="32"/>
        </w:rPr>
        <w:t>安全性、有效性和质量控制方面有重要影响的技术要求</w:t>
      </w:r>
      <w:r w:rsidRPr="00B107F3">
        <w:rPr>
          <w:rFonts w:ascii="Times New Roman" w:eastAsia="仿宋_GB2312" w:hAnsi="Times New Roman"/>
          <w:sz w:val="32"/>
        </w:rPr>
        <w:t>/</w:t>
      </w:r>
      <w:r w:rsidRPr="00B107F3">
        <w:rPr>
          <w:rFonts w:ascii="Times New Roman" w:eastAsia="仿宋_GB2312" w:hAnsi="Times New Roman"/>
          <w:sz w:val="32"/>
        </w:rPr>
        <w:t>审评共识的文件，通过综合分析</w:t>
      </w:r>
      <w:r w:rsidR="00D346ED" w:rsidRPr="00B107F3">
        <w:rPr>
          <w:rFonts w:ascii="Times New Roman" w:eastAsia="仿宋_GB2312" w:hAnsi="Times New Roman"/>
          <w:kern w:val="0"/>
          <w:sz w:val="32"/>
          <w:szCs w:val="32"/>
        </w:rPr>
        <w:t>全缝线锚钉</w:t>
      </w:r>
      <w:r w:rsidRPr="00B107F3">
        <w:rPr>
          <w:rFonts w:ascii="Times New Roman" w:eastAsia="仿宋_GB2312" w:hAnsi="Times New Roman"/>
          <w:bCs/>
          <w:color w:val="000000"/>
          <w:sz w:val="32"/>
          <w:szCs w:val="32"/>
        </w:rPr>
        <w:t>的风险和受益</w:t>
      </w:r>
      <w:r w:rsidRPr="00B107F3">
        <w:rPr>
          <w:rFonts w:ascii="Times New Roman" w:eastAsia="仿宋_GB2312" w:hAnsi="Times New Roman"/>
          <w:sz w:val="32"/>
        </w:rPr>
        <w:t>信息，提炼汇总为本文件，用于规范技术审评工作，统一技术审评尺度。</w:t>
      </w:r>
    </w:p>
    <w:p w14:paraId="65623D03" w14:textId="09129A78" w:rsidR="00034D1D" w:rsidRPr="00B107F3" w:rsidRDefault="00B16236" w:rsidP="00B107F3">
      <w:pPr>
        <w:spacing w:line="520" w:lineRule="exact"/>
        <w:ind w:firstLineChars="200" w:firstLine="640"/>
        <w:rPr>
          <w:rFonts w:ascii="Times New Roman" w:eastAsia="仿宋_GB2312" w:hAnsi="Times New Roman"/>
          <w:sz w:val="32"/>
        </w:rPr>
      </w:pPr>
      <w:r w:rsidRPr="00B107F3">
        <w:rPr>
          <w:rFonts w:ascii="Times New Roman" w:eastAsia="仿宋_GB2312" w:hAnsi="Times New Roman"/>
          <w:kern w:val="0"/>
          <w:sz w:val="32"/>
          <w:szCs w:val="32"/>
        </w:rPr>
        <w:t>本审评要点是对</w:t>
      </w:r>
      <w:r w:rsidR="00D346ED" w:rsidRPr="00B107F3">
        <w:rPr>
          <w:rFonts w:ascii="Times New Roman" w:eastAsia="仿宋_GB2312" w:hAnsi="Times New Roman"/>
          <w:kern w:val="0"/>
          <w:sz w:val="32"/>
          <w:szCs w:val="32"/>
        </w:rPr>
        <w:t>全缝线锚钉</w:t>
      </w:r>
      <w:r w:rsidRPr="00B107F3">
        <w:rPr>
          <w:rFonts w:ascii="Times New Roman" w:eastAsia="仿宋_GB2312" w:hAnsi="Times New Roman"/>
          <w:kern w:val="0"/>
          <w:sz w:val="32"/>
          <w:szCs w:val="32"/>
        </w:rPr>
        <w:t>预</w:t>
      </w:r>
      <w:bookmarkStart w:id="0" w:name="_GoBack"/>
      <w:bookmarkEnd w:id="0"/>
      <w:r w:rsidRPr="00B107F3">
        <w:rPr>
          <w:rFonts w:ascii="Times New Roman" w:eastAsia="仿宋_GB2312" w:hAnsi="Times New Roman"/>
          <w:kern w:val="0"/>
          <w:sz w:val="32"/>
          <w:szCs w:val="32"/>
        </w:rPr>
        <w:t>期能达到安全和性能指标的验证</w:t>
      </w:r>
      <w:r w:rsidRPr="00B107F3">
        <w:rPr>
          <w:rFonts w:ascii="Times New Roman" w:eastAsia="仿宋_GB2312" w:hAnsi="Times New Roman"/>
          <w:kern w:val="0"/>
          <w:sz w:val="32"/>
          <w:szCs w:val="32"/>
        </w:rPr>
        <w:t>/</w:t>
      </w:r>
      <w:r w:rsidRPr="00B107F3">
        <w:rPr>
          <w:rFonts w:ascii="Times New Roman" w:eastAsia="仿宋_GB2312" w:hAnsi="Times New Roman"/>
          <w:kern w:val="0"/>
          <w:sz w:val="32"/>
          <w:szCs w:val="32"/>
        </w:rPr>
        <w:t>确认要求，供注册申请人准备注册申报资料的指导性文件，但不包括注册审批所涉及的行政事项，亦不作为法规强制执行，需在遵循</w:t>
      </w:r>
      <w:r w:rsidRPr="00B107F3">
        <w:rPr>
          <w:rFonts w:ascii="Times New Roman" w:eastAsia="仿宋_GB2312" w:hAnsi="Times New Roman"/>
          <w:sz w:val="32"/>
        </w:rPr>
        <w:t>法律规章、规范性文件和强制性医疗器械标准的前提下，结合产品的具体特性，使用本审评要点。</w:t>
      </w:r>
    </w:p>
    <w:p w14:paraId="4D58E6D7" w14:textId="426DF8E1" w:rsidR="00034D1D" w:rsidRPr="00B107F3" w:rsidRDefault="00B16236" w:rsidP="00B107F3">
      <w:pPr>
        <w:snapToGrid w:val="0"/>
        <w:spacing w:line="520" w:lineRule="exact"/>
        <w:ind w:firstLineChars="200" w:firstLine="640"/>
        <w:rPr>
          <w:rFonts w:ascii="Times New Roman" w:eastAsia="仿宋_GB2312" w:hAnsi="Times New Roman"/>
          <w:sz w:val="32"/>
        </w:rPr>
      </w:pPr>
      <w:r w:rsidRPr="00B107F3">
        <w:rPr>
          <w:rFonts w:ascii="Times New Roman" w:eastAsia="仿宋_GB2312" w:hAnsi="Times New Roman"/>
          <w:sz w:val="32"/>
        </w:rPr>
        <w:t>本审评要点是在当前认知水平下制定的。随着技术审评经验的积累和科学技术的不断发展，本审评要点的相关内容也将适时地调整或及时转化为注册审查指导原则。若有新的审评要点或注册审查指导原则发布，相关审评要求以新版为准。</w:t>
      </w:r>
    </w:p>
    <w:p w14:paraId="13CE71BC" w14:textId="77777777" w:rsidR="00034D1D" w:rsidRPr="00B107F3" w:rsidRDefault="00B16236" w:rsidP="00B107F3">
      <w:pPr>
        <w:tabs>
          <w:tab w:val="left" w:pos="6425"/>
        </w:tabs>
        <w:snapToGrid w:val="0"/>
        <w:spacing w:line="520" w:lineRule="exact"/>
        <w:ind w:firstLineChars="200" w:firstLine="640"/>
        <w:rPr>
          <w:rFonts w:ascii="Times New Roman" w:eastAsia="黑体" w:hAnsi="Times New Roman"/>
          <w:sz w:val="32"/>
          <w:szCs w:val="32"/>
        </w:rPr>
      </w:pPr>
      <w:r w:rsidRPr="00B107F3">
        <w:rPr>
          <w:rFonts w:ascii="Times New Roman" w:eastAsia="黑体" w:hAnsi="Times New Roman"/>
          <w:i/>
          <w:sz w:val="32"/>
          <w:szCs w:val="32"/>
        </w:rPr>
        <w:t>一、</w:t>
      </w:r>
      <w:r w:rsidRPr="00B107F3">
        <w:rPr>
          <w:rFonts w:ascii="Times New Roman" w:eastAsia="黑体" w:hAnsi="Times New Roman"/>
          <w:sz w:val="32"/>
          <w:szCs w:val="32"/>
        </w:rPr>
        <w:t>适用范围</w:t>
      </w:r>
    </w:p>
    <w:p w14:paraId="20F0ECF3" w14:textId="560DECD0" w:rsidR="00034D1D" w:rsidRPr="00B107F3" w:rsidRDefault="00B16236" w:rsidP="00B107F3">
      <w:pPr>
        <w:snapToGrid w:val="0"/>
        <w:spacing w:line="520" w:lineRule="exact"/>
        <w:ind w:firstLineChars="200" w:firstLine="640"/>
        <w:rPr>
          <w:rFonts w:ascii="Times New Roman" w:eastAsia="仿宋_GB2312" w:hAnsi="Times New Roman"/>
          <w:sz w:val="32"/>
          <w:szCs w:val="32"/>
        </w:rPr>
      </w:pPr>
      <w:r w:rsidRPr="00B107F3">
        <w:rPr>
          <w:rFonts w:ascii="Times New Roman" w:eastAsia="仿宋_GB2312" w:hAnsi="Times New Roman"/>
          <w:snapToGrid w:val="0"/>
          <w:kern w:val="0"/>
          <w:sz w:val="32"/>
          <w:szCs w:val="32"/>
        </w:rPr>
        <w:t>本审评要点适用于</w:t>
      </w:r>
      <w:r w:rsidR="00D346ED" w:rsidRPr="00B107F3">
        <w:rPr>
          <w:rFonts w:ascii="Times New Roman" w:eastAsia="仿宋_GB2312" w:hAnsi="Times New Roman"/>
          <w:sz w:val="32"/>
          <w:szCs w:val="32"/>
        </w:rPr>
        <w:t>全缝线锚钉</w:t>
      </w:r>
      <w:r w:rsidRPr="00B107F3">
        <w:rPr>
          <w:rFonts w:ascii="Times New Roman" w:eastAsia="仿宋_GB2312" w:hAnsi="Times New Roman"/>
          <w:sz w:val="32"/>
          <w:szCs w:val="32"/>
        </w:rPr>
        <w:t>的注册申报</w:t>
      </w:r>
      <w:r w:rsidRPr="00B107F3">
        <w:rPr>
          <w:rFonts w:ascii="Times New Roman" w:eastAsia="仿宋_GB2312" w:hAnsi="Times New Roman"/>
          <w:snapToGrid w:val="0"/>
          <w:kern w:val="0"/>
          <w:sz w:val="32"/>
          <w:szCs w:val="32"/>
        </w:rPr>
        <w:t>。该类产品分类编码为</w:t>
      </w:r>
      <w:r w:rsidR="00D346ED" w:rsidRPr="00B107F3">
        <w:rPr>
          <w:rFonts w:ascii="Times New Roman" w:eastAsia="仿宋_GB2312" w:hAnsi="Times New Roman"/>
          <w:sz w:val="32"/>
          <w:szCs w:val="32"/>
        </w:rPr>
        <w:t>13–02–01</w:t>
      </w:r>
      <w:r w:rsidRPr="00B107F3">
        <w:rPr>
          <w:rFonts w:ascii="Times New Roman" w:eastAsia="仿宋_GB2312" w:hAnsi="Times New Roman"/>
          <w:snapToGrid w:val="0"/>
          <w:kern w:val="0"/>
          <w:sz w:val="32"/>
          <w:szCs w:val="32"/>
        </w:rPr>
        <w:t>，管理类别为</w:t>
      </w:r>
      <w:r w:rsidRPr="00B107F3">
        <w:rPr>
          <w:rFonts w:ascii="宋体" w:eastAsia="宋体" w:hAnsi="宋体" w:cs="宋体" w:hint="eastAsia"/>
          <w:sz w:val="32"/>
          <w:szCs w:val="32"/>
        </w:rPr>
        <w:t>Ⅲ</w:t>
      </w:r>
      <w:r w:rsidRPr="00B107F3">
        <w:rPr>
          <w:rFonts w:ascii="Times New Roman" w:eastAsia="仿宋_GB2312" w:hAnsi="Times New Roman"/>
          <w:snapToGrid w:val="0"/>
          <w:kern w:val="0"/>
          <w:sz w:val="32"/>
          <w:szCs w:val="32"/>
        </w:rPr>
        <w:t>类。</w:t>
      </w:r>
    </w:p>
    <w:p w14:paraId="2EEA5F50" w14:textId="77777777" w:rsidR="00034D1D" w:rsidRPr="00B107F3" w:rsidRDefault="00B16236" w:rsidP="00B107F3">
      <w:pPr>
        <w:snapToGrid w:val="0"/>
        <w:spacing w:line="520" w:lineRule="exact"/>
        <w:ind w:firstLineChars="200" w:firstLine="640"/>
        <w:rPr>
          <w:rFonts w:ascii="Times New Roman" w:eastAsia="黑体" w:hAnsi="Times New Roman"/>
          <w:color w:val="000000"/>
          <w:sz w:val="32"/>
          <w:szCs w:val="32"/>
        </w:rPr>
      </w:pPr>
      <w:r w:rsidRPr="00B107F3">
        <w:rPr>
          <w:rFonts w:ascii="Times New Roman" w:eastAsia="黑体" w:hAnsi="Times New Roman"/>
          <w:color w:val="000000"/>
          <w:sz w:val="32"/>
          <w:szCs w:val="32"/>
        </w:rPr>
        <w:t>二、产品说明</w:t>
      </w:r>
    </w:p>
    <w:p w14:paraId="0A475F96" w14:textId="74E83932" w:rsidR="00034D1D" w:rsidRPr="00B107F3" w:rsidRDefault="00B16236" w:rsidP="00B107F3">
      <w:pPr>
        <w:snapToGrid w:val="0"/>
        <w:spacing w:line="520" w:lineRule="exact"/>
        <w:ind w:firstLineChars="200" w:firstLine="640"/>
        <w:rPr>
          <w:rFonts w:ascii="Times New Roman" w:eastAsia="楷体_GB2312" w:hAnsi="Times New Roman"/>
          <w:color w:val="000000"/>
          <w:sz w:val="32"/>
          <w:szCs w:val="32"/>
        </w:rPr>
      </w:pPr>
      <w:r w:rsidRPr="00B107F3">
        <w:rPr>
          <w:rFonts w:ascii="Times New Roman" w:eastAsia="楷体_GB2312" w:hAnsi="Times New Roman"/>
          <w:color w:val="000000"/>
          <w:sz w:val="32"/>
          <w:szCs w:val="32"/>
        </w:rPr>
        <w:t>（一）</w:t>
      </w:r>
      <w:r w:rsidR="00B97FA5" w:rsidRPr="00B107F3">
        <w:rPr>
          <w:rFonts w:ascii="Times New Roman" w:eastAsia="楷体_GB2312" w:hAnsi="Times New Roman"/>
          <w:color w:val="000000"/>
          <w:sz w:val="32"/>
          <w:szCs w:val="32"/>
        </w:rPr>
        <w:t>结构及组成</w:t>
      </w:r>
    </w:p>
    <w:p w14:paraId="2A5952EB" w14:textId="4DAFA991" w:rsidR="00B97FA5" w:rsidRPr="00B107F3" w:rsidRDefault="00B97FA5" w:rsidP="00B107F3">
      <w:pPr>
        <w:snapToGrid w:val="0"/>
        <w:spacing w:line="520" w:lineRule="exact"/>
        <w:ind w:firstLineChars="200" w:firstLine="640"/>
        <w:rPr>
          <w:rFonts w:ascii="Times New Roman" w:eastAsia="仿宋_GB2312" w:hAnsi="Times New Roman"/>
          <w:color w:val="000000"/>
          <w:sz w:val="32"/>
          <w:szCs w:val="32"/>
        </w:rPr>
      </w:pPr>
      <w:r w:rsidRPr="00B107F3">
        <w:rPr>
          <w:rFonts w:ascii="Times New Roman" w:eastAsia="仿宋_GB2312" w:hAnsi="Times New Roman"/>
          <w:color w:val="000000"/>
          <w:sz w:val="32"/>
          <w:szCs w:val="32"/>
        </w:rPr>
        <w:t>全缝线锚钉产品由缝线锚钉、缝线（带针或不带针）和插入器组成。缝线锚钉由超高分子量聚乙烯或聚对苯二甲酸乙二醇酯材料制成，缝线通常为超高分子量聚乙烯，可能混</w:t>
      </w:r>
      <w:r w:rsidRPr="00B107F3">
        <w:rPr>
          <w:rFonts w:ascii="Times New Roman" w:eastAsia="仿宋_GB2312" w:hAnsi="Times New Roman"/>
          <w:color w:val="000000"/>
          <w:sz w:val="32"/>
          <w:szCs w:val="32"/>
        </w:rPr>
        <w:lastRenderedPageBreak/>
        <w:t>编聚丙烯单丝，有或无涂层，明确染料信息。缝合针由不锈钢制成。插入器由插入器手柄和插入器杆组成。</w:t>
      </w:r>
    </w:p>
    <w:p w14:paraId="6FD82557" w14:textId="3402823F" w:rsidR="00B97FA5" w:rsidRPr="00B107F3" w:rsidRDefault="00B97FA5" w:rsidP="00B107F3">
      <w:pPr>
        <w:snapToGrid w:val="0"/>
        <w:spacing w:line="520" w:lineRule="exact"/>
        <w:ind w:firstLineChars="200" w:firstLine="640"/>
        <w:rPr>
          <w:rFonts w:ascii="Times New Roman" w:eastAsia="楷体_GB2312" w:hAnsi="Times New Roman"/>
          <w:color w:val="000000"/>
          <w:sz w:val="32"/>
          <w:szCs w:val="32"/>
        </w:rPr>
      </w:pPr>
      <w:r w:rsidRPr="00B107F3">
        <w:rPr>
          <w:rFonts w:ascii="Times New Roman" w:eastAsia="楷体_GB2312" w:hAnsi="Times New Roman"/>
          <w:color w:val="000000"/>
          <w:sz w:val="32"/>
          <w:szCs w:val="32"/>
        </w:rPr>
        <w:t>（二）适用范围</w:t>
      </w:r>
    </w:p>
    <w:p w14:paraId="33178B64" w14:textId="30D79BA7" w:rsidR="00034D1D" w:rsidRPr="00B107F3" w:rsidRDefault="00D346ED" w:rsidP="00B107F3">
      <w:pPr>
        <w:snapToGrid w:val="0"/>
        <w:spacing w:line="520" w:lineRule="exact"/>
        <w:ind w:firstLineChars="200" w:firstLine="640"/>
        <w:rPr>
          <w:rFonts w:ascii="Times New Roman" w:eastAsia="仿宋_GB2312" w:hAnsi="Times New Roman"/>
          <w:color w:val="000000"/>
          <w:sz w:val="32"/>
          <w:szCs w:val="32"/>
        </w:rPr>
      </w:pPr>
      <w:r w:rsidRPr="00B107F3">
        <w:rPr>
          <w:rFonts w:ascii="Times New Roman" w:eastAsia="仿宋_GB2312" w:hAnsi="Times New Roman"/>
          <w:color w:val="000000"/>
          <w:sz w:val="32"/>
          <w:szCs w:val="32"/>
        </w:rPr>
        <w:t>该类产品的适用范围一般描述为</w:t>
      </w:r>
      <w:r w:rsidRPr="00B107F3">
        <w:rPr>
          <w:rFonts w:ascii="Times New Roman" w:eastAsia="仿宋_GB2312" w:hAnsi="Times New Roman"/>
          <w:color w:val="000000"/>
          <w:sz w:val="32"/>
          <w:szCs w:val="32"/>
        </w:rPr>
        <w:t>“</w:t>
      </w:r>
      <w:r w:rsidRPr="00B107F3">
        <w:rPr>
          <w:rFonts w:ascii="Times New Roman" w:eastAsia="仿宋_GB2312" w:hAnsi="Times New Roman"/>
          <w:color w:val="000000"/>
          <w:sz w:val="32"/>
          <w:szCs w:val="32"/>
        </w:rPr>
        <w:t>用于将肩、足、踝、髋、膝、手、腕、肘关节周围的软组织（肌腱、韧带或盂唇）固定到骨组织中</w:t>
      </w:r>
      <w:r w:rsidRPr="00B107F3">
        <w:rPr>
          <w:rFonts w:ascii="Times New Roman" w:eastAsia="仿宋_GB2312" w:hAnsi="Times New Roman"/>
          <w:color w:val="000000"/>
          <w:sz w:val="32"/>
          <w:szCs w:val="32"/>
        </w:rPr>
        <w:t>”</w:t>
      </w:r>
      <w:r w:rsidRPr="00B107F3">
        <w:rPr>
          <w:rFonts w:ascii="Times New Roman" w:eastAsia="仿宋_GB2312" w:hAnsi="Times New Roman"/>
          <w:color w:val="000000"/>
          <w:sz w:val="32"/>
          <w:szCs w:val="32"/>
        </w:rPr>
        <w:t>。关节部位和软组织类型批准因申请而定，具体的术式在说明书中明确</w:t>
      </w:r>
      <w:r w:rsidR="00B16236" w:rsidRPr="00B107F3">
        <w:rPr>
          <w:rFonts w:ascii="Times New Roman" w:eastAsia="仿宋_GB2312" w:hAnsi="Times New Roman"/>
          <w:color w:val="000000"/>
          <w:sz w:val="32"/>
          <w:szCs w:val="32"/>
        </w:rPr>
        <w:t>。</w:t>
      </w:r>
    </w:p>
    <w:p w14:paraId="7B86928B" w14:textId="695CD1A1" w:rsidR="00034D1D" w:rsidRPr="00B107F3" w:rsidRDefault="00B16236" w:rsidP="00B107F3">
      <w:pPr>
        <w:snapToGrid w:val="0"/>
        <w:spacing w:line="520" w:lineRule="exact"/>
        <w:ind w:firstLineChars="200" w:firstLine="640"/>
        <w:rPr>
          <w:rFonts w:ascii="Times New Roman" w:eastAsia="仿宋_GB2312" w:hAnsi="Times New Roman"/>
          <w:color w:val="000000"/>
          <w:sz w:val="32"/>
          <w:szCs w:val="32"/>
        </w:rPr>
      </w:pPr>
      <w:r w:rsidRPr="00B107F3">
        <w:rPr>
          <w:rFonts w:ascii="Times New Roman" w:eastAsia="黑体" w:hAnsi="Times New Roman"/>
          <w:color w:val="000000"/>
          <w:sz w:val="32"/>
          <w:szCs w:val="32"/>
        </w:rPr>
        <w:t>三、审评主要关注点</w:t>
      </w:r>
    </w:p>
    <w:p w14:paraId="73A01106" w14:textId="77777777" w:rsidR="00CB0580" w:rsidRPr="00B107F3" w:rsidRDefault="00CB0580" w:rsidP="00B107F3">
      <w:pPr>
        <w:pStyle w:val="3"/>
        <w:spacing w:before="0" w:after="0" w:line="520" w:lineRule="exact"/>
        <w:ind w:firstLineChars="200" w:firstLine="640"/>
        <w:rPr>
          <w:rFonts w:ascii="Times New Roman" w:eastAsia="楷体" w:hAnsi="Times New Roman" w:cs="Times New Roman"/>
          <w:b w:val="0"/>
        </w:rPr>
      </w:pPr>
      <w:r w:rsidRPr="00B107F3">
        <w:rPr>
          <w:rFonts w:ascii="Times New Roman" w:eastAsia="楷体" w:hAnsi="Times New Roman" w:cs="Times New Roman"/>
          <w:b w:val="0"/>
        </w:rPr>
        <w:t>（一）同品种医疗器械的选择</w:t>
      </w:r>
    </w:p>
    <w:p w14:paraId="5EBA03CC" w14:textId="77777777" w:rsidR="00CB0580" w:rsidRPr="00B107F3" w:rsidRDefault="00CB0580" w:rsidP="00B107F3">
      <w:pPr>
        <w:spacing w:line="520" w:lineRule="exact"/>
        <w:ind w:firstLineChars="200" w:firstLine="640"/>
        <w:rPr>
          <w:rFonts w:ascii="Times New Roman" w:eastAsia="仿宋_GB2312" w:hAnsi="Times New Roman"/>
          <w:sz w:val="32"/>
          <w:szCs w:val="32"/>
        </w:rPr>
      </w:pPr>
      <w:r w:rsidRPr="00B107F3">
        <w:rPr>
          <w:rFonts w:ascii="Times New Roman" w:eastAsia="仿宋_GB2312" w:hAnsi="Times New Roman"/>
          <w:sz w:val="32"/>
          <w:szCs w:val="32"/>
        </w:rPr>
        <w:t>同品种产品应选择已获准境内上市的同类产品。此类产品受益风险较为确切，在国外具有较长的临床应用史，预期临床风险主要是囊肿、骨道扩大、周围炎性反应及固定失效等。</w:t>
      </w:r>
    </w:p>
    <w:p w14:paraId="21308340" w14:textId="77777777" w:rsidR="00CB0580" w:rsidRPr="00B107F3" w:rsidRDefault="00CB0580" w:rsidP="00B107F3">
      <w:pPr>
        <w:pStyle w:val="3"/>
        <w:spacing w:before="0" w:after="0" w:line="520" w:lineRule="exact"/>
        <w:ind w:firstLineChars="200" w:firstLine="640"/>
        <w:rPr>
          <w:rFonts w:ascii="Times New Roman" w:eastAsia="楷体" w:hAnsi="Times New Roman" w:cs="Times New Roman"/>
          <w:b w:val="0"/>
        </w:rPr>
      </w:pPr>
      <w:r w:rsidRPr="00B107F3">
        <w:rPr>
          <w:rFonts w:ascii="Times New Roman" w:eastAsia="楷体" w:hAnsi="Times New Roman" w:cs="Times New Roman"/>
          <w:b w:val="0"/>
        </w:rPr>
        <w:t>（二）适用范围及临床使用相关信息的对比</w:t>
      </w:r>
    </w:p>
    <w:p w14:paraId="655A0B32" w14:textId="77777777" w:rsidR="00CB0580" w:rsidRPr="00B107F3" w:rsidRDefault="00CB0580" w:rsidP="00B107F3">
      <w:pPr>
        <w:spacing w:line="520" w:lineRule="exact"/>
        <w:ind w:firstLineChars="200" w:firstLine="640"/>
        <w:rPr>
          <w:rFonts w:ascii="Times New Roman" w:eastAsia="仿宋_GB2312" w:hAnsi="Times New Roman"/>
          <w:sz w:val="32"/>
          <w:szCs w:val="32"/>
        </w:rPr>
      </w:pPr>
      <w:r w:rsidRPr="00B107F3">
        <w:rPr>
          <w:rFonts w:ascii="Times New Roman" w:eastAsia="仿宋_GB2312" w:hAnsi="Times New Roman"/>
          <w:sz w:val="32"/>
          <w:szCs w:val="32"/>
        </w:rPr>
        <w:t>申报产品适用范围需在同品种产品适用范围内。当超出其选择的同品种产品适用范围时，可通过以下两条路径进行论证。</w:t>
      </w:r>
    </w:p>
    <w:p w14:paraId="08FC43C2" w14:textId="77777777" w:rsidR="00CB0580" w:rsidRPr="00B107F3" w:rsidRDefault="00CB0580" w:rsidP="00B107F3">
      <w:pPr>
        <w:spacing w:line="520" w:lineRule="exact"/>
        <w:ind w:firstLineChars="200" w:firstLine="640"/>
        <w:rPr>
          <w:rFonts w:ascii="Times New Roman" w:eastAsia="仿宋_GB2312" w:hAnsi="Times New Roman"/>
          <w:sz w:val="32"/>
          <w:szCs w:val="32"/>
        </w:rPr>
      </w:pPr>
      <w:r w:rsidRPr="00B107F3">
        <w:rPr>
          <w:rFonts w:ascii="Times New Roman" w:eastAsia="仿宋_GB2312" w:hAnsi="Times New Roman"/>
          <w:sz w:val="32"/>
          <w:szCs w:val="32"/>
        </w:rPr>
        <w:t>增加具有相同适用范围的同品种产品。例如，同品种产品仅有手腕足踝关节软组织固定，申报产品如有肩关节、膝关节等，申请人需增加适用范围为肩关节、膝关节的同品种产品。</w:t>
      </w:r>
    </w:p>
    <w:p w14:paraId="41E7E328" w14:textId="50C0221F" w:rsidR="00CB0580" w:rsidRPr="00B107F3" w:rsidRDefault="00CB0580" w:rsidP="00B107F3">
      <w:pPr>
        <w:spacing w:line="520" w:lineRule="exact"/>
        <w:ind w:firstLineChars="200" w:firstLine="640"/>
        <w:rPr>
          <w:rFonts w:ascii="Times New Roman" w:eastAsia="仿宋_GB2312" w:hAnsi="Times New Roman"/>
          <w:sz w:val="32"/>
          <w:szCs w:val="32"/>
        </w:rPr>
      </w:pPr>
      <w:r w:rsidRPr="00B107F3">
        <w:rPr>
          <w:rFonts w:ascii="Times New Roman" w:eastAsia="仿宋_GB2312" w:hAnsi="Times New Roman"/>
          <w:sz w:val="32"/>
          <w:szCs w:val="32"/>
        </w:rPr>
        <w:t>从生物力学角度论述不同术式间的覆盖性。如申请人可提供相关文献资料，论述肩关节关节盂唇损伤</w:t>
      </w:r>
      <w:r w:rsidRPr="00B107F3">
        <w:rPr>
          <w:rFonts w:ascii="Times New Roman" w:eastAsia="仿宋_GB2312" w:hAnsi="Times New Roman"/>
          <w:sz w:val="32"/>
          <w:szCs w:val="32"/>
        </w:rPr>
        <w:t>/</w:t>
      </w:r>
      <w:r w:rsidRPr="00B107F3">
        <w:rPr>
          <w:rFonts w:ascii="Times New Roman" w:eastAsia="仿宋_GB2312" w:hAnsi="Times New Roman"/>
          <w:sz w:val="32"/>
          <w:szCs w:val="32"/>
        </w:rPr>
        <w:t>撕裂对髋关节盂唇损伤</w:t>
      </w:r>
      <w:r w:rsidRPr="00B107F3">
        <w:rPr>
          <w:rFonts w:ascii="Times New Roman" w:eastAsia="仿宋_GB2312" w:hAnsi="Times New Roman"/>
          <w:sz w:val="32"/>
          <w:szCs w:val="32"/>
        </w:rPr>
        <w:t>/</w:t>
      </w:r>
      <w:r w:rsidRPr="00B107F3">
        <w:rPr>
          <w:rFonts w:ascii="Times New Roman" w:eastAsia="仿宋_GB2312" w:hAnsi="Times New Roman"/>
          <w:sz w:val="32"/>
          <w:szCs w:val="32"/>
        </w:rPr>
        <w:t>撕裂的覆盖性。</w:t>
      </w:r>
    </w:p>
    <w:p w14:paraId="7802598F" w14:textId="77777777" w:rsidR="00CB0580" w:rsidRPr="00B107F3" w:rsidRDefault="00CB0580" w:rsidP="00B107F3">
      <w:pPr>
        <w:pStyle w:val="3"/>
        <w:spacing w:before="0" w:after="0" w:line="520" w:lineRule="exact"/>
        <w:ind w:firstLineChars="200" w:firstLine="640"/>
        <w:rPr>
          <w:rFonts w:ascii="Times New Roman" w:eastAsia="楷体" w:hAnsi="Times New Roman" w:cs="Times New Roman"/>
          <w:b w:val="0"/>
        </w:rPr>
      </w:pPr>
      <w:r w:rsidRPr="00B107F3">
        <w:rPr>
          <w:rFonts w:ascii="Times New Roman" w:eastAsia="楷体" w:hAnsi="Times New Roman" w:cs="Times New Roman"/>
          <w:b w:val="0"/>
        </w:rPr>
        <w:t>（三）技术特征的对比</w:t>
      </w:r>
    </w:p>
    <w:p w14:paraId="5D8F3317" w14:textId="0C5630B5" w:rsidR="00CB0580" w:rsidRPr="00B107F3" w:rsidRDefault="00CB0580" w:rsidP="00B107F3">
      <w:pPr>
        <w:spacing w:line="520" w:lineRule="exact"/>
        <w:ind w:firstLineChars="200" w:firstLine="640"/>
        <w:rPr>
          <w:rFonts w:ascii="Times New Roman" w:eastAsia="仿宋_GB2312" w:hAnsi="Times New Roman"/>
          <w:sz w:val="32"/>
          <w:szCs w:val="32"/>
        </w:rPr>
      </w:pPr>
      <w:r w:rsidRPr="00B107F3">
        <w:rPr>
          <w:rFonts w:ascii="Times New Roman" w:eastAsia="仿宋_GB2312" w:hAnsi="Times New Roman"/>
          <w:sz w:val="32"/>
          <w:szCs w:val="32"/>
        </w:rPr>
        <w:t>1.</w:t>
      </w:r>
      <w:r w:rsidRPr="00B107F3">
        <w:rPr>
          <w:rFonts w:ascii="Times New Roman" w:eastAsia="仿宋_GB2312" w:hAnsi="Times New Roman"/>
          <w:sz w:val="32"/>
          <w:szCs w:val="32"/>
        </w:rPr>
        <w:t>产品组成</w:t>
      </w:r>
    </w:p>
    <w:p w14:paraId="7C439BAF" w14:textId="36B62C6B" w:rsidR="00C235A3" w:rsidRPr="00B107F3" w:rsidRDefault="00B97FA5" w:rsidP="00B107F3">
      <w:pPr>
        <w:spacing w:line="520" w:lineRule="exact"/>
        <w:ind w:firstLineChars="200" w:firstLine="640"/>
        <w:rPr>
          <w:rFonts w:ascii="Times New Roman" w:eastAsia="仿宋_GB2312" w:hAnsi="Times New Roman"/>
          <w:sz w:val="32"/>
          <w:szCs w:val="32"/>
        </w:rPr>
      </w:pPr>
      <w:r w:rsidRPr="00B107F3">
        <w:rPr>
          <w:rFonts w:ascii="Times New Roman" w:eastAsia="仿宋_GB2312" w:hAnsi="Times New Roman"/>
          <w:sz w:val="32"/>
          <w:szCs w:val="32"/>
        </w:rPr>
        <w:lastRenderedPageBreak/>
        <w:t>全缝线锚钉</w:t>
      </w:r>
      <w:r w:rsidR="00C235A3" w:rsidRPr="00B107F3">
        <w:rPr>
          <w:rFonts w:ascii="Times New Roman" w:eastAsia="仿宋_GB2312" w:hAnsi="Times New Roman"/>
          <w:sz w:val="32"/>
          <w:szCs w:val="32"/>
        </w:rPr>
        <w:t>产品由缝线锚钉、缝线（带针或不带针）和插入器组成。缝线锚钉由</w:t>
      </w:r>
      <w:r w:rsidRPr="00B107F3">
        <w:rPr>
          <w:rFonts w:ascii="Times New Roman" w:eastAsia="仿宋_GB2312" w:hAnsi="Times New Roman"/>
          <w:sz w:val="32"/>
          <w:szCs w:val="32"/>
        </w:rPr>
        <w:t>超高分子量聚乙烯或聚对苯二甲酸乙二醇酯</w:t>
      </w:r>
      <w:r w:rsidR="00C235A3" w:rsidRPr="00B107F3">
        <w:rPr>
          <w:rFonts w:ascii="Times New Roman" w:eastAsia="仿宋_GB2312" w:hAnsi="Times New Roman"/>
          <w:sz w:val="32"/>
          <w:szCs w:val="32"/>
        </w:rPr>
        <w:t>材料制成，</w:t>
      </w:r>
      <w:r w:rsidRPr="00B107F3">
        <w:rPr>
          <w:rFonts w:ascii="Times New Roman" w:eastAsia="仿宋_GB2312" w:hAnsi="Times New Roman"/>
          <w:sz w:val="32"/>
          <w:szCs w:val="32"/>
        </w:rPr>
        <w:t>缝线通常为超高分子量聚乙烯，可能混编聚丙烯单丝，有或无涂层，明确染料信息</w:t>
      </w:r>
      <w:r w:rsidR="00C235A3" w:rsidRPr="00B107F3">
        <w:rPr>
          <w:rFonts w:ascii="Times New Roman" w:eastAsia="仿宋_GB2312" w:hAnsi="Times New Roman"/>
          <w:sz w:val="32"/>
          <w:szCs w:val="32"/>
        </w:rPr>
        <w:t>。缝合针由不锈钢制成。插入器由插入器手柄和插入器杆组成</w:t>
      </w:r>
      <w:r w:rsidRPr="00B107F3">
        <w:rPr>
          <w:rFonts w:ascii="Times New Roman" w:eastAsia="仿宋_GB2312" w:hAnsi="Times New Roman"/>
          <w:sz w:val="32"/>
          <w:szCs w:val="32"/>
        </w:rPr>
        <w:t>。</w:t>
      </w:r>
    </w:p>
    <w:p w14:paraId="1C185BC7" w14:textId="59A7E1E1" w:rsidR="00CB0580" w:rsidRPr="00B107F3" w:rsidRDefault="00CB0580" w:rsidP="00B107F3">
      <w:pPr>
        <w:spacing w:line="520" w:lineRule="exact"/>
        <w:ind w:firstLineChars="200" w:firstLine="640"/>
        <w:rPr>
          <w:rFonts w:ascii="Times New Roman" w:eastAsia="仿宋_GB2312" w:hAnsi="Times New Roman"/>
          <w:sz w:val="32"/>
          <w:szCs w:val="32"/>
        </w:rPr>
      </w:pPr>
      <w:r w:rsidRPr="00B107F3">
        <w:rPr>
          <w:rFonts w:ascii="Times New Roman" w:eastAsia="仿宋_GB2312" w:hAnsi="Times New Roman"/>
          <w:sz w:val="32"/>
          <w:szCs w:val="32"/>
        </w:rPr>
        <w:t>具体对比时，注意需对比材料牌号。若对比有差异，或无法获知同品种产品材料牌号，可以通过生物相容性评价和力学试验论证差异不对产品安全有效性产生不利影响。</w:t>
      </w:r>
    </w:p>
    <w:p w14:paraId="6D85925E" w14:textId="77777777" w:rsidR="00CB0580" w:rsidRPr="00B107F3" w:rsidRDefault="00CB0580" w:rsidP="00B107F3">
      <w:pPr>
        <w:spacing w:line="520" w:lineRule="exact"/>
        <w:ind w:firstLineChars="200" w:firstLine="640"/>
        <w:rPr>
          <w:rFonts w:ascii="Times New Roman" w:eastAsia="仿宋_GB2312" w:hAnsi="Times New Roman"/>
          <w:sz w:val="32"/>
          <w:szCs w:val="32"/>
        </w:rPr>
      </w:pPr>
      <w:r w:rsidRPr="00B107F3">
        <w:rPr>
          <w:rFonts w:ascii="Times New Roman" w:eastAsia="仿宋_GB2312" w:hAnsi="Times New Roman"/>
          <w:sz w:val="32"/>
          <w:szCs w:val="32"/>
        </w:rPr>
        <w:t>2.</w:t>
      </w:r>
      <w:r w:rsidRPr="00B107F3">
        <w:rPr>
          <w:rFonts w:ascii="Times New Roman" w:eastAsia="仿宋_GB2312" w:hAnsi="Times New Roman"/>
          <w:sz w:val="32"/>
          <w:szCs w:val="32"/>
        </w:rPr>
        <w:t>产品设计和关键尺寸</w:t>
      </w:r>
    </w:p>
    <w:p w14:paraId="0B8AE0E2" w14:textId="77777777" w:rsidR="00CB0580" w:rsidRPr="00B107F3" w:rsidRDefault="00CB0580" w:rsidP="00B107F3">
      <w:pPr>
        <w:spacing w:line="520" w:lineRule="exact"/>
        <w:ind w:firstLineChars="200" w:firstLine="640"/>
        <w:rPr>
          <w:rFonts w:ascii="Times New Roman" w:eastAsia="仿宋_GB2312" w:hAnsi="Times New Roman"/>
          <w:sz w:val="32"/>
          <w:szCs w:val="32"/>
        </w:rPr>
      </w:pPr>
      <w:r w:rsidRPr="00B107F3">
        <w:rPr>
          <w:rFonts w:ascii="Times New Roman" w:eastAsia="仿宋_GB2312" w:hAnsi="Times New Roman"/>
          <w:sz w:val="32"/>
          <w:szCs w:val="32"/>
        </w:rPr>
        <w:t>结构对比主要关注软锚编织方式，建议以照片加结构图形式提供。</w:t>
      </w:r>
    </w:p>
    <w:p w14:paraId="14F57167" w14:textId="061E5A39" w:rsidR="00CB0580" w:rsidRPr="00B107F3" w:rsidRDefault="00CB0580" w:rsidP="00B107F3">
      <w:pPr>
        <w:spacing w:line="520" w:lineRule="exact"/>
        <w:ind w:firstLineChars="200" w:firstLine="640"/>
        <w:rPr>
          <w:rFonts w:ascii="Times New Roman" w:eastAsia="仿宋_GB2312" w:hAnsi="Times New Roman"/>
          <w:sz w:val="32"/>
          <w:szCs w:val="32"/>
        </w:rPr>
      </w:pPr>
      <w:r w:rsidRPr="00B107F3">
        <w:rPr>
          <w:rFonts w:ascii="Times New Roman" w:eastAsia="仿宋_GB2312" w:hAnsi="Times New Roman"/>
          <w:sz w:val="32"/>
          <w:szCs w:val="32"/>
        </w:rPr>
        <w:t>尺寸的对比关注两方面，一方面关注自然状态下软锚的关键尺寸（如直径、长度、宽度等），另一方面关注全缝线锚钉释放收缩后形成的团体关键尺寸。需根据结构设计实际情况明确关键尺寸。规格对比时，需注意申报产品与同品种产品规格定义是否相同，</w:t>
      </w:r>
      <w:r w:rsidR="00195C92" w:rsidRPr="00B107F3">
        <w:rPr>
          <w:rFonts w:ascii="Times New Roman" w:eastAsia="仿宋_GB2312" w:hAnsi="Times New Roman"/>
          <w:sz w:val="32"/>
          <w:szCs w:val="32"/>
        </w:rPr>
        <w:t>例如，</w:t>
      </w:r>
      <w:r w:rsidRPr="00B107F3">
        <w:rPr>
          <w:rFonts w:ascii="Times New Roman" w:eastAsia="仿宋_GB2312" w:hAnsi="Times New Roman"/>
          <w:sz w:val="32"/>
          <w:szCs w:val="32"/>
        </w:rPr>
        <w:t>某些产品可能以插入杆直径定义规格。</w:t>
      </w:r>
    </w:p>
    <w:p w14:paraId="46DDC4B3" w14:textId="270C44A7" w:rsidR="00CB0580" w:rsidRPr="00B107F3" w:rsidRDefault="00CB0580" w:rsidP="00B107F3">
      <w:pPr>
        <w:spacing w:line="520" w:lineRule="exact"/>
        <w:ind w:firstLineChars="200" w:firstLine="640"/>
        <w:rPr>
          <w:rFonts w:ascii="Times New Roman" w:eastAsia="仿宋_GB2312" w:hAnsi="Times New Roman"/>
          <w:sz w:val="32"/>
          <w:szCs w:val="32"/>
        </w:rPr>
      </w:pPr>
      <w:r w:rsidRPr="00B107F3">
        <w:rPr>
          <w:rFonts w:ascii="Times New Roman" w:eastAsia="仿宋_GB2312" w:hAnsi="Times New Roman"/>
          <w:sz w:val="32"/>
          <w:szCs w:val="32"/>
        </w:rPr>
        <w:t>结构尺寸若存在差异，可通过后续力学性能对比论证差异不对产品安全有效性产生不利影响。</w:t>
      </w:r>
    </w:p>
    <w:p w14:paraId="44CFEE81" w14:textId="77777777" w:rsidR="00CB0580" w:rsidRPr="00B107F3" w:rsidRDefault="00CB0580" w:rsidP="00B107F3">
      <w:pPr>
        <w:spacing w:line="520" w:lineRule="exact"/>
        <w:ind w:firstLineChars="200" w:firstLine="640"/>
        <w:rPr>
          <w:rFonts w:ascii="Times New Roman" w:eastAsia="仿宋_GB2312" w:hAnsi="Times New Roman"/>
          <w:sz w:val="32"/>
          <w:szCs w:val="32"/>
        </w:rPr>
      </w:pPr>
      <w:r w:rsidRPr="00B107F3">
        <w:rPr>
          <w:rFonts w:ascii="Times New Roman" w:eastAsia="仿宋_GB2312" w:hAnsi="Times New Roman"/>
          <w:sz w:val="32"/>
          <w:szCs w:val="32"/>
        </w:rPr>
        <w:t>3.</w:t>
      </w:r>
      <w:r w:rsidRPr="00B107F3">
        <w:rPr>
          <w:rFonts w:ascii="Times New Roman" w:eastAsia="仿宋_GB2312" w:hAnsi="Times New Roman"/>
          <w:sz w:val="32"/>
          <w:szCs w:val="32"/>
        </w:rPr>
        <w:t>产品性能</w:t>
      </w:r>
    </w:p>
    <w:p w14:paraId="6100F932" w14:textId="44AFF44C" w:rsidR="00CB0580" w:rsidRPr="00B107F3" w:rsidRDefault="00CB0580" w:rsidP="00B107F3">
      <w:pPr>
        <w:spacing w:line="520" w:lineRule="exact"/>
        <w:ind w:firstLineChars="200" w:firstLine="640"/>
        <w:rPr>
          <w:rFonts w:ascii="Times New Roman" w:eastAsia="仿宋_GB2312" w:hAnsi="Times New Roman"/>
          <w:sz w:val="32"/>
          <w:szCs w:val="32"/>
        </w:rPr>
      </w:pPr>
      <w:r w:rsidRPr="00B107F3">
        <w:rPr>
          <w:rFonts w:ascii="Times New Roman" w:eastAsia="仿宋_GB2312" w:hAnsi="Times New Roman"/>
          <w:sz w:val="32"/>
          <w:szCs w:val="32"/>
        </w:rPr>
        <w:t>性能对比主要包括锚钉插入性能（模拟临床使用可以顺利插入并释放）、动静态抗拔出性能对比</w:t>
      </w:r>
      <w:r w:rsidR="00E433DE" w:rsidRPr="00B107F3">
        <w:rPr>
          <w:rFonts w:ascii="Times New Roman" w:eastAsia="仿宋_GB2312" w:hAnsi="Times New Roman"/>
          <w:sz w:val="32"/>
          <w:szCs w:val="32"/>
        </w:rPr>
        <w:t>动态固定性能除失效最大拉拔力指标外，还需对比循环实验后位移量</w:t>
      </w:r>
      <w:r w:rsidRPr="00B107F3">
        <w:rPr>
          <w:rFonts w:ascii="Times New Roman" w:eastAsia="仿宋_GB2312" w:hAnsi="Times New Roman"/>
          <w:sz w:val="32"/>
          <w:szCs w:val="32"/>
        </w:rPr>
        <w:t>。对于预期应用在生物力学要求显著不同的解剖部位的锚钉，建议分开进行力学性能对比。</w:t>
      </w:r>
    </w:p>
    <w:p w14:paraId="1A865111" w14:textId="5E0B0463" w:rsidR="00CB0580" w:rsidRPr="00B107F3" w:rsidRDefault="00CB0580" w:rsidP="00B107F3">
      <w:pPr>
        <w:spacing w:line="520" w:lineRule="exact"/>
        <w:ind w:firstLineChars="200" w:firstLine="640"/>
        <w:rPr>
          <w:rFonts w:ascii="Times New Roman" w:eastAsia="仿宋_GB2312" w:hAnsi="Times New Roman"/>
          <w:sz w:val="32"/>
          <w:szCs w:val="32"/>
        </w:rPr>
      </w:pPr>
      <w:r w:rsidRPr="00B107F3">
        <w:rPr>
          <w:rFonts w:ascii="Times New Roman" w:eastAsia="仿宋_GB2312" w:hAnsi="Times New Roman"/>
          <w:sz w:val="32"/>
          <w:szCs w:val="32"/>
        </w:rPr>
        <w:t>全缝线锚钉结构尺寸对力学性能易受编织设计和生产</w:t>
      </w:r>
      <w:r w:rsidRPr="00B107F3">
        <w:rPr>
          <w:rFonts w:ascii="Times New Roman" w:eastAsia="仿宋_GB2312" w:hAnsi="Times New Roman"/>
          <w:sz w:val="32"/>
          <w:szCs w:val="32"/>
        </w:rPr>
        <w:lastRenderedPageBreak/>
        <w:t>工艺影响，即使是相同的编织结构，不同企业制造的锚钉由于松紧程度和质控不同，即使编织结构和尺寸相似</w:t>
      </w:r>
      <w:r w:rsidRPr="00B107F3">
        <w:rPr>
          <w:rFonts w:ascii="Times New Roman" w:eastAsia="仿宋_GB2312" w:hAnsi="Times New Roman"/>
          <w:sz w:val="32"/>
          <w:szCs w:val="32"/>
        </w:rPr>
        <w:t>/</w:t>
      </w:r>
      <w:r w:rsidRPr="00B107F3">
        <w:rPr>
          <w:rFonts w:ascii="Times New Roman" w:eastAsia="仿宋_GB2312" w:hAnsi="Times New Roman"/>
          <w:sz w:val="32"/>
          <w:szCs w:val="32"/>
        </w:rPr>
        <w:t>相同，终产品力学性能亦可能不同。不同设计全缝线锚钉一般难以论证最差情况，若不能论证最差情况，需分别进行力学试验。</w:t>
      </w:r>
    </w:p>
    <w:p w14:paraId="52F24642" w14:textId="77777777" w:rsidR="00CB0580" w:rsidRPr="00B107F3" w:rsidRDefault="00CB0580" w:rsidP="00B107F3">
      <w:pPr>
        <w:spacing w:line="520" w:lineRule="exact"/>
        <w:ind w:firstLineChars="200" w:firstLine="640"/>
        <w:rPr>
          <w:rFonts w:ascii="Times New Roman" w:eastAsia="仿宋_GB2312" w:hAnsi="Times New Roman"/>
          <w:sz w:val="32"/>
          <w:szCs w:val="32"/>
        </w:rPr>
      </w:pPr>
      <w:r w:rsidRPr="00B107F3">
        <w:rPr>
          <w:rFonts w:ascii="Times New Roman" w:eastAsia="仿宋_GB2312" w:hAnsi="Times New Roman"/>
          <w:sz w:val="32"/>
          <w:szCs w:val="32"/>
        </w:rPr>
        <w:t>在与同品种产品进行力学性能对比时，建议在自然骨组织中开展，若使用人工骨，层厚和密度大小依据产品预期使用部位骨层厚和密度确定。例如，</w:t>
      </w:r>
      <w:r w:rsidRPr="00B107F3">
        <w:rPr>
          <w:rFonts w:ascii="Times New Roman" w:eastAsia="仿宋_GB2312" w:hAnsi="Times New Roman"/>
          <w:sz w:val="32"/>
          <w:szCs w:val="32"/>
        </w:rPr>
        <w:t>30/15pcf</w:t>
      </w:r>
      <w:r w:rsidRPr="00B107F3">
        <w:rPr>
          <w:rFonts w:ascii="Times New Roman" w:eastAsia="仿宋_GB2312" w:hAnsi="Times New Roman"/>
          <w:sz w:val="32"/>
          <w:szCs w:val="32"/>
        </w:rPr>
        <w:t>两种密度人工骨复合在一起形成工装，单独使用</w:t>
      </w:r>
      <w:r w:rsidRPr="00B107F3">
        <w:rPr>
          <w:rFonts w:ascii="Times New Roman" w:eastAsia="仿宋_GB2312" w:hAnsi="Times New Roman"/>
          <w:sz w:val="32"/>
          <w:szCs w:val="32"/>
        </w:rPr>
        <w:t>20pcf</w:t>
      </w:r>
      <w:r w:rsidRPr="00B107F3">
        <w:rPr>
          <w:rFonts w:ascii="Times New Roman" w:eastAsia="仿宋_GB2312" w:hAnsi="Times New Roman"/>
          <w:sz w:val="32"/>
          <w:szCs w:val="32"/>
        </w:rPr>
        <w:t>密度形成工装均可以接受，但要求申报产品与对比器械测试方法、参数和工装完全相同。</w:t>
      </w:r>
    </w:p>
    <w:p w14:paraId="1F744DCA" w14:textId="77777777" w:rsidR="00CB0580" w:rsidRPr="00B107F3" w:rsidRDefault="00CB0580" w:rsidP="00B107F3">
      <w:pPr>
        <w:spacing w:line="520" w:lineRule="exact"/>
        <w:ind w:firstLineChars="200" w:firstLine="640"/>
        <w:rPr>
          <w:rFonts w:ascii="Times New Roman" w:eastAsia="仿宋_GB2312" w:hAnsi="Times New Roman"/>
          <w:sz w:val="32"/>
          <w:szCs w:val="32"/>
        </w:rPr>
      </w:pPr>
      <w:r w:rsidRPr="00B107F3">
        <w:rPr>
          <w:rFonts w:ascii="Times New Roman" w:eastAsia="仿宋_GB2312" w:hAnsi="Times New Roman"/>
          <w:sz w:val="32"/>
          <w:szCs w:val="32"/>
        </w:rPr>
        <w:t>建议骨道直径大小与临床使用时的直径保持一致。注意试验参数和力学测试固定块选择的合理性。</w:t>
      </w:r>
    </w:p>
    <w:p w14:paraId="0183CA66" w14:textId="77777777" w:rsidR="00CB0580" w:rsidRPr="00B107F3" w:rsidRDefault="00CB0580" w:rsidP="00B107F3">
      <w:pPr>
        <w:spacing w:line="520" w:lineRule="exact"/>
        <w:ind w:firstLineChars="200" w:firstLine="640"/>
        <w:rPr>
          <w:rFonts w:ascii="Times New Roman" w:eastAsia="仿宋_GB2312" w:hAnsi="Times New Roman"/>
          <w:sz w:val="32"/>
          <w:szCs w:val="32"/>
        </w:rPr>
      </w:pPr>
      <w:r w:rsidRPr="00B107F3">
        <w:rPr>
          <w:rFonts w:ascii="Times New Roman" w:eastAsia="仿宋_GB2312" w:hAnsi="Times New Roman"/>
          <w:sz w:val="32"/>
          <w:szCs w:val="32"/>
        </w:rPr>
        <w:t>在提供各力学试验报告时，需注意提供全部试样失效模式照片。提供疲劳前后照片可帮助判断疲劳位移是由何种原因（如锚钉拔出、缝线线结松弛、缝线蠕变等）导致的。</w:t>
      </w:r>
    </w:p>
    <w:p w14:paraId="602B9689" w14:textId="37F86367" w:rsidR="00CB0580" w:rsidRPr="00B107F3" w:rsidRDefault="00CB0580" w:rsidP="00B107F3">
      <w:pPr>
        <w:spacing w:line="520" w:lineRule="exact"/>
        <w:ind w:firstLineChars="200" w:firstLine="640"/>
        <w:rPr>
          <w:rFonts w:ascii="Times New Roman" w:eastAsia="仿宋_GB2312" w:hAnsi="Times New Roman"/>
          <w:sz w:val="32"/>
          <w:szCs w:val="32"/>
        </w:rPr>
      </w:pPr>
      <w:r w:rsidRPr="00B107F3">
        <w:rPr>
          <w:rFonts w:ascii="Times New Roman" w:eastAsia="仿宋_GB2312" w:hAnsi="Times New Roman"/>
          <w:sz w:val="32"/>
          <w:szCs w:val="32"/>
        </w:rPr>
        <w:t>除以上基本力学性能外，若产品设计具有创新新，可能还需额外开展设计相关的功能验证研究。例如，全新的缝线形状设计可能需考虑软组织切割效应。</w:t>
      </w:r>
    </w:p>
    <w:p w14:paraId="033AE36F" w14:textId="77777777" w:rsidR="00CB0580" w:rsidRPr="00B107F3" w:rsidRDefault="00CB0580" w:rsidP="00B107F3">
      <w:pPr>
        <w:pStyle w:val="3"/>
        <w:spacing w:before="0" w:after="0" w:line="520" w:lineRule="exact"/>
        <w:ind w:firstLineChars="200" w:firstLine="640"/>
        <w:rPr>
          <w:rFonts w:ascii="Times New Roman" w:eastAsia="仿宋_GB2312" w:hAnsi="Times New Roman" w:cs="Times New Roman"/>
        </w:rPr>
      </w:pPr>
      <w:r w:rsidRPr="00B107F3">
        <w:rPr>
          <w:rFonts w:ascii="Times New Roman" w:eastAsia="楷体" w:hAnsi="Times New Roman" w:cs="Times New Roman"/>
          <w:b w:val="0"/>
        </w:rPr>
        <w:t>（四）论证差异不对安全有效性产生不利影响</w:t>
      </w:r>
    </w:p>
    <w:p w14:paraId="0533CEC1" w14:textId="24FA9C3B" w:rsidR="00CB0580" w:rsidRPr="00B107F3" w:rsidRDefault="00E433DE" w:rsidP="00B107F3">
      <w:pPr>
        <w:spacing w:line="520" w:lineRule="exact"/>
        <w:ind w:firstLineChars="200" w:firstLine="640"/>
        <w:rPr>
          <w:rFonts w:ascii="Times New Roman" w:eastAsia="仿宋_GB2312" w:hAnsi="Times New Roman"/>
          <w:sz w:val="32"/>
          <w:szCs w:val="32"/>
        </w:rPr>
      </w:pPr>
      <w:r w:rsidRPr="00B107F3">
        <w:rPr>
          <w:rFonts w:ascii="Times New Roman" w:eastAsia="仿宋_GB2312" w:hAnsi="Times New Roman"/>
          <w:sz w:val="32"/>
          <w:szCs w:val="32"/>
        </w:rPr>
        <w:t>详见《医疗器械临床评价技术指导原则》中将同品种医疗器械的临床数据用于支持申报产品的安全性、临床性能和</w:t>
      </w:r>
      <w:r w:rsidRPr="00B107F3">
        <w:rPr>
          <w:rFonts w:ascii="Times New Roman" w:eastAsia="仿宋_GB2312" w:hAnsi="Times New Roman"/>
          <w:sz w:val="32"/>
          <w:szCs w:val="32"/>
        </w:rPr>
        <w:t>/</w:t>
      </w:r>
      <w:r w:rsidRPr="00B107F3">
        <w:rPr>
          <w:rFonts w:ascii="Times New Roman" w:eastAsia="仿宋_GB2312" w:hAnsi="Times New Roman"/>
          <w:sz w:val="32"/>
          <w:szCs w:val="32"/>
        </w:rPr>
        <w:t>或有效性的要求。</w:t>
      </w:r>
    </w:p>
    <w:p w14:paraId="77E80F11" w14:textId="1C96FB2F" w:rsidR="00735AB4" w:rsidRPr="00B107F3" w:rsidRDefault="00735AB4" w:rsidP="00B107F3">
      <w:pPr>
        <w:spacing w:line="520" w:lineRule="exact"/>
        <w:ind w:firstLineChars="200" w:firstLine="640"/>
        <w:rPr>
          <w:rFonts w:ascii="Times New Roman" w:eastAsia="仿宋_GB2312" w:hAnsi="Times New Roman"/>
          <w:sz w:val="32"/>
          <w:szCs w:val="32"/>
        </w:rPr>
      </w:pPr>
      <w:r w:rsidRPr="00B107F3">
        <w:rPr>
          <w:rFonts w:ascii="Times New Roman" w:eastAsia="楷体_GB2312" w:hAnsi="Times New Roman"/>
          <w:sz w:val="32"/>
          <w:szCs w:val="32"/>
        </w:rPr>
        <w:t>（五）对比器械临床数据</w:t>
      </w:r>
    </w:p>
    <w:p w14:paraId="2ACD8AFC" w14:textId="1D5D7DEA" w:rsidR="00CB0580" w:rsidRPr="00B107F3" w:rsidRDefault="00E433DE" w:rsidP="00B107F3">
      <w:pPr>
        <w:spacing w:line="520" w:lineRule="exact"/>
        <w:ind w:firstLineChars="200" w:firstLine="640"/>
        <w:rPr>
          <w:rFonts w:ascii="Times New Roman" w:hAnsi="Times New Roman"/>
        </w:rPr>
      </w:pPr>
      <w:r w:rsidRPr="00B107F3">
        <w:rPr>
          <w:rFonts w:ascii="Times New Roman" w:eastAsia="仿宋_GB2312" w:hAnsi="Times New Roman"/>
          <w:sz w:val="32"/>
          <w:szCs w:val="32"/>
        </w:rPr>
        <w:t>按照《医疗器械临床评价技术指导原则》《医疗器械临床评价等同性论证技术指导原则》《医疗器械注册申报临床评价报告技术指导原则》的相关要求，根据申报产品特征、临</w:t>
      </w:r>
      <w:r w:rsidRPr="00B107F3">
        <w:rPr>
          <w:rFonts w:ascii="Times New Roman" w:eastAsia="仿宋_GB2312" w:hAnsi="Times New Roman"/>
          <w:sz w:val="32"/>
          <w:szCs w:val="32"/>
        </w:rPr>
        <w:lastRenderedPageBreak/>
        <w:t>床风险、已有临床数据等情形，选取合适的同品种医疗器械，通过对同品种医疗器械临床数据进行分析评价，证明医疗器械的安全性、有效性。</w:t>
      </w:r>
    </w:p>
    <w:p w14:paraId="2A59A533" w14:textId="7B52030C" w:rsidR="00CB0580" w:rsidRPr="00B107F3" w:rsidRDefault="00735AB4" w:rsidP="00B107F3">
      <w:pPr>
        <w:pStyle w:val="2"/>
        <w:spacing w:before="0" w:after="0" w:line="520" w:lineRule="exact"/>
        <w:ind w:firstLineChars="200" w:firstLine="640"/>
        <w:rPr>
          <w:rFonts w:ascii="Times New Roman" w:eastAsia="楷体_GB2312" w:hAnsi="Times New Roman" w:cs="Times New Roman"/>
          <w:b w:val="0"/>
          <w:bCs w:val="0"/>
        </w:rPr>
      </w:pPr>
      <w:r w:rsidRPr="00B107F3">
        <w:rPr>
          <w:rFonts w:ascii="Times New Roman" w:eastAsia="楷体_GB2312" w:hAnsi="Times New Roman" w:cs="Times New Roman"/>
          <w:b w:val="0"/>
          <w:bCs w:val="0"/>
        </w:rPr>
        <w:t>（六）</w:t>
      </w:r>
      <w:r w:rsidR="00CB0580" w:rsidRPr="00B107F3">
        <w:rPr>
          <w:rFonts w:ascii="Times New Roman" w:eastAsia="楷体_GB2312" w:hAnsi="Times New Roman" w:cs="Times New Roman"/>
          <w:b w:val="0"/>
          <w:bCs w:val="0"/>
        </w:rPr>
        <w:t>其他注意事项</w:t>
      </w:r>
    </w:p>
    <w:p w14:paraId="73AE09A8" w14:textId="77777777" w:rsidR="00CB0580" w:rsidRPr="00B107F3" w:rsidRDefault="00CB0580" w:rsidP="00B107F3">
      <w:pPr>
        <w:spacing w:line="520" w:lineRule="exact"/>
        <w:ind w:firstLineChars="200" w:firstLine="640"/>
        <w:rPr>
          <w:rFonts w:ascii="Times New Roman" w:eastAsia="仿宋_GB2312" w:hAnsi="Times New Roman"/>
          <w:sz w:val="32"/>
          <w:szCs w:val="32"/>
        </w:rPr>
      </w:pPr>
      <w:r w:rsidRPr="00B107F3">
        <w:rPr>
          <w:rFonts w:ascii="Times New Roman" w:eastAsia="仿宋_GB2312" w:hAnsi="Times New Roman"/>
          <w:sz w:val="32"/>
          <w:szCs w:val="32"/>
        </w:rPr>
        <w:t>考虑到已知的囊肿和骨隧道扩大临床风险，以及软锚部分与单根缝线在结构和体积的显著差异与生物学相容性的影响，建议骨植入试验使用全缝线锚钉开展，而不是使用单根缝线。</w:t>
      </w:r>
    </w:p>
    <w:p w14:paraId="15EEEF80" w14:textId="16E40D99" w:rsidR="00034D1D" w:rsidRPr="00B107F3" w:rsidRDefault="00CB0580" w:rsidP="00B107F3">
      <w:pPr>
        <w:spacing w:line="520" w:lineRule="exact"/>
        <w:ind w:firstLineChars="200" w:firstLine="640"/>
        <w:rPr>
          <w:rFonts w:ascii="Times New Roman" w:eastAsia="仿宋_GB2312" w:hAnsi="Times New Roman"/>
          <w:sz w:val="32"/>
          <w:szCs w:val="32"/>
        </w:rPr>
      </w:pPr>
      <w:r w:rsidRPr="00B107F3">
        <w:rPr>
          <w:rFonts w:ascii="Times New Roman" w:eastAsia="仿宋_GB2312" w:hAnsi="Times New Roman"/>
          <w:sz w:val="32"/>
          <w:szCs w:val="32"/>
        </w:rPr>
        <w:t>在说明书中应根据临床评价资料明确具体的术式，例如，肩关节：</w:t>
      </w:r>
      <w:r w:rsidRPr="00B107F3">
        <w:rPr>
          <w:rFonts w:ascii="Times New Roman" w:eastAsia="仿宋_GB2312" w:hAnsi="Times New Roman"/>
          <w:sz w:val="32"/>
          <w:szCs w:val="32"/>
        </w:rPr>
        <w:t>bankart</w:t>
      </w:r>
      <w:r w:rsidRPr="00B107F3">
        <w:rPr>
          <w:rFonts w:ascii="Times New Roman" w:eastAsia="仿宋_GB2312" w:hAnsi="Times New Roman"/>
          <w:sz w:val="32"/>
          <w:szCs w:val="32"/>
        </w:rPr>
        <w:t>损失修复、</w:t>
      </w:r>
      <w:r w:rsidRPr="00B107F3">
        <w:rPr>
          <w:rFonts w:ascii="Times New Roman" w:eastAsia="仿宋_GB2312" w:hAnsi="Times New Roman"/>
          <w:sz w:val="32"/>
          <w:szCs w:val="32"/>
        </w:rPr>
        <w:t>SLAP</w:t>
      </w:r>
      <w:r w:rsidRPr="00B107F3">
        <w:rPr>
          <w:rFonts w:ascii="Times New Roman" w:eastAsia="仿宋_GB2312" w:hAnsi="Times New Roman"/>
          <w:sz w:val="32"/>
          <w:szCs w:val="32"/>
        </w:rPr>
        <w:t>损失修复、关节囊移位或关节囊重建、肩锁关节分离修复、三角肌修复、肩袖撕裂修复、肱二头肌肌腱固定；肘关节：尺骨或桡骨侧副韧带重建、肱骨外上髁炎修复、肱二头肌肌腱重新附着；髋关节：臀肌腱修复、臀小肌和臀中肌修复。</w:t>
      </w:r>
      <w:r w:rsidRPr="00B107F3">
        <w:rPr>
          <w:rFonts w:ascii="Times New Roman" w:eastAsia="仿宋_GB2312" w:hAnsi="Times New Roman"/>
          <w:color w:val="000000"/>
          <w:sz w:val="32"/>
          <w:szCs w:val="32"/>
        </w:rPr>
        <w:t xml:space="preserve"> </w:t>
      </w:r>
    </w:p>
    <w:sectPr w:rsidR="00034D1D" w:rsidRPr="00B107F3" w:rsidSect="00C378E6">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lnNumType w:countBy="1" w:restart="continuous"/>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713C27" w14:textId="77777777" w:rsidR="00C32143" w:rsidRDefault="00C32143">
      <w:r>
        <w:separator/>
      </w:r>
    </w:p>
  </w:endnote>
  <w:endnote w:type="continuationSeparator" w:id="0">
    <w:p w14:paraId="74BD63D2" w14:textId="77777777" w:rsidR="00C32143" w:rsidRDefault="00C32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055421"/>
    </w:sdtPr>
    <w:sdtEndPr/>
    <w:sdtContent>
      <w:p w14:paraId="2BFA027C" w14:textId="77777777" w:rsidR="00034D1D" w:rsidRDefault="00B16236">
        <w:pPr>
          <w:pStyle w:val="a6"/>
          <w:ind w:firstLineChars="0" w:firstLine="0"/>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lang w:val="zh-CN"/>
          </w:rPr>
          <w:t>20</w:t>
        </w:r>
        <w:r>
          <w:rPr>
            <w:rFonts w:ascii="Times New Roman" w:hAnsi="Times New Roman"/>
            <w:sz w:val="28"/>
            <w:szCs w:val="28"/>
          </w:rPr>
          <w:fldChar w:fldCharType="end"/>
        </w:r>
        <w:r>
          <w:rPr>
            <w:rFonts w:ascii="Times New Roman" w:hAnsi="Times New Roman"/>
            <w:sz w:val="28"/>
            <w:szCs w:val="28"/>
          </w:rPr>
          <w:t xml:space="preserve"> —</w:t>
        </w:r>
      </w:p>
    </w:sdtContent>
  </w:sdt>
  <w:p w14:paraId="35A8114C" w14:textId="77777777" w:rsidR="00034D1D" w:rsidRDefault="00034D1D">
    <w:pPr>
      <w:spacing w:line="1"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055419"/>
    </w:sdtPr>
    <w:sdtEndPr>
      <w:rPr>
        <w:rFonts w:ascii="Times New Roman" w:hAnsi="Times New Roman"/>
        <w:sz w:val="28"/>
        <w:szCs w:val="28"/>
      </w:rPr>
    </w:sdtEndPr>
    <w:sdtContent>
      <w:p w14:paraId="08FFD744" w14:textId="4BB082AF" w:rsidR="00034D1D" w:rsidRDefault="00B16236">
        <w:pPr>
          <w:pStyle w:val="a6"/>
          <w:ind w:firstLine="360"/>
          <w:jc w:val="right"/>
        </w:pPr>
        <w:r>
          <w:rPr>
            <w:rFonts w:hint="eastAsia"/>
          </w:rPr>
          <w:t xml:space="preserve">  </w:t>
        </w: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B107F3" w:rsidRPr="00B107F3">
          <w:rPr>
            <w:rFonts w:ascii="Times New Roman" w:hAnsi="Times New Roman"/>
            <w:noProof/>
            <w:sz w:val="28"/>
            <w:szCs w:val="28"/>
            <w:lang w:val="zh-CN"/>
          </w:rPr>
          <w:t>5</w:t>
        </w:r>
        <w:r>
          <w:rPr>
            <w:rFonts w:ascii="Times New Roman" w:hAnsi="Times New Roman"/>
            <w:sz w:val="28"/>
            <w:szCs w:val="28"/>
          </w:rPr>
          <w:fldChar w:fldCharType="end"/>
        </w:r>
        <w:r>
          <w:rPr>
            <w:rFonts w:ascii="Times New Roman" w:hAnsi="Times New Roman"/>
            <w:sz w:val="28"/>
            <w:szCs w:val="28"/>
          </w:rPr>
          <w:t xml:space="preserve"> —</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3C5C0" w14:textId="77777777" w:rsidR="00034D1D" w:rsidRDefault="00034D1D">
    <w:pPr>
      <w:pStyle w:val="a6"/>
      <w:wordWrap w:val="0"/>
      <w:ind w:right="140" w:firstLine="560"/>
      <w:jc w:val="right"/>
      <w:rPr>
        <w:rFonts w:ascii="Times New Roman" w:hAnsi="Times New Roman"/>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FBA61F" w14:textId="77777777" w:rsidR="00C32143" w:rsidRDefault="00C32143">
      <w:r>
        <w:separator/>
      </w:r>
    </w:p>
  </w:footnote>
  <w:footnote w:type="continuationSeparator" w:id="0">
    <w:p w14:paraId="7877BAFA" w14:textId="77777777" w:rsidR="00C32143" w:rsidRDefault="00C321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5723D" w14:textId="28156664" w:rsidR="00034D1D" w:rsidRDefault="00034D1D">
    <w:pPr>
      <w:pStyle w:val="a7"/>
      <w:pBdr>
        <w:bottom w:val="none" w:sz="0" w:space="1" w:color="auto"/>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B24F64" w14:textId="5805C991" w:rsidR="00034D1D" w:rsidRDefault="00034D1D">
    <w:pPr>
      <w:ind w:firstLine="6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9"/>
      <w:gridCol w:w="3934"/>
    </w:tblGrid>
    <w:tr w:rsidR="00034D1D" w14:paraId="66362E1C" w14:textId="77777777">
      <w:trPr>
        <w:trHeight w:val="351"/>
        <w:jc w:val="center"/>
      </w:trPr>
      <w:tc>
        <w:tcPr>
          <w:tcW w:w="4419" w:type="dxa"/>
          <w:vAlign w:val="center"/>
        </w:tcPr>
        <w:p w14:paraId="1A079226" w14:textId="77777777" w:rsidR="00034D1D" w:rsidRDefault="00B16236">
          <w:pPr>
            <w:pStyle w:val="a7"/>
            <w:ind w:firstLine="360"/>
            <w:rPr>
              <w:rFonts w:ascii="Times New Roman" w:eastAsia="宋体" w:hAnsi="Times New Roman"/>
            </w:rPr>
          </w:pPr>
          <w:r>
            <w:rPr>
              <w:rFonts w:ascii="Times New Roman" w:eastAsia="宋体" w:hAnsi="Times New Roman"/>
            </w:rPr>
            <w:t>国家药品监督管理局医疗器械技术审评中心</w:t>
          </w:r>
        </w:p>
      </w:tc>
      <w:tc>
        <w:tcPr>
          <w:tcW w:w="3934" w:type="dxa"/>
          <w:vAlign w:val="center"/>
        </w:tcPr>
        <w:p w14:paraId="78C714F3" w14:textId="77777777" w:rsidR="00034D1D" w:rsidRDefault="00B16236">
          <w:pPr>
            <w:adjustRightInd w:val="0"/>
            <w:snapToGrid w:val="0"/>
            <w:rPr>
              <w:rFonts w:ascii="Times New Roman" w:eastAsia="宋体" w:hAnsi="Times New Roman"/>
              <w:sz w:val="18"/>
              <w:szCs w:val="18"/>
            </w:rPr>
          </w:pPr>
          <w:r>
            <w:rPr>
              <w:rFonts w:ascii="Times New Roman" w:eastAsia="宋体" w:hAnsi="Times New Roman"/>
              <w:sz w:val="18"/>
              <w:szCs w:val="18"/>
            </w:rPr>
            <w:t>版本号</w:t>
          </w:r>
          <w:r>
            <w:rPr>
              <w:rFonts w:ascii="Times New Roman" w:eastAsia="宋体" w:hAnsi="Times New Roman"/>
              <w:sz w:val="18"/>
              <w:szCs w:val="18"/>
              <w:lang w:val="en-GB"/>
            </w:rPr>
            <w:t>：</w:t>
          </w:r>
          <w:r>
            <w:rPr>
              <w:rFonts w:ascii="Times New Roman" w:eastAsia="宋体" w:hAnsi="Times New Roman"/>
              <w:sz w:val="18"/>
              <w:szCs w:val="18"/>
            </w:rPr>
            <w:t xml:space="preserve"> </w:t>
          </w:r>
        </w:p>
      </w:tc>
    </w:tr>
    <w:tr w:rsidR="00034D1D" w14:paraId="207186C0" w14:textId="77777777">
      <w:trPr>
        <w:trHeight w:val="351"/>
        <w:jc w:val="center"/>
      </w:trPr>
      <w:tc>
        <w:tcPr>
          <w:tcW w:w="4419" w:type="dxa"/>
          <w:vMerge w:val="restart"/>
          <w:vAlign w:val="center"/>
        </w:tcPr>
        <w:p w14:paraId="03A1AB83" w14:textId="77777777" w:rsidR="00034D1D" w:rsidRDefault="00B16236">
          <w:pPr>
            <w:adjustRightInd w:val="0"/>
            <w:snapToGrid w:val="0"/>
            <w:jc w:val="center"/>
            <w:rPr>
              <w:rFonts w:eastAsia="楷体_GB2312"/>
              <w:sz w:val="24"/>
            </w:rPr>
          </w:pPr>
          <w:r>
            <w:rPr>
              <w:rFonts w:eastAsia="楷体_GB2312" w:hint="eastAsia"/>
              <w:sz w:val="24"/>
            </w:rPr>
            <w:t>技</w:t>
          </w:r>
          <w:r>
            <w:rPr>
              <w:rFonts w:eastAsia="楷体_GB2312" w:hint="eastAsia"/>
              <w:sz w:val="24"/>
            </w:rPr>
            <w:t xml:space="preserve"> </w:t>
          </w:r>
          <w:r>
            <w:rPr>
              <w:rFonts w:eastAsia="楷体_GB2312" w:hint="eastAsia"/>
              <w:sz w:val="24"/>
            </w:rPr>
            <w:t>术</w:t>
          </w:r>
          <w:r>
            <w:rPr>
              <w:rFonts w:eastAsia="楷体_GB2312" w:hint="eastAsia"/>
              <w:sz w:val="24"/>
            </w:rPr>
            <w:t xml:space="preserve"> </w:t>
          </w:r>
          <w:r>
            <w:rPr>
              <w:rFonts w:eastAsia="楷体_GB2312" w:hint="eastAsia"/>
              <w:sz w:val="24"/>
            </w:rPr>
            <w:t>审</w:t>
          </w:r>
          <w:r>
            <w:rPr>
              <w:rFonts w:eastAsia="楷体_GB2312" w:hint="eastAsia"/>
              <w:sz w:val="24"/>
            </w:rPr>
            <w:t xml:space="preserve"> </w:t>
          </w:r>
          <w:r>
            <w:rPr>
              <w:rFonts w:eastAsia="楷体_GB2312" w:hint="eastAsia"/>
              <w:sz w:val="24"/>
            </w:rPr>
            <w:t>评</w:t>
          </w:r>
          <w:r>
            <w:rPr>
              <w:rFonts w:eastAsia="楷体_GB2312" w:hint="eastAsia"/>
              <w:sz w:val="24"/>
            </w:rPr>
            <w:t xml:space="preserve"> </w:t>
          </w:r>
          <w:r>
            <w:rPr>
              <w:rFonts w:eastAsia="楷体_GB2312" w:hint="eastAsia"/>
              <w:sz w:val="24"/>
            </w:rPr>
            <w:t>要</w:t>
          </w:r>
          <w:r>
            <w:rPr>
              <w:rFonts w:eastAsia="楷体_GB2312" w:hint="eastAsia"/>
              <w:sz w:val="24"/>
            </w:rPr>
            <w:t xml:space="preserve"> </w:t>
          </w:r>
          <w:r>
            <w:rPr>
              <w:rFonts w:eastAsia="楷体_GB2312" w:hint="eastAsia"/>
              <w:sz w:val="24"/>
            </w:rPr>
            <w:t>点</w:t>
          </w:r>
        </w:p>
      </w:tc>
      <w:tc>
        <w:tcPr>
          <w:tcW w:w="3934" w:type="dxa"/>
          <w:vAlign w:val="center"/>
        </w:tcPr>
        <w:p w14:paraId="0D4E8DA8" w14:textId="77777777" w:rsidR="00034D1D" w:rsidRDefault="00B16236">
          <w:pPr>
            <w:adjustRightInd w:val="0"/>
            <w:snapToGrid w:val="0"/>
            <w:rPr>
              <w:rFonts w:ascii="Times New Roman" w:eastAsia="宋体" w:hAnsi="Times New Roman"/>
              <w:sz w:val="18"/>
              <w:szCs w:val="18"/>
            </w:rPr>
          </w:pPr>
          <w:r>
            <w:rPr>
              <w:rFonts w:ascii="Times New Roman" w:eastAsia="宋体" w:hAnsi="Times New Roman"/>
              <w:sz w:val="18"/>
              <w:szCs w:val="18"/>
            </w:rPr>
            <w:t>相关产品受理号（如有）：</w:t>
          </w:r>
          <w:r>
            <w:rPr>
              <w:rFonts w:ascii="Times New Roman" w:eastAsia="宋体" w:hAnsi="Times New Roman"/>
              <w:sz w:val="18"/>
              <w:szCs w:val="18"/>
            </w:rPr>
            <w:t xml:space="preserve"> </w:t>
          </w:r>
        </w:p>
      </w:tc>
    </w:tr>
    <w:tr w:rsidR="00034D1D" w14:paraId="6C011A55" w14:textId="77777777">
      <w:trPr>
        <w:trHeight w:val="351"/>
        <w:jc w:val="center"/>
      </w:trPr>
      <w:tc>
        <w:tcPr>
          <w:tcW w:w="4419" w:type="dxa"/>
          <w:vMerge/>
          <w:vAlign w:val="center"/>
        </w:tcPr>
        <w:p w14:paraId="1D75840E" w14:textId="77777777" w:rsidR="00034D1D" w:rsidRDefault="00034D1D">
          <w:pPr>
            <w:adjustRightInd w:val="0"/>
            <w:snapToGrid w:val="0"/>
            <w:spacing w:line="360" w:lineRule="auto"/>
            <w:jc w:val="center"/>
            <w:rPr>
              <w:sz w:val="24"/>
            </w:rPr>
          </w:pPr>
        </w:p>
      </w:tc>
      <w:tc>
        <w:tcPr>
          <w:tcW w:w="3934" w:type="dxa"/>
          <w:vAlign w:val="center"/>
        </w:tcPr>
        <w:p w14:paraId="0618A735" w14:textId="77777777" w:rsidR="00034D1D" w:rsidRDefault="00B16236">
          <w:pPr>
            <w:adjustRightInd w:val="0"/>
            <w:snapToGrid w:val="0"/>
            <w:rPr>
              <w:rFonts w:ascii="Times New Roman" w:eastAsia="宋体" w:hAnsi="Times New Roman"/>
              <w:sz w:val="18"/>
              <w:szCs w:val="18"/>
            </w:rPr>
          </w:pPr>
          <w:r>
            <w:rPr>
              <w:rFonts w:ascii="Times New Roman" w:eastAsia="宋体" w:hAnsi="Times New Roman"/>
              <w:sz w:val="18"/>
              <w:szCs w:val="18"/>
            </w:rPr>
            <w:t>审评资质代码：</w:t>
          </w:r>
        </w:p>
      </w:tc>
    </w:tr>
    <w:tr w:rsidR="00034D1D" w14:paraId="553B34D9" w14:textId="77777777">
      <w:trPr>
        <w:trHeight w:val="351"/>
        <w:jc w:val="center"/>
      </w:trPr>
      <w:tc>
        <w:tcPr>
          <w:tcW w:w="4419" w:type="dxa"/>
          <w:vAlign w:val="center"/>
        </w:tcPr>
        <w:p w14:paraId="26EC8E91" w14:textId="77777777" w:rsidR="00034D1D" w:rsidRDefault="00B16236">
          <w:pPr>
            <w:pStyle w:val="a7"/>
            <w:pBdr>
              <w:bottom w:val="none" w:sz="0" w:space="0" w:color="auto"/>
            </w:pBdr>
            <w:ind w:firstLine="360"/>
            <w:jc w:val="both"/>
            <w:rPr>
              <w:rFonts w:ascii="Times New Roman" w:eastAsia="宋体" w:hAnsi="Times New Roman"/>
              <w:sz w:val="24"/>
            </w:rPr>
          </w:pPr>
          <w:r>
            <w:rPr>
              <w:rFonts w:ascii="Times New Roman" w:eastAsia="宋体" w:hAnsi="Times New Roman"/>
            </w:rPr>
            <w:t>题目：</w:t>
          </w:r>
          <w:r>
            <w:rPr>
              <w:rFonts w:ascii="Times New Roman" w:eastAsia="宋体" w:hAnsi="Times New Roman"/>
            </w:rPr>
            <w:t xml:space="preserve">                    </w:t>
          </w:r>
        </w:p>
      </w:tc>
      <w:tc>
        <w:tcPr>
          <w:tcW w:w="3934" w:type="dxa"/>
          <w:vAlign w:val="center"/>
        </w:tcPr>
        <w:p w14:paraId="20AE8999" w14:textId="77777777" w:rsidR="00034D1D" w:rsidRDefault="00B16236">
          <w:pPr>
            <w:adjustRightInd w:val="0"/>
            <w:snapToGrid w:val="0"/>
            <w:rPr>
              <w:rFonts w:ascii="Times New Roman" w:eastAsia="宋体" w:hAnsi="Times New Roman"/>
              <w:sz w:val="18"/>
              <w:szCs w:val="18"/>
            </w:rPr>
          </w:pPr>
          <w:r>
            <w:rPr>
              <w:rFonts w:ascii="Times New Roman" w:eastAsia="宋体" w:hAnsi="Times New Roman"/>
              <w:sz w:val="18"/>
              <w:szCs w:val="18"/>
            </w:rPr>
            <w:t>修订说明（如有）：</w:t>
          </w:r>
          <w:r>
            <w:rPr>
              <w:rFonts w:ascii="Times New Roman" w:eastAsia="宋体" w:hAnsi="Times New Roman"/>
              <w:sz w:val="18"/>
              <w:szCs w:val="18"/>
            </w:rPr>
            <w:t xml:space="preserve"> </w:t>
          </w:r>
        </w:p>
      </w:tc>
    </w:tr>
  </w:tbl>
  <w:p w14:paraId="7798E668" w14:textId="4F23B64C" w:rsidR="00034D1D" w:rsidRDefault="00034D1D">
    <w:pPr>
      <w:pStyle w:val="a7"/>
      <w:pBdr>
        <w:bottom w:val="none" w:sz="0" w:space="0" w:color="auto"/>
      </w:pBdr>
      <w:ind w:firstLine="360"/>
    </w:pPr>
  </w:p>
  <w:p w14:paraId="3B19307B" w14:textId="77777777" w:rsidR="00034D1D" w:rsidRDefault="00034D1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9B55F9"/>
    <w:multiLevelType w:val="multilevel"/>
    <w:tmpl w:val="3F9B55F9"/>
    <w:lvl w:ilvl="0">
      <w:start w:val="3"/>
      <w:numFmt w:val="japaneseCounting"/>
      <w:lvlText w:val="%1、"/>
      <w:lvlJc w:val="left"/>
      <w:pPr>
        <w:ind w:left="1145" w:hanging="720"/>
      </w:pPr>
      <w:rPr>
        <w:rFonts w:hint="default"/>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D4D"/>
    <w:rsid w:val="00005087"/>
    <w:rsid w:val="00007D80"/>
    <w:rsid w:val="00016F2F"/>
    <w:rsid w:val="00021E29"/>
    <w:rsid w:val="0003376B"/>
    <w:rsid w:val="00034D1D"/>
    <w:rsid w:val="0003727A"/>
    <w:rsid w:val="00052CD9"/>
    <w:rsid w:val="00061FA1"/>
    <w:rsid w:val="000808AA"/>
    <w:rsid w:val="000827B0"/>
    <w:rsid w:val="000864B1"/>
    <w:rsid w:val="000955CD"/>
    <w:rsid w:val="000A2159"/>
    <w:rsid w:val="000A5AF9"/>
    <w:rsid w:val="000B04E7"/>
    <w:rsid w:val="000B2673"/>
    <w:rsid w:val="000C43FF"/>
    <w:rsid w:val="000D5207"/>
    <w:rsid w:val="000E0A1D"/>
    <w:rsid w:val="000E17E3"/>
    <w:rsid w:val="000E4A9D"/>
    <w:rsid w:val="000E4E63"/>
    <w:rsid w:val="000E6994"/>
    <w:rsid w:val="000F382E"/>
    <w:rsid w:val="000F399F"/>
    <w:rsid w:val="000F62FF"/>
    <w:rsid w:val="001071A6"/>
    <w:rsid w:val="00117CFA"/>
    <w:rsid w:val="00117D63"/>
    <w:rsid w:val="00125016"/>
    <w:rsid w:val="001277B0"/>
    <w:rsid w:val="001333ED"/>
    <w:rsid w:val="00137219"/>
    <w:rsid w:val="00140747"/>
    <w:rsid w:val="00141594"/>
    <w:rsid w:val="001508BD"/>
    <w:rsid w:val="00150F8E"/>
    <w:rsid w:val="001513F7"/>
    <w:rsid w:val="00152FD7"/>
    <w:rsid w:val="00163FC4"/>
    <w:rsid w:val="00164352"/>
    <w:rsid w:val="00165298"/>
    <w:rsid w:val="00171E5F"/>
    <w:rsid w:val="00173499"/>
    <w:rsid w:val="00185B42"/>
    <w:rsid w:val="001902C0"/>
    <w:rsid w:val="001939E4"/>
    <w:rsid w:val="00195C92"/>
    <w:rsid w:val="001A33A5"/>
    <w:rsid w:val="001B0A52"/>
    <w:rsid w:val="001B2277"/>
    <w:rsid w:val="001B2623"/>
    <w:rsid w:val="001B38A9"/>
    <w:rsid w:val="001B4179"/>
    <w:rsid w:val="001B7443"/>
    <w:rsid w:val="001B7F11"/>
    <w:rsid w:val="001C3414"/>
    <w:rsid w:val="001E1636"/>
    <w:rsid w:val="001E6533"/>
    <w:rsid w:val="001F2799"/>
    <w:rsid w:val="001F2B51"/>
    <w:rsid w:val="002124D2"/>
    <w:rsid w:val="00226C45"/>
    <w:rsid w:val="002271BE"/>
    <w:rsid w:val="002307C1"/>
    <w:rsid w:val="00236AE7"/>
    <w:rsid w:val="002621CE"/>
    <w:rsid w:val="00263D33"/>
    <w:rsid w:val="002644F2"/>
    <w:rsid w:val="00267F41"/>
    <w:rsid w:val="00286AA1"/>
    <w:rsid w:val="0028785E"/>
    <w:rsid w:val="002976CB"/>
    <w:rsid w:val="002A0714"/>
    <w:rsid w:val="002A25E3"/>
    <w:rsid w:val="002B1849"/>
    <w:rsid w:val="002B2AB2"/>
    <w:rsid w:val="002C3A0A"/>
    <w:rsid w:val="002C59C4"/>
    <w:rsid w:val="002D7C8F"/>
    <w:rsid w:val="002E3FDE"/>
    <w:rsid w:val="002F68DD"/>
    <w:rsid w:val="00304CD6"/>
    <w:rsid w:val="003073C0"/>
    <w:rsid w:val="00307D1B"/>
    <w:rsid w:val="00316A91"/>
    <w:rsid w:val="0033537D"/>
    <w:rsid w:val="00340DD9"/>
    <w:rsid w:val="003423A8"/>
    <w:rsid w:val="00346F30"/>
    <w:rsid w:val="0034749C"/>
    <w:rsid w:val="003506BF"/>
    <w:rsid w:val="00352D08"/>
    <w:rsid w:val="003562C9"/>
    <w:rsid w:val="00356A5D"/>
    <w:rsid w:val="003642BE"/>
    <w:rsid w:val="00376AE7"/>
    <w:rsid w:val="0038408E"/>
    <w:rsid w:val="00387AA1"/>
    <w:rsid w:val="00391ADA"/>
    <w:rsid w:val="00394FDA"/>
    <w:rsid w:val="00395275"/>
    <w:rsid w:val="003A0795"/>
    <w:rsid w:val="003A58B5"/>
    <w:rsid w:val="003B3AA7"/>
    <w:rsid w:val="003D15FB"/>
    <w:rsid w:val="003D1E21"/>
    <w:rsid w:val="003E1B5F"/>
    <w:rsid w:val="003E603C"/>
    <w:rsid w:val="003E74B0"/>
    <w:rsid w:val="003F271C"/>
    <w:rsid w:val="003F3EFE"/>
    <w:rsid w:val="003F4B95"/>
    <w:rsid w:val="003F747D"/>
    <w:rsid w:val="00425B32"/>
    <w:rsid w:val="00426320"/>
    <w:rsid w:val="00427038"/>
    <w:rsid w:val="00432027"/>
    <w:rsid w:val="00446287"/>
    <w:rsid w:val="00446F89"/>
    <w:rsid w:val="00455E44"/>
    <w:rsid w:val="00462DB3"/>
    <w:rsid w:val="00464A04"/>
    <w:rsid w:val="00476C25"/>
    <w:rsid w:val="00481670"/>
    <w:rsid w:val="00482EB6"/>
    <w:rsid w:val="00495141"/>
    <w:rsid w:val="004B1F00"/>
    <w:rsid w:val="004B5BE6"/>
    <w:rsid w:val="004B6C79"/>
    <w:rsid w:val="004B73FF"/>
    <w:rsid w:val="004C2E97"/>
    <w:rsid w:val="004D017E"/>
    <w:rsid w:val="004D21D9"/>
    <w:rsid w:val="004D60FC"/>
    <w:rsid w:val="004F1215"/>
    <w:rsid w:val="004F1CDD"/>
    <w:rsid w:val="004F34B3"/>
    <w:rsid w:val="0050605E"/>
    <w:rsid w:val="005122BE"/>
    <w:rsid w:val="0051384F"/>
    <w:rsid w:val="0051736C"/>
    <w:rsid w:val="005269FE"/>
    <w:rsid w:val="00527D71"/>
    <w:rsid w:val="00531CB1"/>
    <w:rsid w:val="005351E9"/>
    <w:rsid w:val="00535F2D"/>
    <w:rsid w:val="00544132"/>
    <w:rsid w:val="00545DEA"/>
    <w:rsid w:val="00555734"/>
    <w:rsid w:val="005623AA"/>
    <w:rsid w:val="00565794"/>
    <w:rsid w:val="00566C95"/>
    <w:rsid w:val="00576BBD"/>
    <w:rsid w:val="00583B2C"/>
    <w:rsid w:val="00586AFF"/>
    <w:rsid w:val="005921EB"/>
    <w:rsid w:val="00595A27"/>
    <w:rsid w:val="005A38D2"/>
    <w:rsid w:val="005B2ADA"/>
    <w:rsid w:val="005B37AF"/>
    <w:rsid w:val="005C3695"/>
    <w:rsid w:val="005E2CB1"/>
    <w:rsid w:val="005F44DE"/>
    <w:rsid w:val="005F55FD"/>
    <w:rsid w:val="005F7C60"/>
    <w:rsid w:val="00603531"/>
    <w:rsid w:val="00604ADC"/>
    <w:rsid w:val="0061163F"/>
    <w:rsid w:val="00611EFD"/>
    <w:rsid w:val="006153CF"/>
    <w:rsid w:val="00615AB0"/>
    <w:rsid w:val="00631FA0"/>
    <w:rsid w:val="006326DA"/>
    <w:rsid w:val="00642271"/>
    <w:rsid w:val="00652497"/>
    <w:rsid w:val="00652CF3"/>
    <w:rsid w:val="0066067C"/>
    <w:rsid w:val="00660CE4"/>
    <w:rsid w:val="006675AC"/>
    <w:rsid w:val="00667AFD"/>
    <w:rsid w:val="006728DC"/>
    <w:rsid w:val="006729ED"/>
    <w:rsid w:val="0067424F"/>
    <w:rsid w:val="00676689"/>
    <w:rsid w:val="00681055"/>
    <w:rsid w:val="006856CF"/>
    <w:rsid w:val="006856E9"/>
    <w:rsid w:val="00685C84"/>
    <w:rsid w:val="006868A3"/>
    <w:rsid w:val="00691338"/>
    <w:rsid w:val="00692DAC"/>
    <w:rsid w:val="006A1E31"/>
    <w:rsid w:val="006A3D96"/>
    <w:rsid w:val="006A749E"/>
    <w:rsid w:val="006B3379"/>
    <w:rsid w:val="006B64B7"/>
    <w:rsid w:val="006D2EE1"/>
    <w:rsid w:val="006D488D"/>
    <w:rsid w:val="006E4B00"/>
    <w:rsid w:val="007076E6"/>
    <w:rsid w:val="0072255E"/>
    <w:rsid w:val="00723D4D"/>
    <w:rsid w:val="0073256C"/>
    <w:rsid w:val="00735AB4"/>
    <w:rsid w:val="00741D34"/>
    <w:rsid w:val="00742901"/>
    <w:rsid w:val="00744B8A"/>
    <w:rsid w:val="0075207C"/>
    <w:rsid w:val="00752ABB"/>
    <w:rsid w:val="00753591"/>
    <w:rsid w:val="00757629"/>
    <w:rsid w:val="00761188"/>
    <w:rsid w:val="00761C1A"/>
    <w:rsid w:val="00763A1C"/>
    <w:rsid w:val="00771D76"/>
    <w:rsid w:val="00775D10"/>
    <w:rsid w:val="007763CE"/>
    <w:rsid w:val="00777C0C"/>
    <w:rsid w:val="00787FA2"/>
    <w:rsid w:val="007957D4"/>
    <w:rsid w:val="007A18CA"/>
    <w:rsid w:val="007A250B"/>
    <w:rsid w:val="007B39E8"/>
    <w:rsid w:val="007B4006"/>
    <w:rsid w:val="007B6D3A"/>
    <w:rsid w:val="007B7DD0"/>
    <w:rsid w:val="007C2462"/>
    <w:rsid w:val="007D31EC"/>
    <w:rsid w:val="007E7E21"/>
    <w:rsid w:val="007F46C7"/>
    <w:rsid w:val="007F619E"/>
    <w:rsid w:val="007F6E30"/>
    <w:rsid w:val="00803E2B"/>
    <w:rsid w:val="00807A5D"/>
    <w:rsid w:val="00810B5E"/>
    <w:rsid w:val="008157FF"/>
    <w:rsid w:val="00817108"/>
    <w:rsid w:val="008209AC"/>
    <w:rsid w:val="00845F90"/>
    <w:rsid w:val="00854534"/>
    <w:rsid w:val="00866115"/>
    <w:rsid w:val="00867A7A"/>
    <w:rsid w:val="00870D84"/>
    <w:rsid w:val="00890274"/>
    <w:rsid w:val="00890B3C"/>
    <w:rsid w:val="00891F4E"/>
    <w:rsid w:val="00893048"/>
    <w:rsid w:val="008948B9"/>
    <w:rsid w:val="008A64C1"/>
    <w:rsid w:val="008B246B"/>
    <w:rsid w:val="008B3A93"/>
    <w:rsid w:val="008B6E2E"/>
    <w:rsid w:val="008C633F"/>
    <w:rsid w:val="008D18A2"/>
    <w:rsid w:val="008D1D38"/>
    <w:rsid w:val="008D3516"/>
    <w:rsid w:val="008D51FA"/>
    <w:rsid w:val="008E04B6"/>
    <w:rsid w:val="008E0A2E"/>
    <w:rsid w:val="008E69B3"/>
    <w:rsid w:val="008F0387"/>
    <w:rsid w:val="008F6302"/>
    <w:rsid w:val="00901A29"/>
    <w:rsid w:val="00901BD9"/>
    <w:rsid w:val="009141E7"/>
    <w:rsid w:val="00916CCF"/>
    <w:rsid w:val="00922023"/>
    <w:rsid w:val="00934864"/>
    <w:rsid w:val="009408D8"/>
    <w:rsid w:val="00957830"/>
    <w:rsid w:val="009603D4"/>
    <w:rsid w:val="00967540"/>
    <w:rsid w:val="0097020A"/>
    <w:rsid w:val="00972564"/>
    <w:rsid w:val="00977256"/>
    <w:rsid w:val="00980E60"/>
    <w:rsid w:val="0098339D"/>
    <w:rsid w:val="009A0DD9"/>
    <w:rsid w:val="009A2F5D"/>
    <w:rsid w:val="009B09F3"/>
    <w:rsid w:val="009B1A56"/>
    <w:rsid w:val="009B2AFB"/>
    <w:rsid w:val="009B59D0"/>
    <w:rsid w:val="009B6B41"/>
    <w:rsid w:val="009C6B01"/>
    <w:rsid w:val="009D0304"/>
    <w:rsid w:val="009E2845"/>
    <w:rsid w:val="009E4E7C"/>
    <w:rsid w:val="009E5D23"/>
    <w:rsid w:val="00A005C7"/>
    <w:rsid w:val="00A0115F"/>
    <w:rsid w:val="00A04E5E"/>
    <w:rsid w:val="00A06294"/>
    <w:rsid w:val="00A103DB"/>
    <w:rsid w:val="00A242CF"/>
    <w:rsid w:val="00A270D8"/>
    <w:rsid w:val="00A30869"/>
    <w:rsid w:val="00A3165A"/>
    <w:rsid w:val="00A34D92"/>
    <w:rsid w:val="00A43F4A"/>
    <w:rsid w:val="00A464A2"/>
    <w:rsid w:val="00A46F85"/>
    <w:rsid w:val="00A51648"/>
    <w:rsid w:val="00A648DE"/>
    <w:rsid w:val="00A71977"/>
    <w:rsid w:val="00A753FE"/>
    <w:rsid w:val="00A762A9"/>
    <w:rsid w:val="00A84980"/>
    <w:rsid w:val="00A8677B"/>
    <w:rsid w:val="00A951D5"/>
    <w:rsid w:val="00A954D9"/>
    <w:rsid w:val="00AA4981"/>
    <w:rsid w:val="00AB2BCE"/>
    <w:rsid w:val="00AB4D98"/>
    <w:rsid w:val="00AB75A0"/>
    <w:rsid w:val="00AC234A"/>
    <w:rsid w:val="00AC43DB"/>
    <w:rsid w:val="00AC77CA"/>
    <w:rsid w:val="00AC7CEC"/>
    <w:rsid w:val="00AD2C0E"/>
    <w:rsid w:val="00B04FA4"/>
    <w:rsid w:val="00B107F3"/>
    <w:rsid w:val="00B1314E"/>
    <w:rsid w:val="00B16236"/>
    <w:rsid w:val="00B209CF"/>
    <w:rsid w:val="00B239AC"/>
    <w:rsid w:val="00B30684"/>
    <w:rsid w:val="00B30983"/>
    <w:rsid w:val="00B30D31"/>
    <w:rsid w:val="00B3155A"/>
    <w:rsid w:val="00B315F3"/>
    <w:rsid w:val="00B35486"/>
    <w:rsid w:val="00B356D9"/>
    <w:rsid w:val="00B46CAF"/>
    <w:rsid w:val="00B5514B"/>
    <w:rsid w:val="00B55C42"/>
    <w:rsid w:val="00B649C0"/>
    <w:rsid w:val="00B756DC"/>
    <w:rsid w:val="00B76FC4"/>
    <w:rsid w:val="00B80215"/>
    <w:rsid w:val="00B84297"/>
    <w:rsid w:val="00B85D78"/>
    <w:rsid w:val="00B86880"/>
    <w:rsid w:val="00B904F2"/>
    <w:rsid w:val="00B97A88"/>
    <w:rsid w:val="00B97FA5"/>
    <w:rsid w:val="00BA3946"/>
    <w:rsid w:val="00BA7521"/>
    <w:rsid w:val="00BB25DC"/>
    <w:rsid w:val="00BB578D"/>
    <w:rsid w:val="00BC175E"/>
    <w:rsid w:val="00BC2778"/>
    <w:rsid w:val="00BC27A9"/>
    <w:rsid w:val="00BC59D9"/>
    <w:rsid w:val="00BD5149"/>
    <w:rsid w:val="00BE3BF6"/>
    <w:rsid w:val="00BE5173"/>
    <w:rsid w:val="00BE6CCB"/>
    <w:rsid w:val="00BF2B1F"/>
    <w:rsid w:val="00C011E4"/>
    <w:rsid w:val="00C03A7D"/>
    <w:rsid w:val="00C04853"/>
    <w:rsid w:val="00C109C3"/>
    <w:rsid w:val="00C13042"/>
    <w:rsid w:val="00C16DF6"/>
    <w:rsid w:val="00C17FB8"/>
    <w:rsid w:val="00C235A3"/>
    <w:rsid w:val="00C32143"/>
    <w:rsid w:val="00C378E6"/>
    <w:rsid w:val="00C41A24"/>
    <w:rsid w:val="00C423F2"/>
    <w:rsid w:val="00C54677"/>
    <w:rsid w:val="00C5568D"/>
    <w:rsid w:val="00C575FD"/>
    <w:rsid w:val="00C61093"/>
    <w:rsid w:val="00C66F97"/>
    <w:rsid w:val="00C7119C"/>
    <w:rsid w:val="00C73436"/>
    <w:rsid w:val="00C81B43"/>
    <w:rsid w:val="00C87E58"/>
    <w:rsid w:val="00C955A8"/>
    <w:rsid w:val="00CA21EA"/>
    <w:rsid w:val="00CB0580"/>
    <w:rsid w:val="00CC33D2"/>
    <w:rsid w:val="00CC3E35"/>
    <w:rsid w:val="00CD2BC2"/>
    <w:rsid w:val="00CE0CCC"/>
    <w:rsid w:val="00CE7EDC"/>
    <w:rsid w:val="00CF171B"/>
    <w:rsid w:val="00CF45E0"/>
    <w:rsid w:val="00CF5C97"/>
    <w:rsid w:val="00D0381C"/>
    <w:rsid w:val="00D03D7D"/>
    <w:rsid w:val="00D05F75"/>
    <w:rsid w:val="00D1504D"/>
    <w:rsid w:val="00D2708D"/>
    <w:rsid w:val="00D3464F"/>
    <w:rsid w:val="00D346ED"/>
    <w:rsid w:val="00D37716"/>
    <w:rsid w:val="00D42EC0"/>
    <w:rsid w:val="00D44FE6"/>
    <w:rsid w:val="00D4596E"/>
    <w:rsid w:val="00D471C2"/>
    <w:rsid w:val="00D55A0F"/>
    <w:rsid w:val="00D629FF"/>
    <w:rsid w:val="00D62F9B"/>
    <w:rsid w:val="00D72F4D"/>
    <w:rsid w:val="00D80194"/>
    <w:rsid w:val="00D95CBF"/>
    <w:rsid w:val="00DA1614"/>
    <w:rsid w:val="00DB1D8E"/>
    <w:rsid w:val="00DB4234"/>
    <w:rsid w:val="00DC1283"/>
    <w:rsid w:val="00DD276E"/>
    <w:rsid w:val="00DD4510"/>
    <w:rsid w:val="00DE33F3"/>
    <w:rsid w:val="00DF52DD"/>
    <w:rsid w:val="00E26AC6"/>
    <w:rsid w:val="00E35659"/>
    <w:rsid w:val="00E36601"/>
    <w:rsid w:val="00E37771"/>
    <w:rsid w:val="00E433DE"/>
    <w:rsid w:val="00E445CE"/>
    <w:rsid w:val="00E624DB"/>
    <w:rsid w:val="00E63A52"/>
    <w:rsid w:val="00E646B4"/>
    <w:rsid w:val="00E71D8A"/>
    <w:rsid w:val="00E7555F"/>
    <w:rsid w:val="00E80987"/>
    <w:rsid w:val="00E80AF9"/>
    <w:rsid w:val="00E903C3"/>
    <w:rsid w:val="00E95751"/>
    <w:rsid w:val="00EA2B98"/>
    <w:rsid w:val="00EB1BB6"/>
    <w:rsid w:val="00EB4D49"/>
    <w:rsid w:val="00EC25FD"/>
    <w:rsid w:val="00EC30EC"/>
    <w:rsid w:val="00EC5947"/>
    <w:rsid w:val="00ED774C"/>
    <w:rsid w:val="00EE0E40"/>
    <w:rsid w:val="00EE253D"/>
    <w:rsid w:val="00EE30B5"/>
    <w:rsid w:val="00EE63D1"/>
    <w:rsid w:val="00EE6ACF"/>
    <w:rsid w:val="00EE7460"/>
    <w:rsid w:val="00EF17FF"/>
    <w:rsid w:val="00EF22DA"/>
    <w:rsid w:val="00EF6816"/>
    <w:rsid w:val="00F041E6"/>
    <w:rsid w:val="00F05E72"/>
    <w:rsid w:val="00F163AA"/>
    <w:rsid w:val="00F24141"/>
    <w:rsid w:val="00F258C6"/>
    <w:rsid w:val="00F25DF0"/>
    <w:rsid w:val="00F310F8"/>
    <w:rsid w:val="00F35FBF"/>
    <w:rsid w:val="00F44350"/>
    <w:rsid w:val="00F51ACA"/>
    <w:rsid w:val="00F533DA"/>
    <w:rsid w:val="00F5466C"/>
    <w:rsid w:val="00F60FF3"/>
    <w:rsid w:val="00F61AAC"/>
    <w:rsid w:val="00F72C1C"/>
    <w:rsid w:val="00F7531C"/>
    <w:rsid w:val="00F77DA6"/>
    <w:rsid w:val="00F847A0"/>
    <w:rsid w:val="00F86403"/>
    <w:rsid w:val="00F9034B"/>
    <w:rsid w:val="00F96D8B"/>
    <w:rsid w:val="00FA4699"/>
    <w:rsid w:val="00FB00D0"/>
    <w:rsid w:val="00FB1C51"/>
    <w:rsid w:val="00FB3346"/>
    <w:rsid w:val="00FD19FA"/>
    <w:rsid w:val="00FD2BC9"/>
    <w:rsid w:val="00FD58B7"/>
    <w:rsid w:val="00FD5E7B"/>
    <w:rsid w:val="00FF0B57"/>
    <w:rsid w:val="00FF3ABF"/>
    <w:rsid w:val="03B90101"/>
    <w:rsid w:val="10A26E4E"/>
    <w:rsid w:val="12631F4C"/>
    <w:rsid w:val="139E092C"/>
    <w:rsid w:val="13CD6710"/>
    <w:rsid w:val="25F31059"/>
    <w:rsid w:val="45D265BF"/>
    <w:rsid w:val="48120DEB"/>
    <w:rsid w:val="6526125E"/>
    <w:rsid w:val="67CB6152"/>
    <w:rsid w:val="73146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BCB70F"/>
  <w15:docId w15:val="{E40D300B-E351-494E-8EEE-E786768BB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等线" w:eastAsia="等线" w:hAnsi="等线" w:cs="Times New Roman"/>
      <w:kern w:val="2"/>
      <w:sz w:val="21"/>
      <w:szCs w:val="22"/>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CB0580"/>
    <w:pPr>
      <w:keepNext/>
      <w:keepLines/>
      <w:spacing w:before="260" w:after="260" w:line="416" w:lineRule="auto"/>
      <w:outlineLvl w:val="2"/>
    </w:pPr>
    <w:rPr>
      <w:rFonts w:asciiTheme="minorHAnsi" w:eastAsiaTheme="minorEastAsia" w:hAnsiTheme="minorHAnsi" w:cstheme="min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link w:val="Char"/>
    <w:uiPriority w:val="99"/>
    <w:semiHidden/>
    <w:unhideWhenUsed/>
    <w:qFormat/>
  </w:style>
  <w:style w:type="paragraph" w:styleId="a4">
    <w:name w:val="Closing"/>
    <w:basedOn w:val="a"/>
    <w:link w:val="Char0"/>
    <w:uiPriority w:val="99"/>
    <w:semiHidden/>
    <w:unhideWhenUsed/>
    <w:qFormat/>
    <w:pPr>
      <w:ind w:leftChars="2100" w:left="100"/>
    </w:pPr>
  </w:style>
  <w:style w:type="paragraph" w:styleId="a5">
    <w:name w:val="Balloon Text"/>
    <w:basedOn w:val="a"/>
    <w:link w:val="Char1"/>
    <w:uiPriority w:val="99"/>
    <w:semiHidden/>
    <w:unhideWhenUsed/>
    <w:qFormat/>
    <w:rPr>
      <w:sz w:val="18"/>
      <w:szCs w:val="18"/>
    </w:rPr>
  </w:style>
  <w:style w:type="paragraph" w:styleId="a6">
    <w:name w:val="footer"/>
    <w:basedOn w:val="a"/>
    <w:link w:val="Char10"/>
    <w:uiPriority w:val="99"/>
    <w:unhideWhenUsed/>
    <w:qFormat/>
    <w:pPr>
      <w:tabs>
        <w:tab w:val="center" w:pos="4153"/>
        <w:tab w:val="right" w:pos="8306"/>
      </w:tabs>
      <w:snapToGrid w:val="0"/>
      <w:spacing w:line="240" w:lineRule="atLeast"/>
      <w:ind w:firstLineChars="200" w:firstLine="200"/>
      <w:jc w:val="left"/>
    </w:pPr>
    <w:rPr>
      <w:rFonts w:ascii="Calibri" w:eastAsia="仿宋" w:hAnsi="Calibri"/>
      <w:sz w:val="18"/>
      <w:szCs w:val="18"/>
    </w:rPr>
  </w:style>
  <w:style w:type="paragraph" w:styleId="a7">
    <w:name w:val="header"/>
    <w:basedOn w:val="a"/>
    <w:link w:val="Char11"/>
    <w:uiPriority w:val="99"/>
    <w:unhideWhenUsed/>
    <w:qFormat/>
    <w:pPr>
      <w:pBdr>
        <w:bottom w:val="single" w:sz="6" w:space="1" w:color="auto"/>
      </w:pBdr>
      <w:tabs>
        <w:tab w:val="center" w:pos="4153"/>
        <w:tab w:val="right" w:pos="8306"/>
      </w:tabs>
      <w:snapToGrid w:val="0"/>
      <w:spacing w:line="240" w:lineRule="atLeast"/>
      <w:ind w:firstLineChars="200" w:firstLine="200"/>
      <w:jc w:val="center"/>
    </w:pPr>
    <w:rPr>
      <w:rFonts w:ascii="Calibri" w:eastAsia="仿宋" w:hAnsi="Calibri"/>
      <w:sz w:val="18"/>
      <w:szCs w:val="18"/>
    </w:rPr>
  </w:style>
  <w:style w:type="paragraph" w:styleId="a8">
    <w:name w:val="Normal (Web)"/>
    <w:basedOn w:val="a"/>
    <w:unhideWhenUsed/>
    <w:qFormat/>
    <w:pPr>
      <w:widowControl/>
      <w:spacing w:before="100" w:beforeAutospacing="1" w:after="100" w:afterAutospacing="1"/>
      <w:jc w:val="left"/>
    </w:pPr>
    <w:rPr>
      <w:rFonts w:ascii="Times New Roman" w:eastAsia="宋体" w:hAnsi="Times New Roman"/>
      <w:kern w:val="0"/>
      <w:sz w:val="24"/>
      <w:szCs w:val="24"/>
    </w:rPr>
  </w:style>
  <w:style w:type="paragraph" w:styleId="a9">
    <w:name w:val="Title"/>
    <w:basedOn w:val="a"/>
    <w:next w:val="a"/>
    <w:link w:val="Char2"/>
    <w:uiPriority w:val="10"/>
    <w:qFormat/>
    <w:pPr>
      <w:spacing w:before="240" w:after="60"/>
      <w:jc w:val="center"/>
      <w:outlineLvl w:val="0"/>
    </w:pPr>
    <w:rPr>
      <w:rFonts w:asciiTheme="majorHAnsi" w:eastAsiaTheme="majorEastAsia" w:hAnsiTheme="majorHAnsi" w:cstheme="majorBidi"/>
      <w:b/>
      <w:bCs/>
      <w:sz w:val="32"/>
      <w:szCs w:val="32"/>
    </w:rPr>
  </w:style>
  <w:style w:type="table" w:styleId="aa">
    <w:name w:val="Table Grid"/>
    <w:basedOn w:val="a1"/>
    <w:uiPriority w:val="39"/>
    <w:qFormat/>
    <w:rPr>
      <w:rFonts w:ascii="Calibri" w:eastAsia="宋体"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b">
    <w:name w:val="Hyperlink"/>
    <w:uiPriority w:val="99"/>
    <w:unhideWhenUsed/>
    <w:qFormat/>
    <w:rPr>
      <w:color w:val="0000FF"/>
      <w:u w:val="single"/>
    </w:rPr>
  </w:style>
  <w:style w:type="character" w:customStyle="1" w:styleId="Char3">
    <w:name w:val="页脚 Char"/>
    <w:basedOn w:val="a0"/>
    <w:uiPriority w:val="99"/>
    <w:qFormat/>
    <w:rPr>
      <w:rFonts w:ascii="等线" w:eastAsia="等线" w:hAnsi="等线" w:cs="Times New Roman"/>
      <w:sz w:val="18"/>
      <w:szCs w:val="18"/>
    </w:rPr>
  </w:style>
  <w:style w:type="character" w:customStyle="1" w:styleId="Char10">
    <w:name w:val="页脚 Char1"/>
    <w:link w:val="a6"/>
    <w:uiPriority w:val="99"/>
    <w:qFormat/>
    <w:rPr>
      <w:rFonts w:ascii="Calibri" w:eastAsia="仿宋" w:hAnsi="Calibri" w:cs="Times New Roman"/>
      <w:sz w:val="18"/>
      <w:szCs w:val="18"/>
    </w:rPr>
  </w:style>
  <w:style w:type="character" w:customStyle="1" w:styleId="Char4">
    <w:name w:val="页眉 Char"/>
    <w:basedOn w:val="a0"/>
    <w:uiPriority w:val="99"/>
    <w:semiHidden/>
    <w:qFormat/>
    <w:rPr>
      <w:rFonts w:ascii="等线" w:eastAsia="等线" w:hAnsi="等线" w:cs="Times New Roman"/>
      <w:sz w:val="18"/>
      <w:szCs w:val="18"/>
    </w:rPr>
  </w:style>
  <w:style w:type="character" w:customStyle="1" w:styleId="Char11">
    <w:name w:val="页眉 Char1"/>
    <w:link w:val="a7"/>
    <w:uiPriority w:val="99"/>
    <w:qFormat/>
    <w:rPr>
      <w:rFonts w:ascii="Calibri" w:eastAsia="仿宋" w:hAnsi="Calibri" w:cs="Times New Roman"/>
      <w:sz w:val="18"/>
      <w:szCs w:val="18"/>
    </w:rPr>
  </w:style>
  <w:style w:type="paragraph" w:customStyle="1" w:styleId="20">
    <w:name w:val="正文2"/>
    <w:basedOn w:val="a"/>
    <w:link w:val="2Char0"/>
    <w:qFormat/>
    <w:pPr>
      <w:spacing w:line="490" w:lineRule="exact"/>
      <w:ind w:firstLineChars="200" w:firstLine="480"/>
    </w:pPr>
    <w:rPr>
      <w:rFonts w:ascii="宋体" w:eastAsia="宋体" w:hAnsi="宋体"/>
      <w:kern w:val="0"/>
      <w:sz w:val="24"/>
      <w:szCs w:val="24"/>
    </w:rPr>
  </w:style>
  <w:style w:type="character" w:customStyle="1" w:styleId="2Char0">
    <w:name w:val="正文2 Char"/>
    <w:link w:val="20"/>
    <w:qFormat/>
    <w:rPr>
      <w:rFonts w:ascii="宋体" w:eastAsia="宋体" w:hAnsi="宋体" w:cs="Times New Roman"/>
      <w:kern w:val="0"/>
      <w:sz w:val="24"/>
      <w:szCs w:val="24"/>
    </w:rPr>
  </w:style>
  <w:style w:type="character" w:customStyle="1" w:styleId="Char1">
    <w:name w:val="批注框文本 Char"/>
    <w:basedOn w:val="a0"/>
    <w:link w:val="a5"/>
    <w:uiPriority w:val="99"/>
    <w:semiHidden/>
    <w:qFormat/>
    <w:rPr>
      <w:rFonts w:ascii="等线" w:eastAsia="等线" w:hAnsi="等线" w:cs="Times New Roman"/>
      <w:sz w:val="18"/>
      <w:szCs w:val="18"/>
    </w:rPr>
  </w:style>
  <w:style w:type="paragraph" w:customStyle="1" w:styleId="200">
    <w:name w:val="20"/>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Heading21">
    <w:name w:val="Heading #2|1_"/>
    <w:link w:val="Heading210"/>
    <w:qFormat/>
    <w:rPr>
      <w:rFonts w:ascii="宋体" w:eastAsia="宋体" w:hAnsi="宋体" w:cs="宋体"/>
      <w:sz w:val="44"/>
      <w:szCs w:val="44"/>
      <w:lang w:val="zh-TW" w:eastAsia="zh-TW" w:bidi="zh-TW"/>
    </w:rPr>
  </w:style>
  <w:style w:type="paragraph" w:customStyle="1" w:styleId="Heading210">
    <w:name w:val="Heading #2|1"/>
    <w:basedOn w:val="a"/>
    <w:link w:val="Heading21"/>
    <w:qFormat/>
    <w:pPr>
      <w:spacing w:after="500" w:line="562" w:lineRule="exact"/>
      <w:jc w:val="center"/>
      <w:outlineLvl w:val="1"/>
    </w:pPr>
    <w:rPr>
      <w:rFonts w:ascii="宋体" w:eastAsia="宋体" w:hAnsi="宋体" w:cs="宋体"/>
      <w:sz w:val="44"/>
      <w:szCs w:val="44"/>
      <w:lang w:val="zh-TW" w:eastAsia="zh-TW" w:bidi="zh-TW"/>
    </w:rPr>
  </w:style>
  <w:style w:type="character" w:customStyle="1" w:styleId="Other1">
    <w:name w:val="Other|1_"/>
    <w:link w:val="Other10"/>
    <w:qFormat/>
    <w:rPr>
      <w:rFonts w:ascii="宋体" w:eastAsia="宋体" w:hAnsi="宋体" w:cs="宋体"/>
      <w:sz w:val="30"/>
      <w:szCs w:val="30"/>
      <w:lang w:val="zh-TW" w:eastAsia="zh-TW" w:bidi="zh-TW"/>
    </w:rPr>
  </w:style>
  <w:style w:type="paragraph" w:customStyle="1" w:styleId="Other10">
    <w:name w:val="Other|1"/>
    <w:basedOn w:val="a"/>
    <w:link w:val="Other1"/>
    <w:qFormat/>
    <w:pPr>
      <w:spacing w:line="377" w:lineRule="auto"/>
      <w:ind w:firstLine="400"/>
      <w:jc w:val="left"/>
    </w:pPr>
    <w:rPr>
      <w:rFonts w:ascii="宋体" w:eastAsia="宋体" w:hAnsi="宋体" w:cs="宋体"/>
      <w:sz w:val="30"/>
      <w:szCs w:val="30"/>
      <w:lang w:val="zh-TW" w:eastAsia="zh-TW" w:bidi="zh-TW"/>
    </w:rPr>
  </w:style>
  <w:style w:type="character" w:customStyle="1" w:styleId="Bodytext2">
    <w:name w:val="Body text|2_"/>
    <w:link w:val="Bodytext20"/>
    <w:qFormat/>
    <w:rPr>
      <w:rFonts w:ascii="宋体" w:eastAsia="宋体" w:hAnsi="宋体" w:cs="宋体"/>
      <w:sz w:val="26"/>
      <w:szCs w:val="26"/>
      <w:lang w:val="zh-TW" w:eastAsia="zh-TW" w:bidi="zh-TW"/>
    </w:rPr>
  </w:style>
  <w:style w:type="paragraph" w:customStyle="1" w:styleId="Bodytext20">
    <w:name w:val="Body text|2"/>
    <w:basedOn w:val="a"/>
    <w:link w:val="Bodytext2"/>
    <w:qFormat/>
    <w:pPr>
      <w:spacing w:line="410" w:lineRule="exact"/>
      <w:ind w:firstLine="580"/>
      <w:jc w:val="left"/>
    </w:pPr>
    <w:rPr>
      <w:rFonts w:ascii="宋体" w:eastAsia="宋体" w:hAnsi="宋体" w:cs="宋体"/>
      <w:sz w:val="26"/>
      <w:szCs w:val="26"/>
      <w:lang w:val="zh-TW" w:eastAsia="zh-TW" w:bidi="zh-TW"/>
    </w:rPr>
  </w:style>
  <w:style w:type="character" w:customStyle="1" w:styleId="Bodytext4">
    <w:name w:val="Body text|4_"/>
    <w:link w:val="Bodytext40"/>
    <w:qFormat/>
    <w:rPr>
      <w:rFonts w:ascii="宋体" w:eastAsia="宋体" w:hAnsi="宋体" w:cs="宋体"/>
      <w:sz w:val="19"/>
      <w:szCs w:val="19"/>
      <w:lang w:val="zh-TW" w:eastAsia="zh-TW" w:bidi="zh-TW"/>
    </w:rPr>
  </w:style>
  <w:style w:type="paragraph" w:customStyle="1" w:styleId="Bodytext40">
    <w:name w:val="Body text|4"/>
    <w:basedOn w:val="a"/>
    <w:link w:val="Bodytext4"/>
    <w:qFormat/>
    <w:pPr>
      <w:spacing w:after="160"/>
      <w:jc w:val="left"/>
    </w:pPr>
    <w:rPr>
      <w:rFonts w:ascii="宋体" w:eastAsia="宋体" w:hAnsi="宋体" w:cs="宋体"/>
      <w:sz w:val="19"/>
      <w:szCs w:val="19"/>
      <w:lang w:val="zh-TW" w:eastAsia="zh-TW" w:bidi="zh-TW"/>
    </w:rPr>
  </w:style>
  <w:style w:type="character" w:customStyle="1" w:styleId="Headerorfooter1">
    <w:name w:val="Header or footer|1_"/>
    <w:link w:val="Headerorfooter10"/>
    <w:qFormat/>
    <w:rPr>
      <w:sz w:val="28"/>
      <w:szCs w:val="28"/>
      <w:lang w:val="zh-TW" w:eastAsia="zh-TW" w:bidi="zh-TW"/>
    </w:rPr>
  </w:style>
  <w:style w:type="paragraph" w:customStyle="1" w:styleId="Headerorfooter10">
    <w:name w:val="Header or footer|1"/>
    <w:basedOn w:val="a"/>
    <w:link w:val="Headerorfooter1"/>
    <w:qFormat/>
    <w:pPr>
      <w:jc w:val="left"/>
    </w:pPr>
    <w:rPr>
      <w:rFonts w:asciiTheme="minorHAnsi" w:eastAsiaTheme="minorEastAsia" w:hAnsiTheme="minorHAnsi" w:cstheme="minorBidi"/>
      <w:sz w:val="28"/>
      <w:szCs w:val="28"/>
      <w:lang w:val="zh-TW" w:eastAsia="zh-TW" w:bidi="zh-TW"/>
    </w:rPr>
  </w:style>
  <w:style w:type="character" w:customStyle="1" w:styleId="Bodytext1">
    <w:name w:val="Body text|1_"/>
    <w:link w:val="Bodytext10"/>
    <w:qFormat/>
    <w:rPr>
      <w:rFonts w:ascii="宋体" w:eastAsia="宋体" w:hAnsi="宋体" w:cs="宋体"/>
      <w:sz w:val="30"/>
      <w:szCs w:val="30"/>
      <w:lang w:val="zh-TW" w:eastAsia="zh-TW" w:bidi="zh-TW"/>
    </w:rPr>
  </w:style>
  <w:style w:type="paragraph" w:customStyle="1" w:styleId="Bodytext10">
    <w:name w:val="Body text|1"/>
    <w:basedOn w:val="a"/>
    <w:link w:val="Bodytext1"/>
    <w:qFormat/>
    <w:pPr>
      <w:spacing w:line="377" w:lineRule="auto"/>
      <w:ind w:firstLine="400"/>
      <w:jc w:val="left"/>
    </w:pPr>
    <w:rPr>
      <w:rFonts w:ascii="宋体" w:eastAsia="宋体" w:hAnsi="宋体" w:cs="宋体"/>
      <w:sz w:val="30"/>
      <w:szCs w:val="30"/>
      <w:lang w:val="zh-TW" w:eastAsia="zh-TW" w:bidi="zh-TW"/>
    </w:rPr>
  </w:style>
  <w:style w:type="character" w:customStyle="1" w:styleId="Bodytext3">
    <w:name w:val="Body text|3_"/>
    <w:link w:val="Bodytext30"/>
    <w:qFormat/>
    <w:rPr>
      <w:rFonts w:ascii="宋体" w:eastAsia="宋体" w:hAnsi="宋体" w:cs="宋体"/>
      <w:sz w:val="22"/>
      <w:lang w:val="zh-TW" w:eastAsia="zh-TW" w:bidi="zh-TW"/>
    </w:rPr>
  </w:style>
  <w:style w:type="paragraph" w:customStyle="1" w:styleId="Bodytext30">
    <w:name w:val="Body text|3"/>
    <w:basedOn w:val="a"/>
    <w:link w:val="Bodytext3"/>
    <w:qFormat/>
    <w:pPr>
      <w:spacing w:after="220"/>
      <w:ind w:firstLine="460"/>
      <w:jc w:val="left"/>
    </w:pPr>
    <w:rPr>
      <w:rFonts w:ascii="宋体" w:eastAsia="宋体" w:hAnsi="宋体" w:cs="宋体"/>
      <w:sz w:val="22"/>
      <w:lang w:val="zh-TW" w:eastAsia="zh-TW" w:bidi="zh-TW"/>
    </w:rPr>
  </w:style>
  <w:style w:type="character" w:customStyle="1" w:styleId="Char">
    <w:name w:val="称呼 Char"/>
    <w:basedOn w:val="a0"/>
    <w:link w:val="a3"/>
    <w:uiPriority w:val="99"/>
    <w:semiHidden/>
    <w:qFormat/>
    <w:rPr>
      <w:rFonts w:ascii="等线" w:eastAsia="等线" w:hAnsi="等线" w:cs="Times New Roman"/>
    </w:rPr>
  </w:style>
  <w:style w:type="character" w:customStyle="1" w:styleId="Char0">
    <w:name w:val="结束语 Char"/>
    <w:basedOn w:val="a0"/>
    <w:link w:val="a4"/>
    <w:uiPriority w:val="99"/>
    <w:semiHidden/>
    <w:qFormat/>
    <w:rPr>
      <w:rFonts w:ascii="等线" w:eastAsia="等线" w:hAnsi="等线" w:cs="Times New Roman"/>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character" w:customStyle="1" w:styleId="Char2">
    <w:name w:val="标题 Char"/>
    <w:basedOn w:val="a0"/>
    <w:link w:val="a9"/>
    <w:uiPriority w:val="10"/>
    <w:qFormat/>
    <w:rPr>
      <w:rFonts w:asciiTheme="majorHAnsi" w:eastAsiaTheme="majorEastAsia" w:hAnsiTheme="majorHAnsi" w:cstheme="majorBidi"/>
      <w:b/>
      <w:bCs/>
      <w:sz w:val="32"/>
      <w:szCs w:val="32"/>
    </w:rPr>
  </w:style>
  <w:style w:type="paragraph" w:customStyle="1" w:styleId="30">
    <w:name w:val="样式3"/>
    <w:basedOn w:val="a"/>
    <w:autoRedefine/>
    <w:qFormat/>
    <w:pPr>
      <w:spacing w:line="600" w:lineRule="exact"/>
      <w:jc w:val="center"/>
    </w:pPr>
    <w:rPr>
      <w:rFonts w:ascii="方正小标宋简体" w:eastAsia="方正小标宋简体" w:hAnsi="黑体"/>
      <w:color w:val="000000" w:themeColor="text1"/>
      <w:sz w:val="44"/>
      <w:szCs w:val="44"/>
    </w:rPr>
  </w:style>
  <w:style w:type="paragraph" w:styleId="ac">
    <w:name w:val="List Paragraph"/>
    <w:basedOn w:val="a"/>
    <w:link w:val="Char5"/>
    <w:uiPriority w:val="34"/>
    <w:qFormat/>
    <w:pPr>
      <w:autoSpaceDE w:val="0"/>
      <w:autoSpaceDN w:val="0"/>
      <w:ind w:left="960" w:hanging="360"/>
      <w:jc w:val="left"/>
    </w:pPr>
    <w:rPr>
      <w:rFonts w:ascii="Times New Roman" w:eastAsia="Times New Roman" w:hAnsi="Times New Roman"/>
      <w:kern w:val="0"/>
      <w:sz w:val="22"/>
      <w:lang w:eastAsia="en-US"/>
    </w:rPr>
  </w:style>
  <w:style w:type="character" w:customStyle="1" w:styleId="1">
    <w:name w:val="页脚 字符1"/>
    <w:uiPriority w:val="99"/>
    <w:qFormat/>
    <w:rPr>
      <w:kern w:val="2"/>
      <w:sz w:val="18"/>
      <w:szCs w:val="18"/>
    </w:rPr>
  </w:style>
  <w:style w:type="character" w:customStyle="1" w:styleId="10">
    <w:name w:val="页眉 字符1"/>
    <w:uiPriority w:val="99"/>
    <w:qFormat/>
    <w:rPr>
      <w:kern w:val="2"/>
      <w:sz w:val="18"/>
      <w:szCs w:val="18"/>
    </w:rPr>
  </w:style>
  <w:style w:type="paragraph" w:customStyle="1" w:styleId="ad">
    <w:name w:val="调查项目"/>
    <w:basedOn w:val="a"/>
    <w:qFormat/>
    <w:pPr>
      <w:widowControl/>
      <w:jc w:val="left"/>
      <w:outlineLvl w:val="1"/>
    </w:pPr>
    <w:rPr>
      <w:rFonts w:ascii="Tahoma" w:eastAsia="黑体" w:hAnsi="Tahoma"/>
      <w:bCs/>
      <w:color w:val="333399"/>
      <w:kern w:val="0"/>
      <w:sz w:val="18"/>
      <w:szCs w:val="18"/>
    </w:rPr>
  </w:style>
  <w:style w:type="paragraph" w:customStyle="1" w:styleId="ae">
    <w:name w:val="列标题"/>
    <w:basedOn w:val="2"/>
    <w:qFormat/>
    <w:pPr>
      <w:keepNext w:val="0"/>
      <w:keepLines w:val="0"/>
      <w:widowControl/>
      <w:spacing w:before="0" w:after="0" w:line="240" w:lineRule="auto"/>
      <w:jc w:val="center"/>
    </w:pPr>
    <w:rPr>
      <w:rFonts w:ascii="Tahoma" w:eastAsia="黑体" w:hAnsi="Tahoma" w:cs="Times New Roman"/>
      <w:b w:val="0"/>
      <w:color w:val="333399"/>
      <w:kern w:val="0"/>
      <w:sz w:val="18"/>
      <w:szCs w:val="18"/>
    </w:rPr>
  </w:style>
  <w:style w:type="paragraph" w:customStyle="1" w:styleId="af">
    <w:name w:val="表格正文文本"/>
    <w:basedOn w:val="a"/>
    <w:qFormat/>
    <w:pPr>
      <w:widowControl/>
      <w:jc w:val="center"/>
    </w:pPr>
    <w:rPr>
      <w:rFonts w:ascii="Tahoma" w:eastAsia="宋体" w:hAnsi="Tahoma"/>
      <w:kern w:val="0"/>
      <w:sz w:val="18"/>
      <w:szCs w:val="20"/>
    </w:rPr>
  </w:style>
  <w:style w:type="character" w:customStyle="1" w:styleId="3Char">
    <w:name w:val="标题 3 Char"/>
    <w:basedOn w:val="a0"/>
    <w:link w:val="3"/>
    <w:uiPriority w:val="9"/>
    <w:rsid w:val="00CB0580"/>
    <w:rPr>
      <w:b/>
      <w:bCs/>
      <w:kern w:val="2"/>
      <w:sz w:val="32"/>
      <w:szCs w:val="32"/>
    </w:rPr>
  </w:style>
  <w:style w:type="character" w:customStyle="1" w:styleId="Char5">
    <w:name w:val="列出段落 Char"/>
    <w:basedOn w:val="a0"/>
    <w:link w:val="ac"/>
    <w:uiPriority w:val="34"/>
    <w:qFormat/>
    <w:rsid w:val="00CB0580"/>
    <w:rPr>
      <w:rFonts w:ascii="Times New Roman" w:eastAsia="Times New Roman" w:hAnsi="Times New Roman" w:cs="Times New Roman"/>
      <w:sz w:val="22"/>
      <w:szCs w:val="22"/>
      <w:lang w:eastAsia="en-US"/>
    </w:rPr>
  </w:style>
  <w:style w:type="character" w:styleId="af0">
    <w:name w:val="line number"/>
    <w:basedOn w:val="a0"/>
    <w:uiPriority w:val="99"/>
    <w:semiHidden/>
    <w:unhideWhenUsed/>
    <w:rsid w:val="00C378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3073"/>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64D481-2A0A-4E2E-9250-FB270D7C9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5</Pages>
  <Words>366</Words>
  <Characters>2091</Characters>
  <Application>Microsoft Office Word</Application>
  <DocSecurity>0</DocSecurity>
  <Lines>17</Lines>
  <Paragraphs>4</Paragraphs>
  <ScaleCrop>false</ScaleCrop>
  <Company>Microsoft</Company>
  <LinksUpToDate>false</LinksUpToDate>
  <CharactersWithSpaces>2453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马琼荣</dc:creator>
  <cp:lastModifiedBy>翟豹</cp:lastModifiedBy>
  <cp:revision>13</cp:revision>
  <cp:lastPrinted>2022-10-19T02:32:00Z</cp:lastPrinted>
  <dcterms:created xsi:type="dcterms:W3CDTF">2026-05-26T06:58:00Z</dcterms:created>
  <dcterms:modified xsi:type="dcterms:W3CDTF">2026-06-05T01:49:00Z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eyJoZGlkIjoiZDA3ZDQwMmNiOWFlYzZjYTcwOWJiZGQ0YTA5ODBmZGUiLCJ1c2VySWQiOiIxNTMxMzkyMjk1In0=</vt:lpwstr>
  </property>
  <property fmtid="{D5CDD505-2E9C-101B-9397-08002B2CF9AE}" pid="3" name="KSOProductBuildVer">
    <vt:lpwstr>2052-12.1.0.25225</vt:lpwstr>
  </property>
  <property fmtid="{D5CDD505-2E9C-101B-9397-08002B2CF9AE}" pid="4" name="ICV">
    <vt:lpwstr>49701225EAA7432BA51C06A6CAAD355E_12</vt:lpwstr>
  </property>
</Properties>
</file>