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1DC0D" w14:textId="77777777" w:rsidR="007A4F9D" w:rsidRDefault="00DB2EA0">
      <w:pPr>
        <w:spacing w:line="520" w:lineRule="exact"/>
        <w:ind w:rightChars="-32" w:right="-102"/>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预处理剂产品注册审查指导原则</w:t>
      </w:r>
    </w:p>
    <w:p w14:paraId="7021712B" w14:textId="77777777" w:rsidR="007A4F9D" w:rsidRDefault="00DB2EA0">
      <w:pPr>
        <w:ind w:rightChars="-32" w:right="-102"/>
        <w:jc w:val="center"/>
        <w:rPr>
          <w:rFonts w:ascii="宋体" w:eastAsia="宋体" w:hAnsi="宋体" w:cs="宋体"/>
          <w:sz w:val="44"/>
          <w:szCs w:val="44"/>
        </w:rPr>
      </w:pPr>
      <w:r>
        <w:rPr>
          <w:rFonts w:ascii="方正小标宋_GBK" w:eastAsia="方正小标宋_GBK" w:hAnsi="方正小标宋_GBK" w:cs="方正小标宋_GBK" w:hint="eastAsia"/>
          <w:sz w:val="44"/>
          <w:szCs w:val="44"/>
        </w:rPr>
        <w:t>（</w:t>
      </w:r>
      <w:r>
        <w:rPr>
          <w:rFonts w:ascii="方正小标宋_GBK" w:eastAsia="方正小标宋_GBK" w:hAnsi="方正小标宋_GBK" w:cs="方正小标宋_GBK" w:hint="eastAsia"/>
          <w:sz w:val="44"/>
          <w:szCs w:val="44"/>
        </w:rPr>
        <w:t>征求意见稿</w:t>
      </w:r>
      <w:r>
        <w:rPr>
          <w:rFonts w:ascii="方正小标宋_GBK" w:eastAsia="方正小标宋_GBK" w:hAnsi="方正小标宋_GBK" w:cs="方正小标宋_GBK" w:hint="eastAsia"/>
          <w:sz w:val="44"/>
          <w:szCs w:val="44"/>
        </w:rPr>
        <w:t>）</w:t>
      </w:r>
    </w:p>
    <w:p w14:paraId="0F086C7C" w14:textId="77777777" w:rsidR="007A4F9D" w:rsidRDefault="00DB2EA0">
      <w:pPr>
        <w:spacing w:line="520" w:lineRule="exact"/>
        <w:ind w:firstLineChars="200" w:firstLine="640"/>
        <w:rPr>
          <w:rFonts w:eastAsia="仿宋_GB2312"/>
          <w:szCs w:val="32"/>
        </w:rPr>
      </w:pPr>
      <w:r>
        <w:rPr>
          <w:rFonts w:eastAsia="仿宋_GB2312"/>
          <w:szCs w:val="32"/>
        </w:rPr>
        <w:t>本指导原则旨在指导注册申请人对</w:t>
      </w:r>
      <w:r>
        <w:rPr>
          <w:rFonts w:eastAsia="仿宋_GB2312" w:hint="eastAsia"/>
          <w:szCs w:val="32"/>
        </w:rPr>
        <w:t>预处理剂</w:t>
      </w:r>
      <w:r>
        <w:rPr>
          <w:rFonts w:eastAsia="仿宋_GB2312"/>
          <w:szCs w:val="32"/>
        </w:rPr>
        <w:t>产品注册申报资料的准备及撰写，同时也为技术审评部门对注册申报资料的审评提供技术参考。</w:t>
      </w:r>
    </w:p>
    <w:p w14:paraId="7E59AB92" w14:textId="77777777" w:rsidR="007A4F9D" w:rsidRDefault="00DB2EA0">
      <w:pPr>
        <w:spacing w:line="520" w:lineRule="exact"/>
        <w:ind w:firstLineChars="200" w:firstLine="640"/>
        <w:rPr>
          <w:rFonts w:eastAsia="仿宋_GB2312"/>
          <w:szCs w:val="32"/>
        </w:rPr>
      </w:pPr>
      <w:r>
        <w:rPr>
          <w:rFonts w:eastAsia="仿宋_GB2312"/>
          <w:szCs w:val="32"/>
        </w:rPr>
        <w:t>本指导原则是对</w:t>
      </w:r>
      <w:r>
        <w:rPr>
          <w:rFonts w:eastAsia="仿宋_GB2312" w:hint="eastAsia"/>
          <w:szCs w:val="32"/>
        </w:rPr>
        <w:t>预处理剂产品</w:t>
      </w:r>
      <w:r>
        <w:rPr>
          <w:rFonts w:eastAsia="仿宋_GB2312"/>
          <w:szCs w:val="32"/>
        </w:rPr>
        <w:t>注册申报资料的一般要求，注册申请人需依据产品的具体特性确定其中内容是否</w:t>
      </w:r>
      <w:r>
        <w:rPr>
          <w:rFonts w:eastAsia="仿宋_GB2312" w:hint="eastAsia"/>
          <w:szCs w:val="32"/>
        </w:rPr>
        <w:t>适用</w:t>
      </w:r>
      <w:r>
        <w:rPr>
          <w:rFonts w:eastAsia="仿宋_GB2312"/>
          <w:szCs w:val="32"/>
        </w:rPr>
        <w:t>。若不适用，需具体阐述理由及相应的科学依据，并依据产品的具体特性对注册申报资料的内容进行充实和细化。</w:t>
      </w:r>
    </w:p>
    <w:p w14:paraId="6B897A61" w14:textId="77777777" w:rsidR="007A4F9D" w:rsidRDefault="00DB2EA0">
      <w:pPr>
        <w:spacing w:line="520" w:lineRule="exact"/>
        <w:ind w:firstLineChars="200" w:firstLine="640"/>
        <w:rPr>
          <w:rFonts w:eastAsia="仿宋_GB2312"/>
          <w:szCs w:val="32"/>
        </w:rPr>
      </w:pPr>
      <w:r>
        <w:rPr>
          <w:rFonts w:eastAsia="仿宋_GB231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5FDB0A30" w14:textId="77777777" w:rsidR="007A4F9D" w:rsidRDefault="00DB2EA0">
      <w:pPr>
        <w:spacing w:line="520" w:lineRule="exact"/>
        <w:ind w:firstLineChars="200" w:firstLine="640"/>
        <w:rPr>
          <w:rFonts w:eastAsia="黑体"/>
          <w:szCs w:val="32"/>
        </w:rPr>
      </w:pPr>
      <w:r>
        <w:rPr>
          <w:rFonts w:eastAsia="仿宋_GB2312"/>
          <w:szCs w:val="32"/>
        </w:rPr>
        <w:t>本指导原则是在现行法规和标准体系以及当前认知水平下制定的，随着法规和标准的不断完善，以及科学技术的不断发展，本指导原则相关内容也将进行适时的调整。</w:t>
      </w:r>
    </w:p>
    <w:p w14:paraId="4A0A4911" w14:textId="77777777" w:rsidR="007A4F9D" w:rsidRDefault="00DB2EA0">
      <w:pPr>
        <w:spacing w:line="520" w:lineRule="exact"/>
        <w:ind w:firstLineChars="200" w:firstLine="640"/>
        <w:rPr>
          <w:rFonts w:eastAsia="黑体"/>
          <w:szCs w:val="32"/>
        </w:rPr>
      </w:pPr>
      <w:r>
        <w:rPr>
          <w:rFonts w:eastAsia="黑体"/>
          <w:szCs w:val="32"/>
        </w:rPr>
        <w:t>一、适用范围</w:t>
      </w:r>
    </w:p>
    <w:p w14:paraId="5DCF03C6" w14:textId="77777777" w:rsidR="007A4F9D" w:rsidRDefault="00DB2EA0">
      <w:pPr>
        <w:spacing w:line="520" w:lineRule="exact"/>
        <w:ind w:firstLineChars="200" w:firstLine="640"/>
        <w:rPr>
          <w:rFonts w:eastAsia="仿宋_GB2312"/>
          <w:szCs w:val="32"/>
        </w:rPr>
      </w:pPr>
      <w:r>
        <w:rPr>
          <w:rFonts w:eastAsia="仿宋_GB2312"/>
          <w:szCs w:val="32"/>
        </w:rPr>
        <w:t>本指导原则适用于利用化学改性作用改变牙齿、修复体表面性状，</w:t>
      </w:r>
      <w:r>
        <w:rPr>
          <w:rFonts w:eastAsia="仿宋_GB2312" w:hint="eastAsia"/>
          <w:szCs w:val="32"/>
        </w:rPr>
        <w:t>用于</w:t>
      </w:r>
      <w:r>
        <w:rPr>
          <w:rFonts w:eastAsia="仿宋_GB2312"/>
          <w:szCs w:val="32"/>
        </w:rPr>
        <w:t>牙齿、树脂、陶瓷、金属修复体等的表面处</w:t>
      </w:r>
      <w:r>
        <w:rPr>
          <w:rFonts w:eastAsia="仿宋_GB2312"/>
          <w:szCs w:val="32"/>
        </w:rPr>
        <w:t>理，以提高修复体之间或者正畸治疗中的粘结力</w:t>
      </w:r>
      <w:r>
        <w:rPr>
          <w:rFonts w:eastAsia="仿宋_GB2312" w:hint="eastAsia"/>
          <w:szCs w:val="32"/>
        </w:rPr>
        <w:t>的预处理剂产品。产品</w:t>
      </w:r>
      <w:r>
        <w:rPr>
          <w:rFonts w:eastAsia="仿宋_GB2312"/>
          <w:szCs w:val="32"/>
        </w:rPr>
        <w:t>通常为亲水基团的丙烯酸酯功能单体、硅烷偶联剂或其他成分。</w:t>
      </w:r>
    </w:p>
    <w:p w14:paraId="0F3E1D3A" w14:textId="77777777" w:rsidR="007A4F9D" w:rsidRDefault="00DB2EA0">
      <w:pPr>
        <w:spacing w:line="520" w:lineRule="exact"/>
        <w:ind w:firstLineChars="200" w:firstLine="640"/>
        <w:rPr>
          <w:rFonts w:eastAsia="仿宋_GB2312"/>
          <w:szCs w:val="32"/>
        </w:rPr>
      </w:pPr>
      <w:r>
        <w:rPr>
          <w:rFonts w:eastAsia="仿宋_GB2312" w:hint="eastAsia"/>
          <w:szCs w:val="32"/>
        </w:rPr>
        <w:t>通过光固化作用用于增强牙科修复体表面光洁度的处理剂产品不适用于本指导原则。</w:t>
      </w:r>
    </w:p>
    <w:p w14:paraId="7780E9DC" w14:textId="77777777" w:rsidR="007A4F9D" w:rsidRDefault="00DB2EA0">
      <w:pPr>
        <w:spacing w:line="520" w:lineRule="exact"/>
        <w:ind w:firstLineChars="200" w:firstLine="640"/>
        <w:rPr>
          <w:rFonts w:eastAsia="黑体"/>
          <w:szCs w:val="32"/>
        </w:rPr>
      </w:pPr>
      <w:r>
        <w:rPr>
          <w:rFonts w:eastAsia="黑体"/>
          <w:szCs w:val="32"/>
        </w:rPr>
        <w:lastRenderedPageBreak/>
        <w:t>二、注册审查要点</w:t>
      </w:r>
    </w:p>
    <w:p w14:paraId="63B3B3D6" w14:textId="77777777" w:rsidR="007A4F9D" w:rsidRDefault="00DB2EA0">
      <w:pPr>
        <w:spacing w:line="520" w:lineRule="exact"/>
        <w:ind w:firstLineChars="200" w:firstLine="640"/>
        <w:rPr>
          <w:rFonts w:eastAsia="楷体_GB2312"/>
          <w:szCs w:val="32"/>
        </w:rPr>
      </w:pPr>
      <w:r>
        <w:rPr>
          <w:rFonts w:eastAsia="楷体_GB2312"/>
          <w:szCs w:val="32"/>
        </w:rPr>
        <w:t>（一）监管信息</w:t>
      </w:r>
    </w:p>
    <w:p w14:paraId="2A4ABE0F" w14:textId="77777777" w:rsidR="007A4F9D" w:rsidRDefault="00DB2EA0">
      <w:pPr>
        <w:spacing w:line="520" w:lineRule="exact"/>
        <w:ind w:firstLineChars="200" w:firstLine="640"/>
        <w:rPr>
          <w:rFonts w:eastAsia="仿宋_GB2312"/>
          <w:szCs w:val="32"/>
        </w:rPr>
      </w:pPr>
      <w:r>
        <w:rPr>
          <w:rFonts w:eastAsia="仿宋_GB2312"/>
          <w:szCs w:val="32"/>
        </w:rPr>
        <w:t>1.</w:t>
      </w:r>
      <w:r>
        <w:rPr>
          <w:rFonts w:eastAsia="仿宋_GB2312"/>
          <w:szCs w:val="32"/>
        </w:rPr>
        <w:t>产品名称</w:t>
      </w:r>
    </w:p>
    <w:p w14:paraId="6236CB34" w14:textId="77777777" w:rsidR="007A4F9D" w:rsidRDefault="00DB2EA0">
      <w:pPr>
        <w:spacing w:line="520" w:lineRule="exact"/>
        <w:ind w:firstLineChars="200" w:firstLine="640"/>
        <w:rPr>
          <w:rFonts w:eastAsia="仿宋_GB2312"/>
          <w:szCs w:val="32"/>
        </w:rPr>
      </w:pPr>
      <w:r>
        <w:rPr>
          <w:rFonts w:eastAsia="仿宋_GB2312" w:hint="eastAsia"/>
          <w:szCs w:val="32"/>
        </w:rPr>
        <w:t>预处理剂</w:t>
      </w:r>
      <w:r>
        <w:rPr>
          <w:rFonts w:eastAsia="仿宋_GB2312"/>
          <w:szCs w:val="32"/>
        </w:rPr>
        <w:t>产品的命名需符合《医疗器械通用名称命名规则》</w:t>
      </w:r>
      <w:r>
        <w:rPr>
          <w:rFonts w:eastAsia="仿宋_GB2312" w:hint="eastAsia"/>
          <w:szCs w:val="32"/>
        </w:rPr>
        <w:t>《口腔科器械通用名称命名指导原则》</w:t>
      </w:r>
      <w:r>
        <w:rPr>
          <w:rFonts w:eastAsia="仿宋_GB2312"/>
          <w:szCs w:val="32"/>
        </w:rPr>
        <w:t>等相关规范性文件的要求。</w:t>
      </w:r>
      <w:r>
        <w:rPr>
          <w:rFonts w:eastAsia="仿宋_GB2312" w:hint="eastAsia"/>
          <w:szCs w:val="32"/>
        </w:rPr>
        <w:t>常见的产品名称举例：硅烷偶联剂、预处理剂、陶瓷表面处理剂等。</w:t>
      </w:r>
    </w:p>
    <w:p w14:paraId="0ABD50CC" w14:textId="77777777" w:rsidR="007A4F9D" w:rsidRDefault="00DB2EA0">
      <w:pPr>
        <w:spacing w:line="520" w:lineRule="exact"/>
        <w:ind w:firstLineChars="200" w:firstLine="640"/>
        <w:rPr>
          <w:rFonts w:eastAsia="仿宋_GB2312"/>
          <w:szCs w:val="32"/>
        </w:rPr>
      </w:pPr>
      <w:r>
        <w:rPr>
          <w:rFonts w:eastAsia="仿宋_GB2312"/>
          <w:szCs w:val="32"/>
        </w:rPr>
        <w:t>2.</w:t>
      </w:r>
      <w:r>
        <w:rPr>
          <w:rFonts w:eastAsia="仿宋_GB2312"/>
          <w:szCs w:val="32"/>
        </w:rPr>
        <w:t>分类编码</w:t>
      </w:r>
    </w:p>
    <w:p w14:paraId="201451BC" w14:textId="77777777" w:rsidR="007A4F9D" w:rsidRDefault="00DB2EA0">
      <w:pPr>
        <w:spacing w:line="520" w:lineRule="exact"/>
        <w:ind w:firstLineChars="200" w:firstLine="640"/>
        <w:rPr>
          <w:rFonts w:eastAsia="仿宋_GB2312"/>
          <w:szCs w:val="32"/>
        </w:rPr>
      </w:pPr>
      <w:r>
        <w:rPr>
          <w:rFonts w:eastAsia="仿宋_GB2312"/>
          <w:szCs w:val="32"/>
        </w:rPr>
        <w:t>根据《医疗器械分类目录》，</w:t>
      </w:r>
      <w:r>
        <w:rPr>
          <w:rFonts w:eastAsia="仿宋_GB2312" w:hint="eastAsia"/>
          <w:szCs w:val="32"/>
        </w:rPr>
        <w:t>分类编码为</w:t>
      </w:r>
      <w:r>
        <w:rPr>
          <w:rFonts w:eastAsia="仿宋_GB2312" w:hint="eastAsia"/>
          <w:szCs w:val="32"/>
        </w:rPr>
        <w:t>17-09-04</w:t>
      </w:r>
      <w:r>
        <w:rPr>
          <w:rFonts w:eastAsia="仿宋_GB2312" w:hint="eastAsia"/>
          <w:szCs w:val="32"/>
        </w:rPr>
        <w:t>（</w:t>
      </w:r>
      <w:r>
        <w:rPr>
          <w:rFonts w:eastAsia="仿宋_GB2312" w:hint="eastAsia"/>
          <w:szCs w:val="32"/>
        </w:rPr>
        <w:t>17</w:t>
      </w:r>
      <w:r>
        <w:rPr>
          <w:rFonts w:eastAsia="仿宋_GB2312" w:hint="eastAsia"/>
          <w:szCs w:val="32"/>
        </w:rPr>
        <w:t>口腔科器械</w:t>
      </w:r>
      <w:r>
        <w:rPr>
          <w:rFonts w:eastAsia="仿宋_GB2312" w:hint="eastAsia"/>
          <w:szCs w:val="32"/>
        </w:rPr>
        <w:t>-09</w:t>
      </w:r>
      <w:r>
        <w:rPr>
          <w:rFonts w:eastAsia="仿宋_GB2312" w:hint="eastAsia"/>
          <w:szCs w:val="32"/>
        </w:rPr>
        <w:t>口腔治疗</w:t>
      </w:r>
      <w:r>
        <w:rPr>
          <w:rFonts w:eastAsia="仿宋_GB2312" w:hint="eastAsia"/>
          <w:szCs w:val="32"/>
        </w:rPr>
        <w:t>辅助材料</w:t>
      </w:r>
      <w:r>
        <w:rPr>
          <w:rFonts w:eastAsia="仿宋_GB2312" w:hint="eastAsia"/>
          <w:szCs w:val="32"/>
        </w:rPr>
        <w:t>-04</w:t>
      </w:r>
      <w:r>
        <w:rPr>
          <w:rFonts w:eastAsia="仿宋_GB2312" w:hint="eastAsia"/>
          <w:szCs w:val="32"/>
        </w:rPr>
        <w:t>预处理剂），管理类别为</w:t>
      </w:r>
      <w:r>
        <w:rPr>
          <w:rFonts w:eastAsia="仿宋_GB2312" w:hint="eastAsia"/>
          <w:szCs w:val="32"/>
        </w:rPr>
        <w:t>II</w:t>
      </w:r>
      <w:r>
        <w:rPr>
          <w:rFonts w:eastAsia="仿宋_GB2312" w:hint="eastAsia"/>
          <w:szCs w:val="32"/>
        </w:rPr>
        <w:t>类。</w:t>
      </w:r>
    </w:p>
    <w:p w14:paraId="6A5A5A71" w14:textId="77777777" w:rsidR="007A4F9D" w:rsidRDefault="00DB2EA0">
      <w:pPr>
        <w:spacing w:line="520" w:lineRule="exact"/>
        <w:ind w:firstLineChars="200" w:firstLine="640"/>
        <w:rPr>
          <w:rFonts w:eastAsia="仿宋_GB2312"/>
          <w:szCs w:val="32"/>
        </w:rPr>
      </w:pPr>
      <w:r>
        <w:rPr>
          <w:rFonts w:eastAsia="仿宋_GB2312"/>
          <w:szCs w:val="32"/>
        </w:rPr>
        <w:t>3.</w:t>
      </w:r>
      <w:r>
        <w:rPr>
          <w:rFonts w:eastAsia="仿宋_GB2312"/>
          <w:szCs w:val="32"/>
        </w:rPr>
        <w:t>注册单元划分的原则和实例</w:t>
      </w:r>
    </w:p>
    <w:p w14:paraId="1B53CA06" w14:textId="77777777" w:rsidR="007A4F9D" w:rsidRDefault="00DB2EA0">
      <w:pPr>
        <w:spacing w:line="520" w:lineRule="exact"/>
        <w:ind w:firstLineChars="200" w:firstLine="640"/>
        <w:rPr>
          <w:rFonts w:eastAsia="仿宋_GB2312"/>
          <w:szCs w:val="32"/>
        </w:rPr>
      </w:pPr>
      <w:r>
        <w:rPr>
          <w:rFonts w:eastAsia="仿宋_GB2312"/>
          <w:szCs w:val="32"/>
        </w:rPr>
        <w:t>产品注册单元的划分需符合《医疗器械注册单元划分指导原则》的要求。</w:t>
      </w:r>
      <w:r>
        <w:rPr>
          <w:rFonts w:eastAsia="仿宋_GB2312" w:hint="eastAsia"/>
          <w:szCs w:val="32"/>
        </w:rPr>
        <w:t>原则上以产品的技术原理、结构组成、性能指标和适用范围为划分依据。</w:t>
      </w:r>
    </w:p>
    <w:p w14:paraId="7D8B29CC" w14:textId="77777777" w:rsidR="007A4F9D" w:rsidRDefault="00DB2EA0">
      <w:pPr>
        <w:spacing w:line="520" w:lineRule="exact"/>
        <w:ind w:firstLineChars="200" w:firstLine="640"/>
        <w:rPr>
          <w:rFonts w:eastAsia="仿宋_GB2312"/>
          <w:szCs w:val="32"/>
        </w:rPr>
      </w:pPr>
      <w:r>
        <w:rPr>
          <w:rFonts w:eastAsia="仿宋_GB2312" w:hint="eastAsia"/>
          <w:kern w:val="0"/>
          <w:szCs w:val="32"/>
        </w:rPr>
        <w:t>例如：产品主要组成成分不同，建议不作为同一注册单元申报；若产品组成成分和配比一致，仅包装材质不同，且包装对产品性能无影响时，可划分为同一个注册单元。</w:t>
      </w:r>
    </w:p>
    <w:p w14:paraId="7F947000" w14:textId="77777777" w:rsidR="007A4F9D" w:rsidRDefault="00DB2EA0">
      <w:pPr>
        <w:spacing w:line="520" w:lineRule="exact"/>
        <w:ind w:firstLineChars="200" w:firstLine="640"/>
        <w:rPr>
          <w:rFonts w:eastAsia="楷体_GB2312"/>
          <w:szCs w:val="32"/>
        </w:rPr>
      </w:pPr>
      <w:r>
        <w:rPr>
          <w:rFonts w:eastAsia="楷体_GB2312"/>
          <w:szCs w:val="32"/>
        </w:rPr>
        <w:t>（二）综述资料</w:t>
      </w:r>
    </w:p>
    <w:p w14:paraId="01EEA9D7" w14:textId="77777777" w:rsidR="007A4F9D" w:rsidRDefault="00DB2EA0">
      <w:pPr>
        <w:spacing w:line="520" w:lineRule="exact"/>
        <w:ind w:firstLineChars="200" w:firstLine="640"/>
        <w:rPr>
          <w:rFonts w:eastAsia="仿宋_GB2312"/>
          <w:szCs w:val="32"/>
        </w:rPr>
      </w:pPr>
      <w:r>
        <w:rPr>
          <w:rFonts w:eastAsia="仿宋_GB2312" w:hint="eastAsia"/>
          <w:szCs w:val="32"/>
        </w:rPr>
        <w:t>1.</w:t>
      </w:r>
      <w:r>
        <w:rPr>
          <w:rFonts w:eastAsia="仿宋_GB2312" w:hint="eastAsia"/>
          <w:szCs w:val="32"/>
        </w:rPr>
        <w:t>概述</w:t>
      </w:r>
    </w:p>
    <w:p w14:paraId="0A11C58D" w14:textId="77777777" w:rsidR="007A4F9D" w:rsidRDefault="00DB2EA0">
      <w:pPr>
        <w:spacing w:line="520" w:lineRule="exact"/>
        <w:ind w:firstLineChars="200" w:firstLine="640"/>
        <w:rPr>
          <w:rFonts w:eastAsia="仿宋_GB2312"/>
          <w:szCs w:val="32"/>
        </w:rPr>
      </w:pPr>
      <w:r>
        <w:rPr>
          <w:rFonts w:eastAsia="仿宋_GB2312" w:hint="eastAsia"/>
        </w:rPr>
        <w:t>申请人需描述产品的通用名称及确定依据、适用范围、</w:t>
      </w:r>
      <w:r>
        <w:rPr>
          <w:rFonts w:eastAsia="仿宋_GB2312"/>
          <w:bCs/>
          <w:szCs w:val="32"/>
        </w:rPr>
        <w:t>管理类别</w:t>
      </w:r>
      <w:r>
        <w:rPr>
          <w:rFonts w:eastAsia="仿宋_GB2312" w:hint="eastAsia"/>
        </w:rPr>
        <w:t>。</w:t>
      </w:r>
    </w:p>
    <w:p w14:paraId="4A61495E" w14:textId="77777777" w:rsidR="007A4F9D" w:rsidRDefault="00DB2EA0">
      <w:pPr>
        <w:spacing w:line="520" w:lineRule="exact"/>
        <w:ind w:firstLineChars="200" w:firstLine="640"/>
        <w:jc w:val="left"/>
        <w:rPr>
          <w:rFonts w:eastAsia="仿宋_GB2312"/>
          <w:szCs w:val="32"/>
        </w:rPr>
      </w:pPr>
      <w:r>
        <w:rPr>
          <w:rFonts w:eastAsia="仿宋_GB2312" w:hint="eastAsia"/>
          <w:szCs w:val="32"/>
        </w:rPr>
        <w:t>2.</w:t>
      </w:r>
      <w:r>
        <w:rPr>
          <w:rFonts w:eastAsia="仿宋_GB2312" w:hint="eastAsia"/>
          <w:szCs w:val="32"/>
        </w:rPr>
        <w:t>产品描述</w:t>
      </w:r>
    </w:p>
    <w:p w14:paraId="1ABBC0A7" w14:textId="77777777" w:rsidR="007A4F9D" w:rsidRDefault="00DB2EA0">
      <w:pPr>
        <w:spacing w:line="520" w:lineRule="exact"/>
        <w:ind w:firstLineChars="200" w:firstLine="640"/>
        <w:jc w:val="left"/>
        <w:rPr>
          <w:rFonts w:eastAsia="仿宋_GB2312"/>
          <w:szCs w:val="32"/>
        </w:rPr>
      </w:pPr>
      <w:r>
        <w:rPr>
          <w:rFonts w:eastAsia="仿宋_GB2312" w:hint="eastAsia"/>
          <w:szCs w:val="32"/>
        </w:rPr>
        <w:t>2.1</w:t>
      </w:r>
      <w:r>
        <w:rPr>
          <w:rFonts w:eastAsia="仿宋_GB2312" w:hint="eastAsia"/>
          <w:szCs w:val="32"/>
        </w:rPr>
        <w:t>工作原理</w:t>
      </w:r>
    </w:p>
    <w:p w14:paraId="4F4C6E6F" w14:textId="77777777" w:rsidR="007A4F9D" w:rsidRDefault="00DB2EA0">
      <w:pPr>
        <w:spacing w:line="520" w:lineRule="exact"/>
        <w:ind w:firstLineChars="200" w:firstLine="640"/>
        <w:jc w:val="left"/>
        <w:rPr>
          <w:rFonts w:eastAsia="仿宋_GB2312"/>
          <w:szCs w:val="32"/>
        </w:rPr>
      </w:pPr>
      <w:r>
        <w:rPr>
          <w:rFonts w:eastAsia="仿宋_GB2312"/>
          <w:szCs w:val="32"/>
        </w:rPr>
        <w:t>利用其化学改性作用改变牙齿、修复体表面性状，用于牙齿、树脂、陶瓷、金属修复体等的表面处理，以提高修复</w:t>
      </w:r>
      <w:r>
        <w:rPr>
          <w:rFonts w:eastAsia="仿宋_GB2312"/>
          <w:szCs w:val="32"/>
        </w:rPr>
        <w:lastRenderedPageBreak/>
        <w:t>体之间或者正畸治疗中的粘</w:t>
      </w:r>
      <w:r>
        <w:rPr>
          <w:rFonts w:eastAsia="仿宋_GB2312" w:hint="eastAsia"/>
          <w:szCs w:val="32"/>
        </w:rPr>
        <w:t>接</w:t>
      </w:r>
      <w:r>
        <w:rPr>
          <w:rFonts w:eastAsia="仿宋_GB2312"/>
          <w:szCs w:val="32"/>
        </w:rPr>
        <w:t>力。</w:t>
      </w:r>
    </w:p>
    <w:p w14:paraId="0C451C7D" w14:textId="77777777" w:rsidR="007A4F9D" w:rsidRDefault="00DB2EA0">
      <w:pPr>
        <w:spacing w:line="520" w:lineRule="exact"/>
        <w:ind w:firstLineChars="200" w:firstLine="640"/>
        <w:jc w:val="left"/>
        <w:rPr>
          <w:rFonts w:eastAsia="仿宋_GB2312"/>
          <w:szCs w:val="32"/>
        </w:rPr>
      </w:pPr>
      <w:r>
        <w:rPr>
          <w:rFonts w:eastAsia="仿宋_GB2312"/>
          <w:szCs w:val="32"/>
        </w:rPr>
        <w:t>不同类型的</w:t>
      </w:r>
      <w:r>
        <w:rPr>
          <w:rFonts w:eastAsia="仿宋_GB2312" w:hint="eastAsia"/>
          <w:szCs w:val="32"/>
        </w:rPr>
        <w:t>预处理剂产品的</w:t>
      </w:r>
      <w:r>
        <w:rPr>
          <w:rFonts w:eastAsia="仿宋_GB2312"/>
          <w:szCs w:val="32"/>
        </w:rPr>
        <w:t>原理、反应过程</w:t>
      </w:r>
      <w:r>
        <w:rPr>
          <w:rFonts w:eastAsia="仿宋_GB2312" w:hint="eastAsia"/>
          <w:szCs w:val="32"/>
        </w:rPr>
        <w:t>可能</w:t>
      </w:r>
      <w:r>
        <w:rPr>
          <w:rFonts w:eastAsia="仿宋_GB2312"/>
          <w:szCs w:val="32"/>
        </w:rPr>
        <w:t>不相同，其</w:t>
      </w:r>
      <w:r>
        <w:rPr>
          <w:rFonts w:eastAsia="仿宋_GB2312" w:hint="eastAsia"/>
          <w:szCs w:val="32"/>
        </w:rPr>
        <w:t>工作原理的</w:t>
      </w:r>
      <w:r>
        <w:rPr>
          <w:rFonts w:eastAsia="仿宋_GB2312"/>
          <w:szCs w:val="32"/>
        </w:rPr>
        <w:t>描述应与研究资料、产品技术要求相对应。</w:t>
      </w:r>
      <w:r>
        <w:rPr>
          <w:rFonts w:eastAsia="仿宋_GB2312" w:hint="eastAsia"/>
          <w:szCs w:val="32"/>
        </w:rPr>
        <w:t>以硅烷偶联剂为例，硅烷偶联剂分子含有两个官能团：硅烷偶联剂分子含有两类官能团：甲基丙烯酸酯基</w:t>
      </w:r>
      <w:r>
        <w:rPr>
          <w:rFonts w:eastAsia="仿宋_GB2312" w:hint="eastAsia"/>
          <w:szCs w:val="32"/>
        </w:rPr>
        <w:t>（</w:t>
      </w:r>
      <w:r>
        <w:rPr>
          <w:rFonts w:eastAsia="仿宋_GB2312" w:hint="eastAsia"/>
          <w:szCs w:val="32"/>
        </w:rPr>
        <w:t>CH</w:t>
      </w:r>
      <w:r>
        <w:rPr>
          <w:rFonts w:eastAsia="仿宋_GB2312" w:hint="eastAsia"/>
          <w:szCs w:val="32"/>
          <w:vertAlign w:val="subscript"/>
        </w:rPr>
        <w:t>2=</w:t>
      </w:r>
      <w:r>
        <w:rPr>
          <w:rFonts w:eastAsia="仿宋_GB2312" w:hint="eastAsia"/>
          <w:szCs w:val="32"/>
        </w:rPr>
        <w:t>C(CH</w:t>
      </w:r>
      <w:r>
        <w:rPr>
          <w:rFonts w:eastAsia="仿宋_GB2312" w:hint="eastAsia"/>
          <w:szCs w:val="32"/>
          <w:vertAlign w:val="subscript"/>
        </w:rPr>
        <w:t>3</w:t>
      </w:r>
      <w:r>
        <w:rPr>
          <w:rFonts w:eastAsia="仿宋_GB2312" w:hint="eastAsia"/>
          <w:szCs w:val="32"/>
        </w:rPr>
        <w:t>）</w:t>
      </w:r>
      <w:r>
        <w:rPr>
          <w:rFonts w:eastAsia="仿宋_GB2312" w:hint="eastAsia"/>
          <w:szCs w:val="32"/>
        </w:rPr>
        <w:t>COO-)</w:t>
      </w:r>
      <w:r>
        <w:rPr>
          <w:rFonts w:eastAsia="仿宋_GB2312" w:hint="eastAsia"/>
          <w:szCs w:val="32"/>
        </w:rPr>
        <w:t>）</w:t>
      </w:r>
      <w:r>
        <w:rPr>
          <w:rFonts w:eastAsia="仿宋_GB2312" w:hint="eastAsia"/>
          <w:szCs w:val="32"/>
        </w:rPr>
        <w:t>与烷氧基硅基</w:t>
      </w:r>
      <w:r>
        <w:rPr>
          <w:rFonts w:eastAsia="仿宋_GB2312" w:hint="eastAsia"/>
          <w:szCs w:val="32"/>
        </w:rPr>
        <w:t>-Si(OR)</w:t>
      </w:r>
      <w:r>
        <w:rPr>
          <w:rFonts w:hint="eastAsia"/>
          <w:vertAlign w:val="subscript"/>
        </w:rPr>
        <w:t>3</w:t>
      </w:r>
      <w:r>
        <w:rPr>
          <w:rFonts w:eastAsia="仿宋_GB2312" w:hint="eastAsia"/>
          <w:szCs w:val="32"/>
        </w:rPr>
        <w:t>，</w:t>
      </w:r>
      <w:r>
        <w:rPr>
          <w:rFonts w:eastAsia="仿宋_GB2312" w:hint="eastAsia"/>
          <w:szCs w:val="32"/>
        </w:rPr>
        <w:t>-Si(OR)</w:t>
      </w:r>
      <w:r>
        <w:rPr>
          <w:rFonts w:hint="eastAsia"/>
          <w:vertAlign w:val="subscript"/>
        </w:rPr>
        <w:t>3</w:t>
      </w:r>
      <w:r>
        <w:rPr>
          <w:rFonts w:eastAsia="仿宋_GB2312" w:hint="eastAsia"/>
          <w:szCs w:val="32"/>
        </w:rPr>
        <w:t>在微量酸性化合物催化条件下水解，生成具有反应活性的硅羟基（</w:t>
      </w:r>
      <w:r>
        <w:rPr>
          <w:rFonts w:eastAsia="仿宋_GB2312" w:hint="eastAsia"/>
          <w:szCs w:val="32"/>
        </w:rPr>
        <w:t>-Si-OH</w:t>
      </w:r>
      <w:r>
        <w:rPr>
          <w:rFonts w:eastAsia="仿宋_GB2312" w:hint="eastAsia"/>
          <w:szCs w:val="32"/>
        </w:rPr>
        <w:t>）。硅羟基（</w:t>
      </w:r>
      <w:r>
        <w:rPr>
          <w:rFonts w:eastAsia="仿宋_GB2312" w:hint="eastAsia"/>
          <w:szCs w:val="32"/>
        </w:rPr>
        <w:t>-Si-OH</w:t>
      </w:r>
      <w:r>
        <w:rPr>
          <w:rFonts w:eastAsia="仿宋_GB2312" w:hint="eastAsia"/>
          <w:szCs w:val="32"/>
        </w:rPr>
        <w:t>）可与玻璃基瓷</w:t>
      </w:r>
      <w:r>
        <w:rPr>
          <w:rFonts w:eastAsia="仿宋_GB2312" w:hint="eastAsia"/>
          <w:szCs w:val="32"/>
        </w:rPr>
        <w:t>（如二硅酸锂等硅酸盐陶瓷）表面二氧化硅位点发生脱水缩合，形成</w:t>
      </w:r>
      <w:r>
        <w:rPr>
          <w:rFonts w:eastAsia="仿宋_GB2312" w:hint="eastAsia"/>
          <w:szCs w:val="32"/>
        </w:rPr>
        <w:t>Si-O-Si</w:t>
      </w:r>
      <w:r>
        <w:rPr>
          <w:rFonts w:eastAsia="仿宋_GB2312" w:hint="eastAsia"/>
          <w:szCs w:val="32"/>
        </w:rPr>
        <w:t>共价键；硅烷偶联剂分子另一端的甲基丙烯酸酯基团，能够与树脂水门汀中的丙烯酸酯单体发生共聚反应。借助上述双向键合作用，硅烷偶联剂可提升牙科玻璃基瓷修复体与树脂水门汀之间的粘接</w:t>
      </w:r>
      <w:r>
        <w:rPr>
          <w:rFonts w:eastAsia="仿宋_GB2312" w:hint="eastAsia"/>
          <w:szCs w:val="32"/>
        </w:rPr>
        <w:t>强度</w:t>
      </w:r>
      <w:r>
        <w:rPr>
          <w:rFonts w:eastAsia="仿宋_GB2312" w:hint="eastAsia"/>
          <w:szCs w:val="32"/>
        </w:rPr>
        <w:t>。</w:t>
      </w:r>
    </w:p>
    <w:p w14:paraId="768ABB9A" w14:textId="77777777" w:rsidR="007A4F9D" w:rsidRDefault="00DB2EA0">
      <w:pPr>
        <w:spacing w:line="520" w:lineRule="exact"/>
        <w:ind w:firstLineChars="200" w:firstLine="640"/>
        <w:jc w:val="left"/>
        <w:rPr>
          <w:rFonts w:eastAsia="仿宋_GB2312"/>
          <w:szCs w:val="32"/>
        </w:rPr>
      </w:pPr>
      <w:r>
        <w:rPr>
          <w:rFonts w:eastAsia="仿宋_GB2312" w:hint="eastAsia"/>
          <w:szCs w:val="32"/>
        </w:rPr>
        <w:t>2.2</w:t>
      </w:r>
      <w:r>
        <w:rPr>
          <w:rFonts w:eastAsia="仿宋_GB2312" w:hint="eastAsia"/>
          <w:szCs w:val="32"/>
        </w:rPr>
        <w:t>结构及组成</w:t>
      </w:r>
    </w:p>
    <w:p w14:paraId="380AD16E" w14:textId="77777777" w:rsidR="007A4F9D" w:rsidRDefault="00DB2EA0">
      <w:pPr>
        <w:spacing w:line="520" w:lineRule="exact"/>
        <w:ind w:firstLineChars="200" w:firstLine="640"/>
        <w:rPr>
          <w:rFonts w:eastAsia="仿宋_GB2312"/>
          <w:szCs w:val="32"/>
        </w:rPr>
      </w:pPr>
      <w:r>
        <w:rPr>
          <w:rFonts w:eastAsia="仿宋_GB2312" w:hint="eastAsia"/>
          <w:szCs w:val="32"/>
        </w:rPr>
        <w:t>产品通常为亲水基团的丙烯酸酯功能单体、硅烷偶联剂或其他成分。</w:t>
      </w:r>
    </w:p>
    <w:p w14:paraId="2543D99E" w14:textId="77777777" w:rsidR="007A4F9D" w:rsidRDefault="00DB2EA0">
      <w:pPr>
        <w:spacing w:line="520" w:lineRule="exact"/>
        <w:ind w:firstLineChars="200" w:firstLine="640"/>
      </w:pPr>
      <w:r>
        <w:rPr>
          <w:rFonts w:eastAsia="仿宋_GB2312" w:hint="eastAsia"/>
          <w:szCs w:val="32"/>
        </w:rPr>
        <w:t>结构组成中应明确产品各组分的化学名称。应描述产品性状，按照百分比列出所有组分的成分及含量，并注明各组分的化学名称、结构式</w:t>
      </w:r>
      <w:r>
        <w:rPr>
          <w:rFonts w:eastAsia="仿宋_GB2312" w:hint="eastAsia"/>
          <w:bCs/>
          <w:szCs w:val="32"/>
        </w:rPr>
        <w:t>（</w:t>
      </w:r>
      <w:r>
        <w:rPr>
          <w:rFonts w:eastAsia="仿宋_GB2312" w:hint="eastAsia"/>
          <w:szCs w:val="32"/>
        </w:rPr>
        <w:t>如适用</w:t>
      </w:r>
      <w:r>
        <w:rPr>
          <w:rFonts w:eastAsia="仿宋_GB2312" w:hint="eastAsia"/>
          <w:bCs/>
          <w:szCs w:val="32"/>
        </w:rPr>
        <w:t>）</w:t>
      </w:r>
      <w:r>
        <w:rPr>
          <w:rFonts w:eastAsia="仿宋_GB2312" w:hint="eastAsia"/>
          <w:szCs w:val="32"/>
        </w:rPr>
        <w:t>、各组分在产品中的作用，</w:t>
      </w:r>
      <w:r>
        <w:rPr>
          <w:rFonts w:eastAsia="仿宋_GB2312"/>
          <w:szCs w:val="28"/>
        </w:rPr>
        <w:t>说明各组分的质控要求及选</w:t>
      </w:r>
      <w:r>
        <w:rPr>
          <w:rFonts w:eastAsia="仿宋_GB2312"/>
          <w:szCs w:val="28"/>
        </w:rPr>
        <w:t>材依据。</w:t>
      </w:r>
    </w:p>
    <w:p w14:paraId="5AF616A6" w14:textId="77777777" w:rsidR="007A4F9D" w:rsidRDefault="00DB2EA0">
      <w:pPr>
        <w:spacing w:line="520" w:lineRule="exact"/>
        <w:ind w:firstLineChars="200" w:firstLine="640"/>
        <w:jc w:val="left"/>
        <w:rPr>
          <w:rFonts w:eastAsia="仿宋_GB2312"/>
          <w:bCs/>
          <w:szCs w:val="32"/>
        </w:rPr>
      </w:pPr>
      <w:r>
        <w:rPr>
          <w:rFonts w:eastAsia="仿宋_GB2312" w:hint="eastAsia"/>
          <w:bCs/>
          <w:szCs w:val="32"/>
        </w:rPr>
        <w:t>应说明包装内是否有配件如</w:t>
      </w:r>
      <w:r>
        <w:rPr>
          <w:rFonts w:eastAsia="仿宋_GB2312" w:hint="eastAsia"/>
          <w:szCs w:val="32"/>
        </w:rPr>
        <w:t>推注器等</w:t>
      </w:r>
      <w:r>
        <w:rPr>
          <w:rFonts w:eastAsia="仿宋_GB2312" w:hint="eastAsia"/>
          <w:bCs/>
          <w:szCs w:val="32"/>
        </w:rPr>
        <w:t>。</w:t>
      </w:r>
    </w:p>
    <w:p w14:paraId="592DB8A8" w14:textId="77777777" w:rsidR="007A4F9D" w:rsidRDefault="00DB2EA0">
      <w:pPr>
        <w:spacing w:line="520" w:lineRule="exact"/>
        <w:ind w:firstLineChars="200" w:firstLine="640"/>
        <w:rPr>
          <w:rFonts w:eastAsia="仿宋_GB2312"/>
          <w:szCs w:val="32"/>
        </w:rPr>
      </w:pPr>
      <w:r>
        <w:rPr>
          <w:rFonts w:eastAsia="仿宋_GB2312" w:hint="eastAsia"/>
          <w:szCs w:val="32"/>
        </w:rPr>
        <w:t>2.3</w:t>
      </w:r>
      <w:r>
        <w:rPr>
          <w:rFonts w:eastAsia="仿宋_GB2312" w:hint="eastAsia"/>
          <w:szCs w:val="32"/>
        </w:rPr>
        <w:t>型号规格</w:t>
      </w:r>
    </w:p>
    <w:p w14:paraId="27A91E13" w14:textId="77777777" w:rsidR="007A4F9D" w:rsidRDefault="00DB2EA0">
      <w:pPr>
        <w:spacing w:line="520" w:lineRule="exact"/>
        <w:ind w:firstLineChars="200" w:firstLine="640"/>
        <w:rPr>
          <w:rFonts w:eastAsia="仿宋_GB2312"/>
          <w:szCs w:val="32"/>
        </w:rPr>
      </w:pPr>
      <w:r>
        <w:rPr>
          <w:rFonts w:eastAsia="仿宋_GB2312" w:hint="eastAsia"/>
          <w:szCs w:val="32"/>
        </w:rPr>
        <w:t>对于存在多种型号规格的产品，应当明确各型号规格的区别。应当采用对比表及带有说明性文字的图片、图表，描述各种型号规格的结构组成、功能、产品特征和性能指标等内容。</w:t>
      </w:r>
    </w:p>
    <w:p w14:paraId="186EBF8D" w14:textId="77777777" w:rsidR="007A4F9D" w:rsidRDefault="00DB2EA0">
      <w:pPr>
        <w:pStyle w:val="3"/>
        <w:ind w:leftChars="0" w:left="0" w:firstLineChars="200" w:firstLine="640"/>
        <w:rPr>
          <w:rFonts w:ascii="Times New Roman" w:eastAsia="仿宋_GB2312" w:hAnsi="Times New Roman" w:hint="default"/>
          <w:szCs w:val="32"/>
        </w:rPr>
      </w:pPr>
      <w:r>
        <w:rPr>
          <w:rFonts w:ascii="Times New Roman" w:eastAsia="仿宋_GB2312" w:hAnsi="Times New Roman"/>
          <w:szCs w:val="32"/>
        </w:rPr>
        <w:lastRenderedPageBreak/>
        <w:t>2</w:t>
      </w:r>
      <w:r>
        <w:rPr>
          <w:rFonts w:ascii="Times New Roman" w:eastAsia="仿宋_GB2312" w:hAnsi="Times New Roman" w:hint="default"/>
          <w:szCs w:val="32"/>
        </w:rPr>
        <w:t>.4</w:t>
      </w:r>
      <w:r>
        <w:rPr>
          <w:rFonts w:ascii="Times New Roman" w:eastAsia="仿宋_GB2312" w:hAnsi="Times New Roman" w:hint="default"/>
          <w:szCs w:val="32"/>
        </w:rPr>
        <w:t>包装说明</w:t>
      </w:r>
    </w:p>
    <w:p w14:paraId="2B05C634" w14:textId="77777777" w:rsidR="007A4F9D" w:rsidRDefault="00DB2EA0">
      <w:pPr>
        <w:spacing w:line="520" w:lineRule="exact"/>
        <w:ind w:firstLineChars="200" w:firstLine="640"/>
        <w:rPr>
          <w:rFonts w:eastAsia="仿宋_GB2312"/>
          <w:szCs w:val="32"/>
        </w:rPr>
      </w:pPr>
      <w:r>
        <w:rPr>
          <w:rFonts w:eastAsia="仿宋_GB2312"/>
          <w:szCs w:val="32"/>
        </w:rPr>
        <w:t>说明所有产品组成的包装信息，</w:t>
      </w:r>
      <w:r>
        <w:rPr>
          <w:rFonts w:eastAsia="仿宋_GB2312" w:hint="eastAsia"/>
          <w:szCs w:val="32"/>
        </w:rPr>
        <w:t>明确</w:t>
      </w:r>
      <w:r>
        <w:rPr>
          <w:rFonts w:eastAsia="仿宋_GB2312"/>
          <w:szCs w:val="32"/>
        </w:rPr>
        <w:t>如何确保最终使用者可清晰地辨识包装的完整性。</w:t>
      </w:r>
    </w:p>
    <w:p w14:paraId="1DF36EA2" w14:textId="77777777" w:rsidR="007A4F9D" w:rsidRDefault="00DB2EA0">
      <w:pPr>
        <w:spacing w:line="520" w:lineRule="exact"/>
        <w:ind w:firstLineChars="200" w:firstLine="640"/>
        <w:rPr>
          <w:rFonts w:eastAsia="仿宋_GB2312"/>
          <w:szCs w:val="32"/>
        </w:rPr>
      </w:pPr>
      <w:r>
        <w:rPr>
          <w:rFonts w:eastAsia="仿宋_GB2312" w:hint="eastAsia"/>
          <w:szCs w:val="32"/>
        </w:rPr>
        <w:t>2</w:t>
      </w:r>
      <w:r>
        <w:rPr>
          <w:rFonts w:eastAsia="仿宋_GB2312"/>
          <w:szCs w:val="32"/>
        </w:rPr>
        <w:t>.5</w:t>
      </w:r>
      <w:r>
        <w:rPr>
          <w:rFonts w:eastAsia="仿宋_GB2312"/>
          <w:szCs w:val="32"/>
        </w:rPr>
        <w:t>研发历程</w:t>
      </w:r>
    </w:p>
    <w:p w14:paraId="77C70A1C" w14:textId="77777777" w:rsidR="007A4F9D" w:rsidRDefault="00DB2EA0">
      <w:pPr>
        <w:spacing w:line="520" w:lineRule="exact"/>
        <w:ind w:firstLineChars="200" w:firstLine="640"/>
        <w:rPr>
          <w:rFonts w:eastAsia="仿宋_GB2312"/>
          <w:szCs w:val="32"/>
        </w:rPr>
      </w:pPr>
      <w:r>
        <w:rPr>
          <w:rFonts w:eastAsia="仿宋_GB2312"/>
          <w:szCs w:val="32"/>
        </w:rPr>
        <w:t>阐述申请注册产品的研发背景和目的。如有参考的同类产品或前代产品（如有），应当提供同类产品或前代产品的信息，并说明选择其作为研发参考的原因。</w:t>
      </w:r>
    </w:p>
    <w:p w14:paraId="7351F4DB" w14:textId="77777777" w:rsidR="007A4F9D" w:rsidRDefault="00DB2EA0">
      <w:pPr>
        <w:spacing w:line="520" w:lineRule="exact"/>
        <w:ind w:firstLineChars="200" w:firstLine="640"/>
        <w:rPr>
          <w:rFonts w:eastAsia="仿宋_GB2312"/>
          <w:szCs w:val="32"/>
        </w:rPr>
      </w:pPr>
      <w:r>
        <w:rPr>
          <w:rFonts w:eastAsia="仿宋_GB2312" w:hint="eastAsia"/>
          <w:szCs w:val="32"/>
        </w:rPr>
        <w:t>2</w:t>
      </w:r>
      <w:r>
        <w:rPr>
          <w:rFonts w:eastAsia="仿宋_GB2312"/>
          <w:szCs w:val="32"/>
        </w:rPr>
        <w:t>.6</w:t>
      </w:r>
      <w:r>
        <w:rPr>
          <w:rFonts w:eastAsia="仿宋_GB2312"/>
          <w:szCs w:val="32"/>
        </w:rPr>
        <w:t>与同类和</w:t>
      </w:r>
      <w:r>
        <w:rPr>
          <w:rFonts w:eastAsia="仿宋_GB2312"/>
          <w:szCs w:val="32"/>
        </w:rPr>
        <w:t>/</w:t>
      </w:r>
      <w:r>
        <w:rPr>
          <w:rFonts w:eastAsia="仿宋_GB2312"/>
          <w:szCs w:val="32"/>
        </w:rPr>
        <w:t>或前代产品的参考和比较</w:t>
      </w:r>
    </w:p>
    <w:p w14:paraId="146A9851" w14:textId="77777777" w:rsidR="007A4F9D" w:rsidRDefault="00DB2EA0">
      <w:pPr>
        <w:spacing w:line="520" w:lineRule="exact"/>
        <w:ind w:firstLineChars="200" w:firstLine="640"/>
        <w:rPr>
          <w:rFonts w:eastAsia="仿宋_GB2312"/>
          <w:szCs w:val="32"/>
        </w:rPr>
      </w:pPr>
      <w:r>
        <w:rPr>
          <w:rFonts w:eastAsia="仿宋_GB2312"/>
          <w:szCs w:val="32"/>
        </w:rPr>
        <w:t>列表比较说明申报产品与同类产品和</w:t>
      </w:r>
      <w:r>
        <w:rPr>
          <w:rFonts w:eastAsia="仿宋_GB2312"/>
          <w:szCs w:val="32"/>
        </w:rPr>
        <w:t>/</w:t>
      </w:r>
      <w:r>
        <w:rPr>
          <w:rFonts w:eastAsia="仿宋_GB2312"/>
          <w:szCs w:val="32"/>
        </w:rPr>
        <w:t>或前代产品（如有）在工作原理、结构组成、制造材料、性能指标，以及适用范围等方面的异同。</w:t>
      </w:r>
    </w:p>
    <w:p w14:paraId="609217DA"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w:t>
      </w:r>
      <w:r>
        <w:rPr>
          <w:rFonts w:eastAsia="仿宋_GB2312"/>
          <w:szCs w:val="32"/>
        </w:rPr>
        <w:t>适用范围</w:t>
      </w:r>
      <w:r>
        <w:rPr>
          <w:rFonts w:eastAsia="仿宋_GB2312" w:hint="eastAsia"/>
          <w:szCs w:val="32"/>
        </w:rPr>
        <w:t>和</w:t>
      </w:r>
      <w:r>
        <w:rPr>
          <w:rFonts w:eastAsia="仿宋_GB2312"/>
          <w:szCs w:val="32"/>
        </w:rPr>
        <w:t>禁忌证</w:t>
      </w:r>
    </w:p>
    <w:p w14:paraId="463C1EB1" w14:textId="77777777" w:rsidR="007A4F9D" w:rsidRDefault="00DB2EA0">
      <w:pPr>
        <w:spacing w:line="520" w:lineRule="exact"/>
        <w:ind w:firstLineChars="200" w:firstLine="640"/>
        <w:rPr>
          <w:rFonts w:eastAsia="仿宋_GB2312"/>
          <w:szCs w:val="32"/>
        </w:rPr>
      </w:pPr>
      <w:r>
        <w:rPr>
          <w:rFonts w:eastAsia="仿宋_GB2312" w:hint="eastAsia"/>
          <w:szCs w:val="32"/>
        </w:rPr>
        <w:t>3.1.1</w:t>
      </w:r>
      <w:r>
        <w:rPr>
          <w:rFonts w:eastAsia="仿宋_GB2312" w:hint="eastAsia"/>
          <w:szCs w:val="32"/>
        </w:rPr>
        <w:t>适用范围：用于牙齿、树脂、陶瓷、金属修复体等的表面处理。利用其化学改性作用改变牙齿、修复体表面性状。在适用范围描述时需根据产品实际的工作原理明确产品适用的处理对象类型（如牙齿、树脂、陶瓷、金属修复体）。</w:t>
      </w:r>
    </w:p>
    <w:p w14:paraId="15C54847"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.1.2</w:t>
      </w:r>
      <w:r>
        <w:rPr>
          <w:rFonts w:eastAsia="仿宋_GB2312"/>
          <w:szCs w:val="32"/>
        </w:rPr>
        <w:t>明确目标用户及其操作或使用该产品应当具备的技能</w:t>
      </w:r>
      <w:r>
        <w:rPr>
          <w:rFonts w:eastAsia="仿宋_GB2312"/>
          <w:szCs w:val="32"/>
        </w:rPr>
        <w:t>/</w:t>
      </w:r>
      <w:r>
        <w:rPr>
          <w:rFonts w:eastAsia="仿宋_GB2312"/>
          <w:szCs w:val="32"/>
        </w:rPr>
        <w:t>知识</w:t>
      </w:r>
      <w:r>
        <w:rPr>
          <w:rFonts w:eastAsia="仿宋_GB2312"/>
          <w:szCs w:val="32"/>
        </w:rPr>
        <w:t>/</w:t>
      </w:r>
      <w:r>
        <w:rPr>
          <w:rFonts w:eastAsia="仿宋_GB2312"/>
          <w:szCs w:val="32"/>
        </w:rPr>
        <w:t>培训。</w:t>
      </w:r>
    </w:p>
    <w:p w14:paraId="762849DF" w14:textId="77777777" w:rsidR="007A4F9D" w:rsidRDefault="00DB2EA0">
      <w:pPr>
        <w:adjustRightInd w:val="0"/>
        <w:snapToGrid w:val="0"/>
        <w:spacing w:line="520" w:lineRule="exact"/>
        <w:ind w:firstLineChars="200" w:firstLine="640"/>
        <w:rPr>
          <w:rFonts w:eastAsia="宋体"/>
          <w:szCs w:val="32"/>
        </w:rPr>
      </w:pPr>
      <w:r>
        <w:rPr>
          <w:rFonts w:eastAsia="仿宋_GB2312" w:hint="eastAsia"/>
          <w:szCs w:val="32"/>
        </w:rPr>
        <w:t>3.2</w:t>
      </w:r>
      <w:r>
        <w:rPr>
          <w:rFonts w:eastAsia="仿宋_GB2312" w:hint="eastAsia"/>
          <w:szCs w:val="32"/>
        </w:rPr>
        <w:t>预期使用环境：应明确产品使用场所（如</w:t>
      </w:r>
      <w:r>
        <w:rPr>
          <w:rFonts w:eastAsia="仿宋_GB2312"/>
          <w:szCs w:val="32"/>
        </w:rPr>
        <w:t>医疗机构</w:t>
      </w:r>
      <w:r>
        <w:rPr>
          <w:rFonts w:eastAsia="仿宋_GB2312" w:hint="eastAsia"/>
          <w:szCs w:val="32"/>
        </w:rPr>
        <w:t>、牙科诊所），</w:t>
      </w:r>
      <w:r>
        <w:rPr>
          <w:rFonts w:eastAsia="仿宋_GB2312"/>
          <w:szCs w:val="32"/>
        </w:rPr>
        <w:t>说明可能影响其安全</w:t>
      </w:r>
      <w:r>
        <w:rPr>
          <w:rFonts w:eastAsia="仿宋_GB2312"/>
          <w:szCs w:val="32"/>
        </w:rPr>
        <w:t>性和有效性的环境条件</w:t>
      </w:r>
      <w:r>
        <w:rPr>
          <w:rFonts w:eastAsia="仿宋_GB2312" w:hint="eastAsia"/>
          <w:szCs w:val="32"/>
        </w:rPr>
        <w:t>。</w:t>
      </w:r>
    </w:p>
    <w:p w14:paraId="644557F9" w14:textId="77777777" w:rsidR="007A4F9D" w:rsidRDefault="00DB2EA0">
      <w:pPr>
        <w:spacing w:line="520" w:lineRule="exact"/>
        <w:ind w:firstLineChars="200" w:firstLine="640"/>
        <w:rPr>
          <w:rFonts w:eastAsia="仿宋_GB2312"/>
          <w:szCs w:val="32"/>
        </w:rPr>
      </w:pPr>
      <w:r>
        <w:rPr>
          <w:rFonts w:eastAsia="仿宋_GB2312" w:hint="eastAsia"/>
          <w:szCs w:val="32"/>
        </w:rPr>
        <w:t>3.3</w:t>
      </w:r>
      <w:r>
        <w:rPr>
          <w:rFonts w:eastAsia="仿宋_GB2312" w:hint="eastAsia"/>
          <w:szCs w:val="32"/>
        </w:rPr>
        <w:t>适用人群：明确目标患者人群信息、患者选择标准信息以及明确使用过程中需要考虑的因素。</w:t>
      </w:r>
    </w:p>
    <w:p w14:paraId="7FC0C735" w14:textId="77777777" w:rsidR="007A4F9D" w:rsidRDefault="00DB2EA0">
      <w:pPr>
        <w:spacing w:line="520" w:lineRule="exact"/>
        <w:ind w:firstLineChars="200" w:firstLine="640"/>
        <w:rPr>
          <w:rFonts w:eastAsia="仿宋_GB2312"/>
          <w:szCs w:val="32"/>
        </w:rPr>
      </w:pPr>
      <w:r>
        <w:rPr>
          <w:rFonts w:eastAsia="仿宋_GB2312" w:hint="eastAsia"/>
          <w:szCs w:val="32"/>
        </w:rPr>
        <w:t>3.4</w:t>
      </w:r>
      <w:r>
        <w:rPr>
          <w:rFonts w:eastAsia="仿宋_GB2312" w:hint="eastAsia"/>
          <w:szCs w:val="32"/>
        </w:rPr>
        <w:t>禁忌证：针对某些疾病、情况或特定的人群，认为不推荐使用该产品，应当明确说明，如对产品成分过敏者禁用。</w:t>
      </w:r>
    </w:p>
    <w:p w14:paraId="1D78F44B" w14:textId="77777777" w:rsidR="007A4F9D" w:rsidRDefault="00DB2EA0">
      <w:pPr>
        <w:spacing w:line="520" w:lineRule="exact"/>
        <w:ind w:firstLineChars="200" w:firstLine="640"/>
        <w:rPr>
          <w:rFonts w:eastAsia="仿宋_GB2312"/>
          <w:szCs w:val="32"/>
        </w:rPr>
      </w:pPr>
      <w:r>
        <w:rPr>
          <w:rFonts w:eastAsia="仿宋_GB2312" w:hint="eastAsia"/>
          <w:szCs w:val="32"/>
        </w:rPr>
        <w:t>4.</w:t>
      </w:r>
      <w:r>
        <w:rPr>
          <w:rFonts w:eastAsia="仿宋_GB2312" w:hint="eastAsia"/>
          <w:szCs w:val="32"/>
        </w:rPr>
        <w:t>不良事件历史记录</w:t>
      </w:r>
    </w:p>
    <w:p w14:paraId="061A249F" w14:textId="77777777" w:rsidR="007A4F9D" w:rsidRDefault="00DB2EA0">
      <w:pPr>
        <w:spacing w:line="520" w:lineRule="exact"/>
        <w:ind w:firstLineChars="200" w:firstLine="640"/>
        <w:rPr>
          <w:rFonts w:eastAsia="仿宋_GB2312"/>
          <w:szCs w:val="32"/>
        </w:rPr>
      </w:pPr>
      <w:r>
        <w:rPr>
          <w:rFonts w:eastAsia="仿宋_GB2312" w:hint="eastAsia"/>
          <w:szCs w:val="32"/>
        </w:rPr>
        <w:lastRenderedPageBreak/>
        <w:t>注册申请人在风险分析时应关注同品种医疗器械产品的不良事件历史记录，收集包括注册注册申请人建立的投诉和不良事件资料库，以及各国监管机构发布的不良事件资料库中相应不良事件数据，并对不良事件进行分析。</w:t>
      </w:r>
    </w:p>
    <w:p w14:paraId="27AB03AC" w14:textId="77777777" w:rsidR="007A4F9D" w:rsidRDefault="00DB2EA0">
      <w:pPr>
        <w:spacing w:line="520" w:lineRule="exact"/>
        <w:ind w:firstLineChars="200" w:firstLine="640"/>
        <w:rPr>
          <w:rFonts w:eastAsia="楷体_GB2312"/>
          <w:b/>
          <w:szCs w:val="32"/>
        </w:rPr>
      </w:pPr>
      <w:r>
        <w:rPr>
          <w:rFonts w:eastAsia="楷体_GB2312"/>
          <w:szCs w:val="32"/>
        </w:rPr>
        <w:t>（三）非临床资料</w:t>
      </w:r>
    </w:p>
    <w:p w14:paraId="066079EB" w14:textId="77777777" w:rsidR="007A4F9D" w:rsidRDefault="00DB2EA0">
      <w:pPr>
        <w:spacing w:line="520" w:lineRule="exact"/>
        <w:ind w:firstLineChars="200" w:firstLine="640"/>
        <w:rPr>
          <w:rFonts w:eastAsia="仿宋_GB2312"/>
          <w:szCs w:val="32"/>
        </w:rPr>
      </w:pPr>
      <w:r>
        <w:rPr>
          <w:rFonts w:eastAsia="仿宋_GB2312"/>
          <w:szCs w:val="32"/>
        </w:rPr>
        <w:t>1.</w:t>
      </w:r>
      <w:r>
        <w:rPr>
          <w:rFonts w:eastAsia="仿宋_GB2312"/>
          <w:szCs w:val="32"/>
        </w:rPr>
        <w:t>产品风险管理资料</w:t>
      </w:r>
    </w:p>
    <w:p w14:paraId="508E8DC8" w14:textId="77777777" w:rsidR="007A4F9D" w:rsidRDefault="00DB2EA0">
      <w:pPr>
        <w:spacing w:line="520" w:lineRule="exact"/>
        <w:ind w:firstLineChars="200" w:firstLine="640"/>
        <w:rPr>
          <w:rFonts w:eastAsia="仿宋_GB2312"/>
          <w:szCs w:val="32"/>
        </w:rPr>
      </w:pPr>
      <w:r>
        <w:rPr>
          <w:rFonts w:eastAsia="仿宋_GB2312"/>
          <w:szCs w:val="32"/>
        </w:rPr>
        <w:t>注册申请人需对产品全生命周期实施风险管理，提交风险管理资料</w:t>
      </w:r>
      <w:r>
        <w:rPr>
          <w:rFonts w:eastAsia="仿宋_GB2312" w:hint="eastAsia"/>
          <w:szCs w:val="32"/>
        </w:rPr>
        <w:t>，</w:t>
      </w:r>
      <w:r>
        <w:rPr>
          <w:rFonts w:eastAsia="仿宋_GB2312"/>
          <w:szCs w:val="32"/>
        </w:rPr>
        <w:t>参照</w:t>
      </w:r>
      <w:r>
        <w:rPr>
          <w:rFonts w:eastAsia="仿宋_GB2312"/>
          <w:szCs w:val="32"/>
        </w:rPr>
        <w:t>GB/T 42062</w:t>
      </w:r>
      <w:r>
        <w:rPr>
          <w:rFonts w:eastAsia="仿宋_GB2312"/>
          <w:szCs w:val="32"/>
        </w:rPr>
        <w:t>《医疗器械风险管理对医疗器械的应用》。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14:paraId="1E210D8D" w14:textId="77777777" w:rsidR="007A4F9D" w:rsidRDefault="00DB2EA0">
      <w:pPr>
        <w:spacing w:line="520" w:lineRule="exact"/>
        <w:ind w:firstLineChars="200" w:firstLine="640"/>
        <w:rPr>
          <w:rFonts w:eastAsia="仿宋_GB2312"/>
        </w:rPr>
      </w:pPr>
      <w:r>
        <w:rPr>
          <w:rFonts w:eastAsia="仿宋_GB2312" w:hint="eastAsia"/>
        </w:rPr>
        <w:t>注册申请人应按照</w:t>
      </w:r>
      <w:r>
        <w:rPr>
          <w:rFonts w:eastAsia="仿宋_GB2312" w:hint="eastAsia"/>
        </w:rPr>
        <w:t>GB/T 42062</w:t>
      </w:r>
      <w:r>
        <w:rPr>
          <w:rFonts w:eastAsia="仿宋_GB2312" w:hint="eastAsia"/>
        </w:rPr>
        <w:t>中规定的过程和方法，在产品整个生命周期内建立、形成文件和保持一个持续的过程，用以判定与医疗器械有关的危险、估计和评价相关</w:t>
      </w:r>
      <w:r>
        <w:rPr>
          <w:rFonts w:eastAsia="仿宋_GB2312" w:hint="eastAsia"/>
        </w:rPr>
        <w:t>的风险、控制这些风险并监视上述控制的有效性，以充分保证产品的安全和有效。</w:t>
      </w:r>
    </w:p>
    <w:p w14:paraId="5AD13B67" w14:textId="77777777" w:rsidR="007A4F9D" w:rsidRDefault="00DB2EA0">
      <w:pPr>
        <w:spacing w:line="520" w:lineRule="exact"/>
        <w:ind w:rightChars="-32" w:right="-102" w:firstLineChars="200" w:firstLine="640"/>
        <w:rPr>
          <w:rFonts w:eastAsia="仿宋_GB2312"/>
          <w:szCs w:val="32"/>
        </w:rPr>
      </w:pPr>
      <w:r>
        <w:rPr>
          <w:rFonts w:eastAsia="仿宋_GB231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5B2EEA4F" w14:textId="77777777" w:rsidR="007A4F9D" w:rsidRDefault="00DB2EA0">
      <w:pPr>
        <w:spacing w:line="520" w:lineRule="exact"/>
        <w:ind w:rightChars="-32" w:right="-102" w:firstLineChars="200" w:firstLine="640"/>
        <w:rPr>
          <w:rFonts w:eastAsia="仿宋_GB2312"/>
        </w:rPr>
      </w:pPr>
      <w:r>
        <w:rPr>
          <w:rFonts w:eastAsia="仿宋_GB2312"/>
          <w:szCs w:val="32"/>
        </w:rPr>
        <w:t>使用错误评估报告用于细化风险管理报告关于可用性的内容，包括基本信息、使用风险级别、核心要素、同类医疗器械上市后使用问题分析、使用风险管理、结论等内容。</w:t>
      </w:r>
    </w:p>
    <w:p w14:paraId="4B448157" w14:textId="77777777" w:rsidR="007A4F9D" w:rsidRDefault="00DB2EA0">
      <w:pPr>
        <w:autoSpaceDE w:val="0"/>
        <w:autoSpaceDN w:val="0"/>
        <w:spacing w:line="520" w:lineRule="exact"/>
        <w:ind w:firstLineChars="200" w:firstLine="640"/>
        <w:jc w:val="left"/>
        <w:outlineLvl w:val="2"/>
        <w:rPr>
          <w:rFonts w:ascii="仿宋_GB2312" w:eastAsia="仿宋_GB2312"/>
          <w:bCs/>
          <w:szCs w:val="32"/>
        </w:rPr>
      </w:pPr>
      <w:r>
        <w:rPr>
          <w:rFonts w:eastAsia="仿宋_GB2312"/>
          <w:bCs/>
          <w:szCs w:val="32"/>
        </w:rPr>
        <w:lastRenderedPageBreak/>
        <w:t>2.</w:t>
      </w:r>
      <w:r>
        <w:rPr>
          <w:rFonts w:eastAsia="仿宋_GB2312"/>
          <w:bCs/>
          <w:szCs w:val="32"/>
        </w:rPr>
        <w:t>医</w:t>
      </w:r>
      <w:r>
        <w:rPr>
          <w:rFonts w:ascii="仿宋_GB2312" w:eastAsia="仿宋_GB2312"/>
          <w:bCs/>
          <w:szCs w:val="32"/>
        </w:rPr>
        <w:t>疗器械安全和性能基本原则清单</w:t>
      </w:r>
    </w:p>
    <w:p w14:paraId="05484FB7" w14:textId="77777777" w:rsidR="007A4F9D" w:rsidRDefault="00DB2EA0">
      <w:pPr>
        <w:pStyle w:val="aa"/>
        <w:spacing w:before="0" w:line="520" w:lineRule="exact"/>
        <w:ind w:firstLineChars="200" w:firstLine="640"/>
        <w:outlineLvl w:val="9"/>
        <w:rPr>
          <w:rFonts w:eastAsia="仿宋_GB2312"/>
        </w:rPr>
      </w:pPr>
      <w:r>
        <w:rPr>
          <w:rFonts w:ascii="仿宋_GB2312" w:eastAsia="仿宋_GB2312" w:hAnsi="仿宋_GB2312" w:cs="仿宋_GB2312" w:hint="eastAsia"/>
          <w:bCs w:val="0"/>
          <w:kern w:val="0"/>
        </w:rPr>
        <w:t>说明申报产品符合《医疗器械安全和性能基本原则清单》各项适用要求所采用的方法，以及证明其符合性的文件。对于《医疗器械安全和性能基本原则清单》中不适用的各项要求，应当说明理由。</w:t>
      </w:r>
    </w:p>
    <w:p w14:paraId="6F1D8FCA"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w:t>
      </w:r>
      <w:r>
        <w:rPr>
          <w:rFonts w:eastAsia="仿宋_GB2312"/>
          <w:szCs w:val="32"/>
        </w:rPr>
        <w:t>产品技术要求的主要性能指标</w:t>
      </w:r>
    </w:p>
    <w:p w14:paraId="5577EFB2" w14:textId="77777777" w:rsidR="007A4F9D" w:rsidRDefault="00DB2EA0">
      <w:pPr>
        <w:spacing w:line="520" w:lineRule="exact"/>
        <w:ind w:firstLineChars="200" w:firstLine="640"/>
        <w:rPr>
          <w:rFonts w:eastAsia="仿宋_GB2312"/>
          <w:szCs w:val="32"/>
        </w:rPr>
      </w:pPr>
      <w:r>
        <w:rPr>
          <w:rFonts w:eastAsia="仿宋_GB2312"/>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14:paraId="33FF9AD1"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.1</w:t>
      </w:r>
      <w:r>
        <w:rPr>
          <w:rFonts w:eastAsia="仿宋_GB2312"/>
          <w:szCs w:val="32"/>
        </w:rPr>
        <w:t>产品型号</w:t>
      </w:r>
      <w:r>
        <w:rPr>
          <w:rFonts w:eastAsia="仿宋_GB2312"/>
          <w:szCs w:val="32"/>
        </w:rPr>
        <w:t>/</w:t>
      </w:r>
      <w:r>
        <w:rPr>
          <w:rFonts w:eastAsia="仿宋_GB2312"/>
          <w:szCs w:val="32"/>
        </w:rPr>
        <w:t>规格及其划分的说明</w:t>
      </w:r>
    </w:p>
    <w:p w14:paraId="58ACAFB7" w14:textId="77777777" w:rsidR="007A4F9D" w:rsidRDefault="00DB2EA0">
      <w:pPr>
        <w:spacing w:line="520" w:lineRule="exact"/>
        <w:ind w:firstLineChars="200" w:firstLine="640"/>
        <w:rPr>
          <w:rFonts w:eastAsia="仿宋_GB2312"/>
          <w:szCs w:val="32"/>
        </w:rPr>
      </w:pPr>
      <w:r>
        <w:rPr>
          <w:rFonts w:eastAsia="仿宋_GB2312"/>
          <w:szCs w:val="32"/>
        </w:rPr>
        <w:t>列表说明产品的型号、规格，明确产品型号、规格的划</w:t>
      </w:r>
      <w:r>
        <w:rPr>
          <w:rFonts w:eastAsia="仿宋_GB2312"/>
          <w:szCs w:val="32"/>
        </w:rPr>
        <w:t>分说明。需包含以下产品相关信息：</w:t>
      </w:r>
    </w:p>
    <w:p w14:paraId="44A8138D" w14:textId="77777777" w:rsidR="007A4F9D" w:rsidRDefault="00DB2EA0">
      <w:pPr>
        <w:spacing w:line="520" w:lineRule="exact"/>
        <w:ind w:firstLineChars="200" w:firstLine="640"/>
        <w:jc w:val="left"/>
        <w:rPr>
          <w:rFonts w:eastAsia="仿宋_GB2312"/>
          <w:szCs w:val="32"/>
        </w:rPr>
      </w:pPr>
      <w:r>
        <w:rPr>
          <w:rFonts w:eastAsia="仿宋_GB2312" w:hint="eastAsia"/>
          <w:szCs w:val="32"/>
        </w:rPr>
        <w:t>3</w:t>
      </w:r>
      <w:r>
        <w:rPr>
          <w:rFonts w:eastAsia="仿宋_GB2312"/>
          <w:szCs w:val="32"/>
        </w:rPr>
        <w:t>.1.1</w:t>
      </w:r>
      <w:r>
        <w:rPr>
          <w:rFonts w:eastAsia="仿宋_GB2312"/>
          <w:szCs w:val="32"/>
        </w:rPr>
        <w:t>明示产品的组成</w:t>
      </w:r>
      <w:r>
        <w:rPr>
          <w:rFonts w:eastAsia="仿宋_GB2312" w:hint="eastAsia"/>
          <w:szCs w:val="32"/>
        </w:rPr>
        <w:t>成分</w:t>
      </w:r>
      <w:r>
        <w:rPr>
          <w:rFonts w:eastAsia="仿宋_GB2312"/>
          <w:szCs w:val="32"/>
        </w:rPr>
        <w:t>、各组成部分的</w:t>
      </w:r>
      <w:r>
        <w:rPr>
          <w:rFonts w:eastAsia="仿宋_GB2312" w:hint="eastAsia"/>
          <w:szCs w:val="32"/>
        </w:rPr>
        <w:t>含量</w:t>
      </w:r>
      <w:r>
        <w:rPr>
          <w:rFonts w:eastAsia="仿宋_GB2312"/>
          <w:szCs w:val="32"/>
        </w:rPr>
        <w:t>及符合的标准。</w:t>
      </w:r>
      <w:r>
        <w:rPr>
          <w:rFonts w:eastAsia="仿宋_GB2312" w:hint="eastAsia"/>
          <w:szCs w:val="32"/>
        </w:rPr>
        <w:t>不使用“主要”、“等”之类模糊词语。</w:t>
      </w:r>
    </w:p>
    <w:p w14:paraId="7DD36907"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.1.2</w:t>
      </w:r>
      <w:r>
        <w:rPr>
          <w:rFonts w:eastAsia="仿宋_GB2312" w:hint="eastAsia"/>
          <w:szCs w:val="32"/>
        </w:rPr>
        <w:t>应说明包装内是否有配件（如推注器等）。</w:t>
      </w:r>
    </w:p>
    <w:p w14:paraId="03858DEB"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.2</w:t>
      </w:r>
      <w:r>
        <w:rPr>
          <w:rFonts w:eastAsia="仿宋_GB2312"/>
          <w:szCs w:val="32"/>
        </w:rPr>
        <w:t>性能指标</w:t>
      </w:r>
    </w:p>
    <w:p w14:paraId="10189622" w14:textId="77777777" w:rsidR="007A4F9D" w:rsidRDefault="00DB2EA0">
      <w:pPr>
        <w:widowControl/>
        <w:spacing w:line="520" w:lineRule="exact"/>
        <w:ind w:firstLineChars="200" w:firstLine="640"/>
        <w:jc w:val="left"/>
        <w:rPr>
          <w:rFonts w:eastAsia="仿宋_GB2312"/>
          <w:szCs w:val="32"/>
        </w:rPr>
      </w:pPr>
      <w:r>
        <w:rPr>
          <w:rFonts w:eastAsia="仿宋_GB2312" w:hint="eastAsia"/>
          <w:szCs w:val="32"/>
        </w:rPr>
        <w:t>产品技术要求中性能指标项目的具体要求应与性能研究资料保持一致。申请人应根据自身产品的技术特点和用途制定相应的性能指标</w:t>
      </w:r>
      <w:r>
        <w:rPr>
          <w:rFonts w:eastAsia="仿宋_GB2312" w:hint="eastAsia"/>
          <w:szCs w:val="32"/>
        </w:rPr>
        <w:t>，</w:t>
      </w:r>
      <w:r>
        <w:rPr>
          <w:rFonts w:eastAsia="仿宋_GB2312" w:hint="eastAsia"/>
          <w:szCs w:val="32"/>
        </w:rPr>
        <w:t>如</w:t>
      </w:r>
      <w:r>
        <w:rPr>
          <w:rFonts w:eastAsia="仿宋_GB2312" w:hint="eastAsia"/>
          <w:szCs w:val="32"/>
        </w:rPr>
        <w:t>外观、装量、有效成分鉴定、有效成分含量、</w:t>
      </w:r>
      <w:r>
        <w:rPr>
          <w:rFonts w:eastAsia="仿宋_GB2312" w:hint="eastAsia"/>
          <w:szCs w:val="32"/>
        </w:rPr>
        <w:t>pH</w:t>
      </w:r>
      <w:r>
        <w:rPr>
          <w:rFonts w:eastAsia="仿宋_GB2312" w:hint="eastAsia"/>
          <w:szCs w:val="32"/>
        </w:rPr>
        <w:t>值</w:t>
      </w:r>
      <w:r>
        <w:rPr>
          <w:rFonts w:eastAsia="仿宋_GB2312" w:hint="eastAsia"/>
          <w:szCs w:val="32"/>
        </w:rPr>
        <w:t>、重金属，</w:t>
      </w:r>
      <w:r>
        <w:rPr>
          <w:rFonts w:eastAsia="仿宋_GB2312" w:hint="eastAsia"/>
          <w:szCs w:val="32"/>
        </w:rPr>
        <w:t>如有配合使用的附件（如推注器等）应制定相应要求等。</w:t>
      </w:r>
    </w:p>
    <w:p w14:paraId="1A1C06B5" w14:textId="77777777" w:rsidR="007A4F9D" w:rsidRDefault="00DB2EA0">
      <w:pPr>
        <w:spacing w:line="520" w:lineRule="exact"/>
        <w:ind w:firstLineChars="200" w:firstLine="640"/>
        <w:rPr>
          <w:rFonts w:eastAsia="仿宋_GB2312"/>
          <w:szCs w:val="32"/>
        </w:rPr>
      </w:pPr>
      <w:r>
        <w:rPr>
          <w:rFonts w:eastAsia="仿宋_GB2312" w:hint="eastAsia"/>
          <w:szCs w:val="32"/>
        </w:rPr>
        <w:t>3</w:t>
      </w:r>
      <w:r>
        <w:rPr>
          <w:rFonts w:eastAsia="仿宋_GB2312"/>
          <w:szCs w:val="32"/>
        </w:rPr>
        <w:t>.3</w:t>
      </w:r>
      <w:r>
        <w:rPr>
          <w:rFonts w:eastAsia="仿宋_GB2312"/>
          <w:szCs w:val="32"/>
        </w:rPr>
        <w:t>检验方法</w:t>
      </w:r>
    </w:p>
    <w:p w14:paraId="79D39CF2" w14:textId="77777777" w:rsidR="007A4F9D" w:rsidRDefault="00DB2EA0">
      <w:pPr>
        <w:spacing w:line="520" w:lineRule="exact"/>
        <w:ind w:firstLineChars="200" w:firstLine="640"/>
        <w:rPr>
          <w:rFonts w:eastAsia="仿宋_GB2312"/>
          <w:szCs w:val="32"/>
        </w:rPr>
      </w:pPr>
      <w:r>
        <w:rPr>
          <w:rFonts w:eastAsia="仿宋_GB2312"/>
          <w:szCs w:val="32"/>
        </w:rPr>
        <w:t>产品的检验方法需根据技术性能指标设定，检验方法需优先采用公认的或已颁布</w:t>
      </w:r>
      <w:r>
        <w:rPr>
          <w:rFonts w:eastAsia="仿宋_GB2312"/>
          <w:szCs w:val="32"/>
        </w:rPr>
        <w:t>的标准检验方法；自建检验方法需</w:t>
      </w:r>
      <w:r>
        <w:rPr>
          <w:rFonts w:eastAsia="仿宋_GB2312"/>
          <w:szCs w:val="32"/>
        </w:rPr>
        <w:lastRenderedPageBreak/>
        <w:t>提供相应的方法学依据及理论基础，同时保证检验方法具有可操作性和可重现性，必要时可附相应图示进行说明，文本较大的可以附录形式提供。</w:t>
      </w:r>
    </w:p>
    <w:p w14:paraId="143170FD" w14:textId="77777777" w:rsidR="007A4F9D" w:rsidRDefault="00DB2EA0">
      <w:pPr>
        <w:pStyle w:val="10"/>
        <w:spacing w:line="520" w:lineRule="exact"/>
        <w:ind w:firstLine="640"/>
      </w:pPr>
      <w:r>
        <w:rPr>
          <w:rFonts w:hint="eastAsia"/>
        </w:rPr>
        <w:t>4</w:t>
      </w:r>
      <w:r>
        <w:t>.</w:t>
      </w:r>
      <w:r>
        <w:t>同一注册单元内检验典型性产品确定原则</w:t>
      </w:r>
    </w:p>
    <w:p w14:paraId="5C855A61" w14:textId="77777777" w:rsidR="007A4F9D" w:rsidRDefault="00DB2EA0">
      <w:pPr>
        <w:spacing w:line="520" w:lineRule="exact"/>
        <w:ind w:firstLineChars="200" w:firstLine="640"/>
        <w:rPr>
          <w:rFonts w:eastAsia="仿宋_GB2312"/>
          <w:szCs w:val="32"/>
        </w:rPr>
      </w:pPr>
      <w:r>
        <w:rPr>
          <w:rFonts w:eastAsia="仿宋_GB2312"/>
          <w:szCs w:val="32"/>
        </w:rPr>
        <w:t>同一注册单元内所检验的产品应当能够代表本注册单元内其他产品的安全性和有效性，并提供典型性检验样品的确定依据。</w:t>
      </w:r>
    </w:p>
    <w:p w14:paraId="69D25AC7" w14:textId="77777777" w:rsidR="007A4F9D" w:rsidRDefault="00DB2EA0">
      <w:pPr>
        <w:spacing w:line="520" w:lineRule="exact"/>
        <w:ind w:firstLineChars="200" w:firstLine="640"/>
        <w:rPr>
          <w:rFonts w:eastAsia="仿宋_GB2312"/>
          <w:szCs w:val="32"/>
        </w:rPr>
      </w:pPr>
      <w:r>
        <w:rPr>
          <w:rFonts w:eastAsia="仿宋_GB2312"/>
          <w:szCs w:val="32"/>
        </w:rPr>
        <w:t>4.</w:t>
      </w:r>
      <w:r>
        <w:rPr>
          <w:rFonts w:eastAsia="仿宋_GB2312"/>
          <w:szCs w:val="32"/>
        </w:rPr>
        <w:t>研究资料</w:t>
      </w:r>
    </w:p>
    <w:p w14:paraId="0FA95AFA" w14:textId="77777777" w:rsidR="007A4F9D" w:rsidRDefault="00DB2EA0">
      <w:pPr>
        <w:pStyle w:val="3"/>
        <w:ind w:leftChars="0" w:left="0" w:firstLineChars="200" w:firstLine="640"/>
        <w:rPr>
          <w:rFonts w:ascii="Times New Roman" w:eastAsia="仿宋_GB2312" w:hAnsi="Times New Roman" w:hint="default"/>
          <w:kern w:val="2"/>
          <w:szCs w:val="32"/>
        </w:rPr>
      </w:pPr>
      <w:r>
        <w:rPr>
          <w:rFonts w:ascii="Times New Roman" w:eastAsia="仿宋_GB2312" w:hAnsi="Times New Roman"/>
          <w:kern w:val="2"/>
          <w:szCs w:val="32"/>
        </w:rPr>
        <w:t>4.1</w:t>
      </w:r>
      <w:r>
        <w:rPr>
          <w:rFonts w:ascii="Times New Roman" w:eastAsia="仿宋_GB2312" w:hAnsi="Times New Roman" w:hint="default"/>
          <w:kern w:val="2"/>
          <w:szCs w:val="32"/>
        </w:rPr>
        <w:t>原材料控制</w:t>
      </w:r>
    </w:p>
    <w:p w14:paraId="7CB14F67" w14:textId="77777777" w:rsidR="007A4F9D" w:rsidRDefault="00DB2EA0">
      <w:pPr>
        <w:spacing w:line="520" w:lineRule="exact"/>
        <w:ind w:firstLineChars="200" w:firstLine="640"/>
        <w:rPr>
          <w:rFonts w:eastAsia="仿宋_GB2312"/>
          <w:szCs w:val="32"/>
        </w:rPr>
      </w:pPr>
      <w:r>
        <w:rPr>
          <w:rFonts w:eastAsia="仿宋_GB2312" w:hint="eastAsia"/>
          <w:szCs w:val="32"/>
        </w:rPr>
        <w:t>明确产品的起始物质，列明产品生产过程中由起始物质至终产品加工过程中所需全部材料</w:t>
      </w:r>
      <w:r>
        <w:rPr>
          <w:rFonts w:eastAsia="仿宋_GB2312"/>
          <w:szCs w:val="32"/>
        </w:rPr>
        <w:t>（包括主材及所有辅材）的化学名称、</w:t>
      </w:r>
      <w:r>
        <w:rPr>
          <w:rFonts w:eastAsia="仿宋_GB2312" w:hint="eastAsia"/>
          <w:szCs w:val="32"/>
        </w:rPr>
        <w:t>CAS</w:t>
      </w:r>
      <w:r>
        <w:rPr>
          <w:rFonts w:eastAsia="仿宋_GB2312" w:hint="eastAsia"/>
          <w:szCs w:val="32"/>
        </w:rPr>
        <w:t>号、</w:t>
      </w:r>
      <w:r>
        <w:rPr>
          <w:rFonts w:eastAsia="仿宋_GB2312"/>
          <w:szCs w:val="32"/>
        </w:rPr>
        <w:t>化学结构式</w:t>
      </w:r>
      <w:r>
        <w:rPr>
          <w:rFonts w:eastAsia="仿宋_GB2312"/>
          <w:szCs w:val="32"/>
        </w:rPr>
        <w:t>/</w:t>
      </w:r>
      <w:r>
        <w:rPr>
          <w:rFonts w:eastAsia="仿宋_GB2312"/>
          <w:szCs w:val="32"/>
        </w:rPr>
        <w:t>分子式、分子量及其分布（如适用）、使用量</w:t>
      </w:r>
      <w:r>
        <w:rPr>
          <w:rFonts w:eastAsia="仿宋_GB2312"/>
          <w:szCs w:val="32"/>
        </w:rPr>
        <w:t>/</w:t>
      </w:r>
      <w:r>
        <w:rPr>
          <w:rFonts w:eastAsia="仿宋_GB2312"/>
          <w:szCs w:val="32"/>
        </w:rPr>
        <w:t>组成比例、</w:t>
      </w:r>
      <w:r>
        <w:rPr>
          <w:rFonts w:eastAsia="仿宋_GB2312" w:hint="eastAsia"/>
          <w:szCs w:val="32"/>
        </w:rPr>
        <w:t>来源和</w:t>
      </w:r>
      <w:r>
        <w:rPr>
          <w:rFonts w:eastAsia="仿宋_GB2312"/>
          <w:szCs w:val="32"/>
        </w:rPr>
        <w:t>纯度</w:t>
      </w:r>
      <w:r>
        <w:rPr>
          <w:rFonts w:eastAsia="仿宋_GB2312" w:hint="eastAsia"/>
          <w:szCs w:val="32"/>
        </w:rPr>
        <w:t>（如适用）、符合的标准和申请人的验收标准及相关的安全性评价资料，建议以列表的形式提供，并说明原材料的选择依据及来源。</w:t>
      </w:r>
    </w:p>
    <w:p w14:paraId="7E52A777" w14:textId="77777777" w:rsidR="007A4F9D" w:rsidRDefault="00DB2EA0">
      <w:pPr>
        <w:spacing w:line="520" w:lineRule="exact"/>
        <w:ind w:firstLineChars="200" w:firstLine="640"/>
        <w:rPr>
          <w:rFonts w:eastAsia="仿宋_GB2312"/>
          <w:szCs w:val="32"/>
        </w:rPr>
      </w:pPr>
      <w:r>
        <w:rPr>
          <w:rFonts w:eastAsia="仿宋_GB2312"/>
          <w:szCs w:val="32"/>
        </w:rPr>
        <w:t>应说明原材料的选择依据及其来源。原材料不得人为添加已列入相关法规及指令禁止的或未经毒理学评估的物质。</w:t>
      </w:r>
    </w:p>
    <w:p w14:paraId="7F09D69B" w14:textId="77777777" w:rsidR="007A4F9D" w:rsidRDefault="00DB2EA0">
      <w:pPr>
        <w:spacing w:line="520" w:lineRule="exact"/>
        <w:ind w:firstLineChars="200" w:firstLine="640"/>
        <w:rPr>
          <w:rFonts w:eastAsia="仿宋_GB2312"/>
          <w:szCs w:val="32"/>
        </w:rPr>
      </w:pPr>
      <w:r>
        <w:rPr>
          <w:rFonts w:eastAsia="仿宋_GB2312"/>
          <w:szCs w:val="32"/>
        </w:rPr>
        <w:t>对于首次用于此类</w:t>
      </w:r>
      <w:r>
        <w:rPr>
          <w:rFonts w:eastAsia="仿宋_GB2312" w:hint="eastAsia"/>
          <w:szCs w:val="32"/>
        </w:rPr>
        <w:t>产品</w:t>
      </w:r>
      <w:r>
        <w:rPr>
          <w:rFonts w:eastAsia="仿宋_GB2312"/>
          <w:szCs w:val="32"/>
        </w:rPr>
        <w:t>的新</w:t>
      </w:r>
      <w:r>
        <w:rPr>
          <w:rFonts w:eastAsia="仿宋_GB2312" w:hint="eastAsia"/>
          <w:szCs w:val="32"/>
        </w:rPr>
        <w:t>成分</w:t>
      </w:r>
      <w:r>
        <w:rPr>
          <w:rFonts w:eastAsia="仿宋_GB2312"/>
          <w:szCs w:val="32"/>
        </w:rPr>
        <w:t>，应提供该</w:t>
      </w:r>
      <w:r>
        <w:rPr>
          <w:rFonts w:eastAsia="仿宋_GB2312" w:hint="eastAsia"/>
          <w:szCs w:val="32"/>
        </w:rPr>
        <w:t>成分</w:t>
      </w:r>
      <w:r>
        <w:rPr>
          <w:rFonts w:eastAsia="仿宋_GB2312"/>
          <w:szCs w:val="32"/>
        </w:rPr>
        <w:t>适合用于预期</w:t>
      </w:r>
      <w:r>
        <w:rPr>
          <w:rFonts w:eastAsia="仿宋_GB2312" w:hint="eastAsia"/>
          <w:szCs w:val="32"/>
        </w:rPr>
        <w:t>适用范围</w:t>
      </w:r>
      <w:r>
        <w:rPr>
          <w:rFonts w:eastAsia="仿宋_GB2312"/>
          <w:szCs w:val="32"/>
        </w:rPr>
        <w:t>的</w:t>
      </w:r>
      <w:r>
        <w:rPr>
          <w:rFonts w:eastAsia="仿宋_GB2312" w:hint="eastAsia"/>
          <w:szCs w:val="32"/>
        </w:rPr>
        <w:t>安全性、有效性</w:t>
      </w:r>
      <w:r>
        <w:rPr>
          <w:rFonts w:eastAsia="仿宋_GB2312"/>
          <w:szCs w:val="32"/>
        </w:rPr>
        <w:t>相关研究资料</w:t>
      </w:r>
      <w:r>
        <w:rPr>
          <w:rFonts w:eastAsia="仿宋_GB2312" w:hint="eastAsia"/>
          <w:szCs w:val="32"/>
        </w:rPr>
        <w:t>（包括但不限于该成分的化学品材料安全数据表以及无毒性、致癌性、致突变性、刺激或致敏的证据等）</w:t>
      </w:r>
      <w:r>
        <w:rPr>
          <w:rFonts w:eastAsia="仿宋_GB2312"/>
          <w:szCs w:val="32"/>
        </w:rPr>
        <w:t>。</w:t>
      </w:r>
    </w:p>
    <w:p w14:paraId="6E394192" w14:textId="77777777" w:rsidR="007A4F9D" w:rsidRDefault="00DB2EA0">
      <w:pPr>
        <w:spacing w:line="520" w:lineRule="exact"/>
        <w:ind w:firstLineChars="200" w:firstLine="640"/>
        <w:jc w:val="left"/>
        <w:rPr>
          <w:rFonts w:eastAsia="仿宋_GB2312"/>
          <w:szCs w:val="32"/>
        </w:rPr>
      </w:pPr>
      <w:r>
        <w:rPr>
          <w:rFonts w:eastAsia="仿宋_GB2312" w:hint="eastAsia"/>
          <w:szCs w:val="32"/>
        </w:rPr>
        <w:t>4.2</w:t>
      </w:r>
      <w:r>
        <w:rPr>
          <w:rFonts w:eastAsia="仿宋_GB2312"/>
          <w:szCs w:val="32"/>
        </w:rPr>
        <w:t>化学和物理性能研究</w:t>
      </w:r>
    </w:p>
    <w:p w14:paraId="69B16024" w14:textId="77777777" w:rsidR="007A4F9D" w:rsidRDefault="00DB2EA0">
      <w:pPr>
        <w:spacing w:line="520" w:lineRule="exact"/>
        <w:ind w:firstLineChars="200" w:firstLine="640"/>
        <w:rPr>
          <w:rFonts w:eastAsia="仿宋_GB2312"/>
          <w:szCs w:val="32"/>
        </w:rPr>
      </w:pPr>
      <w:r>
        <w:rPr>
          <w:rFonts w:eastAsia="仿宋_GB2312" w:hint="eastAsia"/>
          <w:szCs w:val="32"/>
        </w:rPr>
        <w:t>4.2</w:t>
      </w:r>
      <w:r>
        <w:rPr>
          <w:rFonts w:eastAsia="仿宋_GB2312" w:hint="eastAsia"/>
          <w:szCs w:val="32"/>
        </w:rPr>
        <w:t>.1</w:t>
      </w:r>
      <w:r>
        <w:rPr>
          <w:rFonts w:eastAsia="仿宋_GB2312"/>
          <w:szCs w:val="32"/>
        </w:rPr>
        <w:t>应当提供产品性能研究资料以及产品技术要求的研究和编写说明，应提交</w:t>
      </w:r>
      <w:r>
        <w:rPr>
          <w:rFonts w:eastAsia="仿宋_GB2312" w:hint="eastAsia"/>
          <w:szCs w:val="20"/>
        </w:rPr>
        <w:t>产品技术要求中性能指标的确定依据、设计输入来源以及临</w:t>
      </w:r>
      <w:r>
        <w:rPr>
          <w:rFonts w:eastAsia="仿宋_GB2312" w:hint="eastAsia"/>
          <w:szCs w:val="32"/>
        </w:rPr>
        <w:t>床意义，</w:t>
      </w:r>
      <w:r>
        <w:rPr>
          <w:rFonts w:eastAsia="仿宋_GB2312"/>
          <w:szCs w:val="32"/>
        </w:rPr>
        <w:t>所采用的标准或方法、采用的原因及理论基础。</w:t>
      </w:r>
    </w:p>
    <w:p w14:paraId="3CC13C7F" w14:textId="77777777" w:rsidR="007A4F9D" w:rsidRDefault="00DB2EA0">
      <w:pPr>
        <w:spacing w:line="520" w:lineRule="exact"/>
        <w:ind w:firstLineChars="200" w:firstLine="640"/>
        <w:rPr>
          <w:rFonts w:eastAsia="仿宋_GB2312"/>
          <w:szCs w:val="32"/>
        </w:rPr>
      </w:pPr>
      <w:r>
        <w:rPr>
          <w:rFonts w:eastAsia="仿宋_GB2312" w:hint="eastAsia"/>
          <w:szCs w:val="32"/>
        </w:rPr>
        <w:lastRenderedPageBreak/>
        <w:t>4.2.2</w:t>
      </w:r>
      <w:r>
        <w:rPr>
          <w:rFonts w:eastAsia="仿宋_GB2312" w:hint="eastAsia"/>
          <w:szCs w:val="32"/>
        </w:rPr>
        <w:t>如有配合使用的附件（如推注器等）应制定相应要求，</w:t>
      </w:r>
      <w:r>
        <w:rPr>
          <w:rFonts w:eastAsia="仿宋_GB2312"/>
          <w:szCs w:val="32"/>
        </w:rPr>
        <w:t>考虑</w:t>
      </w:r>
      <w:r>
        <w:rPr>
          <w:rFonts w:eastAsia="仿宋_GB2312" w:hint="eastAsia"/>
          <w:szCs w:val="32"/>
        </w:rPr>
        <w:t>附</w:t>
      </w:r>
      <w:r>
        <w:rPr>
          <w:rFonts w:eastAsia="仿宋_GB2312"/>
          <w:szCs w:val="32"/>
        </w:rPr>
        <w:t>件与产品的适宜性。</w:t>
      </w:r>
    </w:p>
    <w:p w14:paraId="1E6A9F5E" w14:textId="77777777" w:rsidR="007A4F9D" w:rsidRDefault="00DB2EA0">
      <w:pPr>
        <w:spacing w:line="520" w:lineRule="exact"/>
        <w:ind w:firstLineChars="200" w:firstLine="640"/>
        <w:rPr>
          <w:rFonts w:eastAsia="仿宋_GB2312"/>
          <w:szCs w:val="32"/>
        </w:rPr>
      </w:pPr>
      <w:r>
        <w:rPr>
          <w:rFonts w:eastAsia="仿宋_GB2312" w:hint="eastAsia"/>
          <w:szCs w:val="32"/>
        </w:rPr>
        <w:t>4.2.3</w:t>
      </w:r>
      <w:r>
        <w:rPr>
          <w:rFonts w:eastAsia="仿宋_GB2312" w:hint="eastAsia"/>
          <w:szCs w:val="32"/>
        </w:rPr>
        <w:t>提供产品表面处理方法、处理反应时间的研究资料，提供的研究资料应与产品说明书中推荐的使用方法一致。</w:t>
      </w:r>
    </w:p>
    <w:p w14:paraId="7812ABCB" w14:textId="77777777" w:rsidR="007A4F9D" w:rsidRDefault="00DB2EA0">
      <w:pPr>
        <w:spacing w:line="520" w:lineRule="exact"/>
        <w:ind w:firstLineChars="200" w:firstLine="640"/>
        <w:rPr>
          <w:rFonts w:eastAsia="仿宋_GB2312"/>
          <w:szCs w:val="32"/>
        </w:rPr>
      </w:pPr>
      <w:r>
        <w:rPr>
          <w:rFonts w:eastAsia="仿宋_GB2312" w:hint="eastAsia"/>
          <w:szCs w:val="32"/>
        </w:rPr>
        <w:t>4.2.4</w:t>
      </w:r>
      <w:r>
        <w:rPr>
          <w:rFonts w:eastAsia="仿宋_GB2312" w:hint="eastAsia"/>
          <w:szCs w:val="32"/>
        </w:rPr>
        <w:t>提供产品表面处理效果的相关研究资料，如表面处理后修复体的粘接效果研究。</w:t>
      </w:r>
    </w:p>
    <w:p w14:paraId="55C4DD62" w14:textId="77777777" w:rsidR="007A4F9D" w:rsidRDefault="00DB2EA0">
      <w:pPr>
        <w:spacing w:line="520" w:lineRule="exact"/>
        <w:ind w:firstLineChars="200" w:firstLine="640"/>
        <w:rPr>
          <w:rFonts w:eastAsia="仿宋_GB2312"/>
          <w:szCs w:val="32"/>
        </w:rPr>
      </w:pPr>
      <w:r>
        <w:rPr>
          <w:rFonts w:eastAsia="仿宋_GB2312"/>
          <w:szCs w:val="32"/>
        </w:rPr>
        <w:t>4.3</w:t>
      </w:r>
      <w:r>
        <w:rPr>
          <w:rFonts w:eastAsia="仿宋_GB2312"/>
          <w:szCs w:val="32"/>
        </w:rPr>
        <w:t>生物学特性研究</w:t>
      </w:r>
    </w:p>
    <w:p w14:paraId="5D8F9B6B" w14:textId="77777777" w:rsidR="007A4F9D" w:rsidRDefault="00DB2EA0">
      <w:pPr>
        <w:spacing w:line="520" w:lineRule="exact"/>
        <w:ind w:firstLineChars="200" w:firstLine="640"/>
        <w:rPr>
          <w:rFonts w:eastAsia="仿宋_GB2312"/>
          <w:szCs w:val="32"/>
        </w:rPr>
      </w:pPr>
      <w:r>
        <w:rPr>
          <w:rFonts w:eastAsia="仿宋_GB2312" w:hint="eastAsia"/>
          <w:szCs w:val="32"/>
        </w:rPr>
        <w:t>预处理剂产品主要</w:t>
      </w:r>
      <w:r>
        <w:rPr>
          <w:rFonts w:eastAsia="仿宋_GB2312" w:hint="eastAsia"/>
          <w:szCs w:val="32"/>
        </w:rPr>
        <w:t>应</w:t>
      </w:r>
      <w:r>
        <w:rPr>
          <w:rFonts w:eastAsia="仿宋_GB2312" w:hint="eastAsia"/>
          <w:szCs w:val="32"/>
        </w:rPr>
        <w:t>用于修复体</w:t>
      </w:r>
      <w:r>
        <w:rPr>
          <w:rFonts w:eastAsia="仿宋_GB2312" w:hint="eastAsia"/>
          <w:szCs w:val="32"/>
        </w:rPr>
        <w:t>或</w:t>
      </w:r>
      <w:r>
        <w:rPr>
          <w:rFonts w:eastAsia="仿宋_GB2312" w:hint="eastAsia"/>
          <w:szCs w:val="32"/>
        </w:rPr>
        <w:t>牙体硬组织</w:t>
      </w:r>
      <w:r>
        <w:rPr>
          <w:rFonts w:eastAsia="仿宋_GB2312" w:hint="eastAsia"/>
          <w:szCs w:val="32"/>
        </w:rPr>
        <w:t>，</w:t>
      </w:r>
      <w:r>
        <w:rPr>
          <w:rFonts w:eastAsia="仿宋_GB2312" w:hint="eastAsia"/>
          <w:szCs w:val="32"/>
        </w:rPr>
        <w:t>产</w:t>
      </w:r>
      <w:r>
        <w:rPr>
          <w:rFonts w:eastAsia="仿宋_GB2312" w:hint="eastAsia"/>
          <w:szCs w:val="32"/>
        </w:rPr>
        <w:t>品与口腔黏膜（或牙本质</w:t>
      </w:r>
      <w:r>
        <w:rPr>
          <w:rFonts w:eastAsia="仿宋_GB2312" w:hint="eastAsia"/>
          <w:szCs w:val="32"/>
        </w:rPr>
        <w:t>/</w:t>
      </w:r>
      <w:r>
        <w:rPr>
          <w:rFonts w:eastAsia="仿宋_GB2312" w:hint="eastAsia"/>
          <w:szCs w:val="32"/>
        </w:rPr>
        <w:t>牙釉质）持久接触，生物相容性评价应遵循</w:t>
      </w:r>
      <w:r>
        <w:rPr>
          <w:rFonts w:eastAsia="仿宋_GB2312" w:hint="eastAsia"/>
          <w:szCs w:val="32"/>
        </w:rPr>
        <w:t>GB/T 16886.1</w:t>
      </w:r>
      <w:r>
        <w:rPr>
          <w:rFonts w:eastAsia="仿宋_GB2312" w:hint="eastAsia"/>
          <w:szCs w:val="32"/>
        </w:rPr>
        <w:t>《医疗器械生物学评价第</w:t>
      </w:r>
      <w:r>
        <w:rPr>
          <w:rFonts w:eastAsia="仿宋_GB2312" w:hint="eastAsia"/>
          <w:szCs w:val="32"/>
        </w:rPr>
        <w:t>1</w:t>
      </w:r>
      <w:r>
        <w:rPr>
          <w:rFonts w:eastAsia="仿宋_GB2312" w:hint="eastAsia"/>
          <w:szCs w:val="32"/>
        </w:rPr>
        <w:t>部分：风险管理过程中的评价与试验》和</w:t>
      </w:r>
      <w:r>
        <w:rPr>
          <w:rFonts w:eastAsia="仿宋_GB2312" w:hint="eastAsia"/>
          <w:szCs w:val="32"/>
        </w:rPr>
        <w:t>YY/T 0268</w:t>
      </w:r>
      <w:r>
        <w:rPr>
          <w:rFonts w:eastAsia="仿宋_GB2312" w:hint="eastAsia"/>
          <w:szCs w:val="32"/>
        </w:rPr>
        <w:t>《牙科学口腔医疗器械生物学评价第</w:t>
      </w:r>
      <w:r>
        <w:rPr>
          <w:rFonts w:eastAsia="仿宋_GB2312" w:hint="eastAsia"/>
          <w:szCs w:val="32"/>
        </w:rPr>
        <w:t>1</w:t>
      </w:r>
      <w:r>
        <w:rPr>
          <w:rFonts w:eastAsia="仿宋_GB2312" w:hint="eastAsia"/>
          <w:szCs w:val="32"/>
        </w:rPr>
        <w:t>单元：评价与试验》相关要求，生物相容性评价资料可以参考《医疗器械生物学评价指南》，必要时，开展生物学试验。生物学评价终点一般包括细胞毒性、致敏性、急性全身毒性、刺激或皮内反应、亚急性毒性、亚慢性全身毒性、慢性毒性、植入反应、遗传毒性。</w:t>
      </w:r>
    </w:p>
    <w:p w14:paraId="06174422" w14:textId="77777777" w:rsidR="007A4F9D" w:rsidRDefault="00DB2EA0">
      <w:pPr>
        <w:spacing w:line="520" w:lineRule="exact"/>
        <w:ind w:firstLineChars="200" w:firstLine="640"/>
        <w:rPr>
          <w:rFonts w:eastAsia="仿宋_GB2312"/>
          <w:szCs w:val="32"/>
        </w:rPr>
      </w:pPr>
      <w:r>
        <w:rPr>
          <w:rFonts w:eastAsia="仿宋_GB2312"/>
          <w:szCs w:val="32"/>
        </w:rPr>
        <w:t>4.</w:t>
      </w:r>
      <w:r>
        <w:rPr>
          <w:rFonts w:eastAsia="仿宋_GB2312" w:hint="eastAsia"/>
          <w:szCs w:val="32"/>
        </w:rPr>
        <w:t>4</w:t>
      </w:r>
      <w:r>
        <w:rPr>
          <w:rFonts w:eastAsia="仿宋_GB2312"/>
          <w:szCs w:val="32"/>
        </w:rPr>
        <w:t>稳定性研究</w:t>
      </w:r>
    </w:p>
    <w:p w14:paraId="7D7D6CC8" w14:textId="77777777" w:rsidR="007A4F9D" w:rsidRDefault="00DB2EA0">
      <w:pPr>
        <w:spacing w:line="520" w:lineRule="exact"/>
        <w:ind w:firstLineChars="200" w:firstLine="640"/>
        <w:rPr>
          <w:rFonts w:eastAsia="仿宋_GB2312"/>
          <w:szCs w:val="32"/>
        </w:rPr>
      </w:pPr>
      <w:r>
        <w:rPr>
          <w:rFonts w:eastAsia="仿宋_GB2312" w:hint="eastAsia"/>
          <w:szCs w:val="32"/>
        </w:rPr>
        <w:t>4.4.1</w:t>
      </w:r>
      <w:r>
        <w:rPr>
          <w:rFonts w:eastAsia="仿宋_GB2312"/>
          <w:szCs w:val="32"/>
        </w:rPr>
        <w:t>货架有效期</w:t>
      </w:r>
    </w:p>
    <w:p w14:paraId="3A6E84A9" w14:textId="77777777" w:rsidR="007A4F9D" w:rsidRDefault="00DB2EA0">
      <w:pPr>
        <w:spacing w:line="520" w:lineRule="exact"/>
        <w:ind w:firstLineChars="200" w:firstLine="640"/>
        <w:rPr>
          <w:rFonts w:eastAsia="仿宋_GB2312"/>
          <w:szCs w:val="32"/>
        </w:rPr>
      </w:pPr>
      <w:r>
        <w:rPr>
          <w:rFonts w:eastAsia="仿宋_GB2312" w:hint="eastAsia"/>
          <w:szCs w:val="32"/>
        </w:rPr>
        <w:t>注册申请人可参照适用的国内、国际标准或</w:t>
      </w:r>
      <w:r>
        <w:rPr>
          <w:rFonts w:eastAsia="仿宋_GB2312" w:hint="eastAsia"/>
          <w:szCs w:val="32"/>
        </w:rPr>
        <w:t>《无源植入性医疗器械稳定性研究指导原则》中适用部分提供产品货架有效期的验证资料。医疗器械货架有效期的验证试验通常可包括加速稳定性试验、实时稳定性试验等，需根据医疗器械产品特性选择验证方式。无论加速稳定性试验还是实时稳定性试验，注册申请人均需在试验方案中设定测试项目、测试方法及判定标准。在有效期研究中需监测整个有效期内确保产品安全性和有效性的关键参数。</w:t>
      </w:r>
    </w:p>
    <w:p w14:paraId="7D140672" w14:textId="77777777" w:rsidR="007A4F9D" w:rsidRDefault="00DB2EA0">
      <w:pPr>
        <w:spacing w:line="520" w:lineRule="exact"/>
        <w:ind w:firstLineChars="200" w:firstLine="640"/>
        <w:rPr>
          <w:rFonts w:eastAsia="仿宋_GB2312"/>
          <w:szCs w:val="32"/>
        </w:rPr>
      </w:pPr>
      <w:r>
        <w:rPr>
          <w:rFonts w:eastAsia="仿宋_GB2312" w:hint="eastAsia"/>
          <w:szCs w:val="32"/>
        </w:rPr>
        <w:lastRenderedPageBreak/>
        <w:t>产品包装验证可依据有关适用的国内、国际标准和验证方案进行，提交产品的包装验证报告。包装材料的选择建议考虑以下因素：包装材料的物理化学性能；包装材料与产品的适应</w:t>
      </w:r>
      <w:r>
        <w:rPr>
          <w:rFonts w:eastAsia="仿宋_GB2312" w:hint="eastAsia"/>
          <w:szCs w:val="32"/>
        </w:rPr>
        <w:t>性；包装材料与成型和密封过程的适应性；包装材料所能提供的物理、化学保护；包装材料与标签系统的适应性；包装材料与贮存运输过程的适合性。其包装验证的资料内容应与包装说明中给出的信息相符。对于不适用的因素应阐述不适用的依据。</w:t>
      </w:r>
    </w:p>
    <w:p w14:paraId="6A96A20A" w14:textId="77777777" w:rsidR="007A4F9D" w:rsidRDefault="00DB2EA0">
      <w:pPr>
        <w:spacing w:line="520" w:lineRule="exact"/>
        <w:ind w:firstLineChars="200" w:firstLine="640"/>
      </w:pPr>
      <w:r>
        <w:rPr>
          <w:rFonts w:eastAsia="仿宋_GB2312" w:hint="eastAsia"/>
          <w:szCs w:val="32"/>
        </w:rPr>
        <w:t>对于包装的有效期验证，建议申请者提交最终成品初包装的初始完整性和维持完整性的检测结果。</w:t>
      </w:r>
    </w:p>
    <w:p w14:paraId="491B5AB7" w14:textId="77777777" w:rsidR="007A4F9D" w:rsidRDefault="00DB2EA0">
      <w:pPr>
        <w:spacing w:line="520" w:lineRule="exact"/>
        <w:ind w:firstLineChars="200" w:firstLine="640"/>
        <w:rPr>
          <w:rFonts w:eastAsia="仿宋_GB2312"/>
          <w:szCs w:val="32"/>
        </w:rPr>
      </w:pPr>
      <w:r>
        <w:rPr>
          <w:rFonts w:eastAsia="仿宋_GB2312" w:hint="eastAsia"/>
          <w:szCs w:val="32"/>
        </w:rPr>
        <w:t>4.5.2</w:t>
      </w:r>
      <w:r>
        <w:rPr>
          <w:rFonts w:eastAsia="仿宋_GB2312"/>
          <w:szCs w:val="32"/>
        </w:rPr>
        <w:t>使用稳定性</w:t>
      </w:r>
      <w:r>
        <w:rPr>
          <w:rFonts w:eastAsia="仿宋_GB2312" w:hint="eastAsia"/>
          <w:szCs w:val="32"/>
        </w:rPr>
        <w:t>（若适用）</w:t>
      </w:r>
    </w:p>
    <w:p w14:paraId="7CC07A82" w14:textId="77777777" w:rsidR="007A4F9D" w:rsidRDefault="00DB2EA0">
      <w:pPr>
        <w:spacing w:line="520" w:lineRule="exact"/>
        <w:ind w:firstLineChars="200" w:firstLine="640"/>
        <w:rPr>
          <w:rFonts w:eastAsia="仿宋_GB2312"/>
          <w:szCs w:val="32"/>
        </w:rPr>
      </w:pPr>
      <w:r>
        <w:rPr>
          <w:rFonts w:eastAsia="仿宋_GB2312"/>
          <w:szCs w:val="32"/>
        </w:rPr>
        <w:t>结合临床实际使用情况，考虑开封后产品稳定性。</w:t>
      </w:r>
    </w:p>
    <w:p w14:paraId="3BCD73B3" w14:textId="77777777" w:rsidR="007A4F9D" w:rsidRDefault="00DB2EA0">
      <w:pPr>
        <w:spacing w:line="520" w:lineRule="exact"/>
        <w:ind w:firstLineChars="200" w:firstLine="640"/>
        <w:rPr>
          <w:rFonts w:eastAsia="仿宋_GB2312"/>
          <w:bCs/>
          <w:szCs w:val="32"/>
        </w:rPr>
      </w:pPr>
      <w:r>
        <w:rPr>
          <w:rFonts w:eastAsia="仿宋_GB2312" w:hint="eastAsia"/>
          <w:bCs/>
          <w:szCs w:val="32"/>
        </w:rPr>
        <w:t>4.5.3</w:t>
      </w:r>
      <w:r>
        <w:rPr>
          <w:rFonts w:eastAsia="仿宋_GB2312"/>
          <w:bCs/>
          <w:szCs w:val="32"/>
        </w:rPr>
        <w:t>运输稳定性</w:t>
      </w:r>
    </w:p>
    <w:p w14:paraId="7B4DD05C" w14:textId="77777777" w:rsidR="007A4F9D" w:rsidRDefault="00DB2EA0">
      <w:pPr>
        <w:spacing w:line="520" w:lineRule="exact"/>
        <w:ind w:firstLineChars="200" w:firstLine="640"/>
        <w:rPr>
          <w:rFonts w:eastAsia="仿宋_GB2312"/>
          <w:szCs w:val="32"/>
        </w:rPr>
      </w:pPr>
      <w:r>
        <w:rPr>
          <w:rFonts w:eastAsia="仿宋_GB2312"/>
          <w:szCs w:val="32"/>
        </w:rPr>
        <w:t>注册申请人需提交</w:t>
      </w:r>
      <w:r>
        <w:rPr>
          <w:rFonts w:eastAsia="仿宋_GB2312" w:hint="eastAsia"/>
          <w:szCs w:val="32"/>
        </w:rPr>
        <w:t>运输稳定性验证资料，证明在规定的运输条件下，运输过程中环境条件（例如：震动、振动、温度和湿度的波动）不会对医疗器械的特性和性能，包括完整性和清洁度，造成不利影响</w:t>
      </w:r>
      <w:r>
        <w:rPr>
          <w:rFonts w:eastAsia="仿宋_GB2312"/>
          <w:szCs w:val="32"/>
        </w:rPr>
        <w:t>。</w:t>
      </w:r>
    </w:p>
    <w:p w14:paraId="06A08EDC" w14:textId="77777777" w:rsidR="007A4F9D" w:rsidRDefault="00DB2EA0">
      <w:pPr>
        <w:spacing w:line="520" w:lineRule="exact"/>
        <w:ind w:firstLineChars="200" w:firstLine="640"/>
        <w:rPr>
          <w:rFonts w:eastAsia="仿宋_GB2312"/>
          <w:szCs w:val="32"/>
        </w:rPr>
      </w:pPr>
      <w:r>
        <w:rPr>
          <w:rFonts w:eastAsia="仿宋_GB2312" w:hint="eastAsia"/>
          <w:szCs w:val="32"/>
        </w:rPr>
        <w:t>4.6</w:t>
      </w:r>
      <w:r>
        <w:rPr>
          <w:rFonts w:eastAsia="仿宋_GB2312" w:hint="eastAsia"/>
          <w:szCs w:val="32"/>
        </w:rPr>
        <w:t>其它资料</w:t>
      </w:r>
    </w:p>
    <w:p w14:paraId="63020903" w14:textId="77777777" w:rsidR="007A4F9D" w:rsidRDefault="00DB2EA0">
      <w:pPr>
        <w:spacing w:line="520" w:lineRule="exact"/>
        <w:ind w:firstLineChars="200" w:firstLine="640"/>
        <w:rPr>
          <w:rFonts w:eastAsia="仿宋_GB2312"/>
          <w:szCs w:val="32"/>
        </w:rPr>
      </w:pPr>
      <w:r>
        <w:rPr>
          <w:rFonts w:eastAsia="仿宋_GB2312" w:hint="eastAsia"/>
          <w:szCs w:val="32"/>
        </w:rPr>
        <w:t>列入《免于进行临床评价医疗器械目录》（以下简称《目录》）的产品，注册申请人需提交申报产品相关信息与《目录》所述内容的对比资料以及申报产品与已获准境内注册的《目录》中医疗器械的对比说明。关于申报产品与已获准境内注册的《目录》中医疗器械的对比项目中结构组成的对比需包括产品组成成分及百分含量的对比。针对对比资料中的差异部分，宜提交申报产</w:t>
      </w:r>
      <w:r>
        <w:rPr>
          <w:rFonts w:eastAsia="仿宋_GB2312" w:hint="eastAsia"/>
          <w:szCs w:val="32"/>
        </w:rPr>
        <w:t>品自身的非临床研究资料证明差异性对临床使用的安全性有效性未产生不利影响，证明申报产</w:t>
      </w:r>
      <w:r>
        <w:rPr>
          <w:rFonts w:eastAsia="仿宋_GB2312" w:hint="eastAsia"/>
          <w:szCs w:val="32"/>
        </w:rPr>
        <w:lastRenderedPageBreak/>
        <w:t>品与《目录》所述产品具有基本等同性。</w:t>
      </w:r>
    </w:p>
    <w:p w14:paraId="6CAF609E" w14:textId="77777777" w:rsidR="007A4F9D" w:rsidRDefault="00DB2EA0">
      <w:pPr>
        <w:spacing w:line="520" w:lineRule="exact"/>
        <w:ind w:firstLineChars="200" w:firstLine="640"/>
        <w:rPr>
          <w:rFonts w:eastAsia="仿宋_GB2312"/>
          <w:szCs w:val="32"/>
        </w:rPr>
      </w:pPr>
      <w:r>
        <w:rPr>
          <w:rFonts w:eastAsia="仿宋_GB2312" w:hint="eastAsia"/>
          <w:szCs w:val="32"/>
        </w:rPr>
        <w:t>使用了新材料、活性成分、新技术、新设计或具有新作用机理、新功能的产品，不属于《目录》描述范围的产品，注册申请人宜选择其他临床评价路径进行评价。</w:t>
      </w:r>
      <w:bookmarkStart w:id="0" w:name="_GoBack"/>
      <w:bookmarkEnd w:id="0"/>
    </w:p>
    <w:p w14:paraId="5FDBCE3C" w14:textId="77777777" w:rsidR="007A4F9D" w:rsidRDefault="00DB2EA0">
      <w:pPr>
        <w:spacing w:line="520" w:lineRule="exact"/>
        <w:ind w:firstLineChars="200" w:firstLine="640"/>
        <w:rPr>
          <w:rFonts w:eastAsia="楷体_GB2312"/>
          <w:szCs w:val="32"/>
        </w:rPr>
      </w:pPr>
      <w:r>
        <w:rPr>
          <w:rFonts w:eastAsia="楷体_GB2312"/>
          <w:szCs w:val="32"/>
        </w:rPr>
        <w:t>（四）临床评价资料</w:t>
      </w:r>
    </w:p>
    <w:p w14:paraId="03114AFB" w14:textId="77777777" w:rsidR="007A4F9D" w:rsidRDefault="00DB2EA0">
      <w:pPr>
        <w:spacing w:line="520" w:lineRule="exact"/>
        <w:ind w:firstLineChars="200" w:firstLine="640"/>
        <w:rPr>
          <w:rFonts w:eastAsia="仿宋_GB2312"/>
          <w:szCs w:val="32"/>
        </w:rPr>
      </w:pPr>
      <w:r>
        <w:rPr>
          <w:rFonts w:eastAsia="仿宋_GB2312" w:hint="eastAsia"/>
          <w:szCs w:val="32"/>
        </w:rPr>
        <w:t>对不符合《免于进行临床评价医疗器械目录》的预处理剂产品</w:t>
      </w:r>
      <w:r>
        <w:rPr>
          <w:rFonts w:eastAsia="仿宋_GB2312"/>
          <w:szCs w:val="32"/>
        </w:rPr>
        <w:t>，注册申请人需按照《医疗器械临床评价技术指导原则》的要求，根据产品的适用范围、技术特征、已有临床数据等情形，选择恰当的临床评价路径，包括同品种医疗器械评价路径和</w:t>
      </w:r>
      <w:r>
        <w:rPr>
          <w:rFonts w:eastAsia="仿宋_GB2312"/>
          <w:szCs w:val="32"/>
        </w:rPr>
        <w:t>/</w:t>
      </w:r>
      <w:r>
        <w:rPr>
          <w:rFonts w:eastAsia="仿宋_GB2312"/>
          <w:szCs w:val="32"/>
        </w:rPr>
        <w:t>或临床试验路径。</w:t>
      </w:r>
    </w:p>
    <w:p w14:paraId="3D4D6DD3" w14:textId="77777777" w:rsidR="007A4F9D" w:rsidRDefault="00DB2EA0">
      <w:pPr>
        <w:spacing w:line="520" w:lineRule="exact"/>
        <w:ind w:firstLineChars="200" w:firstLine="640"/>
        <w:rPr>
          <w:rFonts w:eastAsia="楷体_GB2312"/>
          <w:szCs w:val="32"/>
        </w:rPr>
      </w:pPr>
      <w:r>
        <w:rPr>
          <w:rFonts w:eastAsia="楷体_GB2312"/>
          <w:szCs w:val="32"/>
        </w:rPr>
        <w:t>（五）产品说明书和标签样稿</w:t>
      </w:r>
    </w:p>
    <w:p w14:paraId="5596D339" w14:textId="77777777" w:rsidR="007A4F9D" w:rsidRDefault="00DB2EA0">
      <w:pPr>
        <w:pStyle w:val="10"/>
        <w:spacing w:line="520" w:lineRule="exact"/>
        <w:ind w:firstLine="640"/>
      </w:pPr>
      <w:r>
        <w:t>产品说明书和标签要求的编写应符合《医疗器械说明书和标签管理规定》和相关标准的要求，同时还应注意以下几点（不限于此）：</w:t>
      </w:r>
    </w:p>
    <w:p w14:paraId="18EA1C26" w14:textId="77777777" w:rsidR="007A4F9D" w:rsidRDefault="00DB2EA0">
      <w:pPr>
        <w:overflowPunct w:val="0"/>
        <w:spacing w:line="520" w:lineRule="exact"/>
        <w:ind w:firstLineChars="200" w:firstLine="640"/>
        <w:rPr>
          <w:rFonts w:eastAsia="仿宋_GB2312"/>
          <w:szCs w:val="32"/>
        </w:rPr>
      </w:pPr>
      <w:r>
        <w:rPr>
          <w:rFonts w:eastAsia="仿宋_GB2312"/>
          <w:szCs w:val="32"/>
        </w:rPr>
        <w:t>1.</w:t>
      </w:r>
      <w:r>
        <w:rPr>
          <w:rFonts w:eastAsia="仿宋_GB2312" w:hint="eastAsia"/>
          <w:szCs w:val="32"/>
        </w:rPr>
        <w:t>产品一般信息，包括产品结构及组成、产品主要成分等。</w:t>
      </w:r>
    </w:p>
    <w:p w14:paraId="24EBFAB8" w14:textId="77777777" w:rsidR="007A4F9D" w:rsidRDefault="00DB2EA0">
      <w:pPr>
        <w:overflowPunct w:val="0"/>
        <w:spacing w:line="520" w:lineRule="exact"/>
        <w:ind w:firstLineChars="200" w:firstLine="640"/>
        <w:rPr>
          <w:rFonts w:eastAsia="仿宋_GB2312"/>
          <w:szCs w:val="32"/>
        </w:rPr>
      </w:pPr>
      <w:r>
        <w:rPr>
          <w:rFonts w:eastAsia="仿宋_GB2312"/>
          <w:szCs w:val="32"/>
        </w:rPr>
        <w:t>2.</w:t>
      </w:r>
      <w:r>
        <w:rPr>
          <w:rFonts w:eastAsia="仿宋_GB2312"/>
          <w:szCs w:val="32"/>
        </w:rPr>
        <w:t>推荐的贮存条件：明确允许的贮存、运输温度的范围，是否需要避免低温或高温</w:t>
      </w:r>
      <w:r>
        <w:rPr>
          <w:rFonts w:eastAsia="仿宋_GB2312" w:hint="eastAsia"/>
          <w:szCs w:val="32"/>
        </w:rPr>
        <w:t>。</w:t>
      </w:r>
    </w:p>
    <w:p w14:paraId="4450F0C5" w14:textId="77777777" w:rsidR="007A4F9D" w:rsidRDefault="00DB2EA0">
      <w:pPr>
        <w:overflowPunct w:val="0"/>
        <w:spacing w:line="520" w:lineRule="exact"/>
        <w:ind w:firstLineChars="200" w:firstLine="640"/>
        <w:rPr>
          <w:rFonts w:eastAsia="仿宋_GB2312"/>
          <w:szCs w:val="32"/>
        </w:rPr>
      </w:pPr>
      <w:r>
        <w:rPr>
          <w:rFonts w:eastAsia="仿宋_GB2312"/>
          <w:szCs w:val="32"/>
        </w:rPr>
        <w:t>3.</w:t>
      </w:r>
      <w:r>
        <w:rPr>
          <w:rFonts w:eastAsia="仿宋_GB2312"/>
          <w:szCs w:val="32"/>
        </w:rPr>
        <w:t>使用方法：说明产品</w:t>
      </w:r>
      <w:r>
        <w:rPr>
          <w:rFonts w:eastAsia="仿宋_GB2312" w:hint="eastAsia"/>
          <w:szCs w:val="32"/>
        </w:rPr>
        <w:t>使用方法、</w:t>
      </w:r>
      <w:r>
        <w:rPr>
          <w:rFonts w:eastAsia="仿宋_GB2312"/>
          <w:szCs w:val="32"/>
        </w:rPr>
        <w:t>作用</w:t>
      </w:r>
      <w:r>
        <w:rPr>
          <w:rFonts w:eastAsia="仿宋_GB2312" w:hint="eastAsia"/>
          <w:szCs w:val="32"/>
        </w:rPr>
        <w:t>位置以及使用</w:t>
      </w:r>
      <w:r>
        <w:rPr>
          <w:rFonts w:eastAsia="仿宋_GB2312"/>
          <w:szCs w:val="32"/>
        </w:rPr>
        <w:t>时间</w:t>
      </w:r>
      <w:r>
        <w:rPr>
          <w:rFonts w:eastAsia="仿宋_GB2312" w:hint="eastAsia"/>
          <w:szCs w:val="32"/>
        </w:rPr>
        <w:t>等要求</w:t>
      </w:r>
      <w:r>
        <w:rPr>
          <w:rFonts w:eastAsia="仿宋_GB2312"/>
          <w:szCs w:val="32"/>
        </w:rPr>
        <w:t>；</w:t>
      </w:r>
      <w:r>
        <w:rPr>
          <w:rFonts w:eastAsia="仿宋_GB2312" w:hint="eastAsia"/>
          <w:szCs w:val="32"/>
        </w:rPr>
        <w:t>明确</w:t>
      </w:r>
      <w:r>
        <w:rPr>
          <w:rFonts w:eastAsia="仿宋_GB2312"/>
          <w:szCs w:val="32"/>
        </w:rPr>
        <w:t>产品废弃后的处理方式等。</w:t>
      </w:r>
    </w:p>
    <w:p w14:paraId="282DE90E" w14:textId="77777777" w:rsidR="007A4F9D" w:rsidRDefault="00DB2EA0">
      <w:pPr>
        <w:overflowPunct w:val="0"/>
        <w:spacing w:line="520" w:lineRule="exact"/>
        <w:ind w:firstLineChars="200" w:firstLine="640"/>
        <w:rPr>
          <w:rFonts w:eastAsia="仿宋_GB2312"/>
          <w:szCs w:val="32"/>
        </w:rPr>
      </w:pPr>
      <w:r>
        <w:rPr>
          <w:rFonts w:eastAsia="仿宋_GB2312"/>
          <w:szCs w:val="32"/>
        </w:rPr>
        <w:t>4.</w:t>
      </w:r>
      <w:r>
        <w:rPr>
          <w:rFonts w:eastAsia="仿宋_GB2312"/>
          <w:szCs w:val="32"/>
        </w:rPr>
        <w:t>注意事项一般应有以下内容：</w:t>
      </w:r>
      <w:r>
        <w:rPr>
          <w:rFonts w:eastAsia="仿宋_GB2312" w:hint="eastAsia"/>
          <w:szCs w:val="32"/>
        </w:rPr>
        <w:t>产</w:t>
      </w:r>
      <w:r>
        <w:rPr>
          <w:rFonts w:eastAsia="仿宋_GB2312"/>
          <w:szCs w:val="32"/>
        </w:rPr>
        <w:t>品具有刺激性，</w:t>
      </w:r>
      <w:r>
        <w:rPr>
          <w:rFonts w:eastAsia="仿宋_GB2312" w:hint="eastAsia"/>
          <w:szCs w:val="32"/>
        </w:rPr>
        <w:t>明确发生误接触或吞咽后的处理方法。</w:t>
      </w:r>
    </w:p>
    <w:p w14:paraId="157B8CB4" w14:textId="77777777" w:rsidR="007A4F9D" w:rsidRDefault="00DB2EA0">
      <w:pPr>
        <w:overflowPunct w:val="0"/>
        <w:spacing w:line="520" w:lineRule="exact"/>
        <w:ind w:firstLineChars="200" w:firstLine="640"/>
        <w:rPr>
          <w:rFonts w:eastAsia="仿宋_GB2312"/>
          <w:szCs w:val="32"/>
        </w:rPr>
      </w:pPr>
      <w:r>
        <w:rPr>
          <w:rFonts w:eastAsia="仿宋_GB2312"/>
          <w:szCs w:val="32"/>
        </w:rPr>
        <w:t>5.</w:t>
      </w:r>
      <w:r>
        <w:rPr>
          <w:rFonts w:eastAsia="仿宋_GB2312"/>
          <w:szCs w:val="32"/>
        </w:rPr>
        <w:t>禁忌证至少包括以下内容：已知对</w:t>
      </w:r>
      <w:r>
        <w:rPr>
          <w:rFonts w:eastAsia="仿宋_GB2312" w:hint="eastAsia"/>
          <w:szCs w:val="32"/>
        </w:rPr>
        <w:t>预处理</w:t>
      </w:r>
      <w:r>
        <w:rPr>
          <w:rFonts w:eastAsia="仿宋_GB2312"/>
          <w:szCs w:val="32"/>
        </w:rPr>
        <w:t>剂成分过敏者。</w:t>
      </w:r>
    </w:p>
    <w:p w14:paraId="66801DC4" w14:textId="77777777" w:rsidR="007A4F9D" w:rsidRDefault="00DB2EA0">
      <w:pPr>
        <w:spacing w:line="520" w:lineRule="exact"/>
        <w:ind w:rightChars="-32" w:right="-102" w:firstLineChars="200" w:firstLine="640"/>
        <w:rPr>
          <w:rFonts w:eastAsia="仿宋_GB2312"/>
          <w:szCs w:val="32"/>
        </w:rPr>
      </w:pPr>
      <w:r>
        <w:rPr>
          <w:rFonts w:eastAsia="仿宋_GB2312" w:hint="eastAsia"/>
          <w:szCs w:val="32"/>
        </w:rPr>
        <w:t>6.</w:t>
      </w:r>
      <w:r>
        <w:rPr>
          <w:rFonts w:eastAsia="仿宋_GB2312" w:hint="eastAsia"/>
          <w:szCs w:val="32"/>
        </w:rPr>
        <w:t>说明书需告知使用者所有使用过程中相关的剩余风险。对产品预期使用者的技术知识、经验、教育背景、培训、身</w:t>
      </w:r>
      <w:r>
        <w:rPr>
          <w:rFonts w:eastAsia="仿宋_GB2312" w:hint="eastAsia"/>
          <w:szCs w:val="32"/>
        </w:rPr>
        <w:lastRenderedPageBreak/>
        <w:t>体状况以及产品使用环境（含工作条件）有要求的，在说明书中需予以明确。</w:t>
      </w:r>
    </w:p>
    <w:p w14:paraId="40DC4662" w14:textId="77777777" w:rsidR="007A4F9D" w:rsidRDefault="00DB2EA0">
      <w:pPr>
        <w:spacing w:line="520" w:lineRule="exact"/>
        <w:ind w:firstLineChars="200" w:firstLine="640"/>
        <w:rPr>
          <w:rFonts w:eastAsia="楷体_GB2312"/>
          <w:szCs w:val="32"/>
        </w:rPr>
      </w:pPr>
      <w:r>
        <w:rPr>
          <w:rFonts w:eastAsia="楷体_GB2312"/>
          <w:szCs w:val="32"/>
        </w:rPr>
        <w:t>（六）质量管理体系文件</w:t>
      </w:r>
    </w:p>
    <w:p w14:paraId="30A92AA5" w14:textId="77777777" w:rsidR="007A4F9D" w:rsidRDefault="00DB2EA0">
      <w:pPr>
        <w:spacing w:line="520" w:lineRule="exact"/>
        <w:ind w:firstLineChars="200" w:firstLine="640"/>
        <w:rPr>
          <w:rFonts w:eastAsia="仿宋_GB2312"/>
          <w:szCs w:val="32"/>
        </w:rPr>
      </w:pPr>
      <w:r>
        <w:rPr>
          <w:rFonts w:eastAsia="仿宋_GB2312"/>
          <w:szCs w:val="32"/>
        </w:rPr>
        <w:t>1.</w:t>
      </w:r>
      <w:r>
        <w:rPr>
          <w:rFonts w:eastAsia="仿宋_GB2312"/>
          <w:szCs w:val="32"/>
        </w:rPr>
        <w:t>详述产品的生产工艺和步骤，提供生产工艺流程图。提交产品生产工艺概述、生产工艺过程中需要进行控制和测试的环节及相关证明性资料。确认关键工</w:t>
      </w:r>
      <w:r>
        <w:rPr>
          <w:rFonts w:eastAsia="仿宋_GB2312"/>
          <w:szCs w:val="32"/>
        </w:rPr>
        <w:t>艺点，并对生产工艺的可控性、稳定性进行确认。</w:t>
      </w:r>
    </w:p>
    <w:p w14:paraId="7AB1A952" w14:textId="77777777" w:rsidR="007A4F9D" w:rsidRDefault="00DB2EA0">
      <w:pPr>
        <w:spacing w:line="520" w:lineRule="exact"/>
        <w:ind w:firstLineChars="200" w:firstLine="640"/>
        <w:rPr>
          <w:rFonts w:eastAsia="仿宋_GB2312"/>
          <w:szCs w:val="32"/>
        </w:rPr>
      </w:pPr>
      <w:r>
        <w:rPr>
          <w:rFonts w:eastAsia="仿宋_GB2312"/>
          <w:szCs w:val="32"/>
        </w:rPr>
        <w:t>2.</w:t>
      </w:r>
      <w:r>
        <w:rPr>
          <w:rFonts w:eastAsia="仿宋_GB2312"/>
          <w:szCs w:val="32"/>
        </w:rPr>
        <w:t>明确特殊过程和关键工序，提供特殊过程的确认资料以及关键工序的验证资料。对于可能影响终产品性能的内容，如打印工艺，后处理工艺，清洗工艺等，需提供详细的工艺验证资料。</w:t>
      </w:r>
    </w:p>
    <w:p w14:paraId="51880C89" w14:textId="77777777" w:rsidR="007A4F9D" w:rsidRDefault="00DB2EA0">
      <w:pPr>
        <w:spacing w:line="520" w:lineRule="exact"/>
        <w:ind w:firstLineChars="200" w:firstLine="640"/>
        <w:rPr>
          <w:rFonts w:eastAsia="仿宋_GB2312"/>
          <w:szCs w:val="32"/>
        </w:rPr>
      </w:pPr>
      <w:r>
        <w:rPr>
          <w:rFonts w:eastAsia="仿宋_GB2312"/>
          <w:szCs w:val="32"/>
        </w:rPr>
        <w:t>3.</w:t>
      </w:r>
      <w:r>
        <w:rPr>
          <w:rFonts w:eastAsia="仿宋_GB2312"/>
          <w:szCs w:val="32"/>
        </w:rPr>
        <w:t>明确原材料及生产工艺中涉及的各种加工助剂的质量控制标准。</w:t>
      </w:r>
    </w:p>
    <w:p w14:paraId="0944CEE8" w14:textId="77777777" w:rsidR="007A4F9D" w:rsidRDefault="00DB2EA0">
      <w:pPr>
        <w:pStyle w:val="10"/>
        <w:spacing w:line="520" w:lineRule="exact"/>
        <w:ind w:firstLine="640"/>
        <w:jc w:val="left"/>
        <w:outlineLvl w:val="0"/>
        <w:rPr>
          <w:rFonts w:eastAsia="黑体"/>
        </w:rPr>
      </w:pPr>
      <w:bookmarkStart w:id="1" w:name="_Toc265839389"/>
      <w:r>
        <w:rPr>
          <w:rFonts w:eastAsia="黑体" w:hint="eastAsia"/>
        </w:rPr>
        <w:t>三、</w:t>
      </w:r>
      <w:r>
        <w:rPr>
          <w:rFonts w:eastAsia="黑体"/>
        </w:rPr>
        <w:t>参考文献</w:t>
      </w:r>
      <w:bookmarkEnd w:id="1"/>
    </w:p>
    <w:p w14:paraId="01540EA9"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[1]</w:t>
      </w:r>
      <w:r>
        <w:rPr>
          <w:rFonts w:eastAsia="仿宋_GB2312" w:cs="仿宋_GB2312" w:hint="eastAsia"/>
          <w:bCs/>
          <w:szCs w:val="32"/>
          <w:lang w:val="en"/>
        </w:rPr>
        <w:t>中华人民共和国国务院</w:t>
      </w:r>
      <w:r>
        <w:rPr>
          <w:rFonts w:eastAsia="仿宋_GB2312" w:cs="仿宋_GB2312" w:hint="eastAsia"/>
          <w:bCs/>
          <w:szCs w:val="32"/>
          <w:lang w:val="en"/>
        </w:rPr>
        <w:t>.</w:t>
      </w:r>
      <w:r>
        <w:rPr>
          <w:rFonts w:eastAsia="仿宋_GB2312" w:cs="仿宋_GB2312" w:hint="eastAsia"/>
          <w:bCs/>
          <w:szCs w:val="32"/>
        </w:rPr>
        <w:t>医疗器械监督管理条例</w:t>
      </w:r>
      <w:r>
        <w:rPr>
          <w:rFonts w:eastAsia="仿宋_GB2312" w:cs="仿宋_GB2312" w:hint="eastAsia"/>
          <w:bCs/>
          <w:szCs w:val="32"/>
        </w:rPr>
        <w:t>:</w:t>
      </w:r>
      <w:r>
        <w:rPr>
          <w:rFonts w:eastAsia="仿宋_GB2312" w:cs="仿宋_GB2312" w:hint="eastAsia"/>
          <w:bCs/>
          <w:szCs w:val="32"/>
          <w:lang w:val="en"/>
        </w:rPr>
        <w:t>中华人民共和国国务院令第</w:t>
      </w:r>
      <w:r>
        <w:rPr>
          <w:rFonts w:eastAsia="仿宋_GB2312" w:cs="仿宋_GB2312" w:hint="eastAsia"/>
          <w:bCs/>
          <w:szCs w:val="32"/>
          <w:lang w:val="en"/>
        </w:rPr>
        <w:t>739</w:t>
      </w:r>
      <w:r>
        <w:rPr>
          <w:rFonts w:eastAsia="仿宋_GB2312" w:cs="仿宋_GB2312" w:hint="eastAsia"/>
          <w:bCs/>
          <w:szCs w:val="32"/>
          <w:lang w:val="en"/>
        </w:rPr>
        <w:t>号</w:t>
      </w:r>
      <w:r>
        <w:rPr>
          <w:rFonts w:eastAsia="仿宋_GB2312" w:cs="仿宋_GB2312" w:hint="eastAsia"/>
          <w:bCs/>
          <w:szCs w:val="32"/>
        </w:rPr>
        <w:t>[Z].</w:t>
      </w:r>
    </w:p>
    <w:p w14:paraId="61650CBE"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w:t>
      </w:r>
      <w:r>
        <w:rPr>
          <w:rFonts w:eastAsia="仿宋_GB2312" w:cs="仿宋_GB2312" w:hint="eastAsia"/>
          <w:bCs/>
          <w:szCs w:val="32"/>
        </w:rPr>
        <w:t>国家市场监督管理总局</w:t>
      </w:r>
      <w:r>
        <w:rPr>
          <w:rFonts w:eastAsia="仿宋_GB2312" w:cs="仿宋_GB2312" w:hint="eastAsia"/>
          <w:bCs/>
          <w:szCs w:val="32"/>
        </w:rPr>
        <w:t>.</w:t>
      </w:r>
      <w:r>
        <w:rPr>
          <w:rFonts w:eastAsia="仿宋_GB2312" w:cs="仿宋_GB2312" w:hint="eastAsia"/>
          <w:bCs/>
          <w:szCs w:val="32"/>
        </w:rPr>
        <w:t>医疗器械注册与备案管理办法</w:t>
      </w:r>
      <w:r>
        <w:rPr>
          <w:rFonts w:eastAsia="仿宋_GB2312" w:cs="仿宋_GB2312" w:hint="eastAsia"/>
          <w:bCs/>
          <w:szCs w:val="32"/>
        </w:rPr>
        <w:t>:</w:t>
      </w:r>
      <w:r>
        <w:rPr>
          <w:rFonts w:eastAsia="仿宋_GB2312" w:cs="仿宋_GB2312" w:hint="eastAsia"/>
          <w:bCs/>
          <w:szCs w:val="32"/>
        </w:rPr>
        <w:t>国家市场监督管理总局令第</w:t>
      </w:r>
      <w:r>
        <w:rPr>
          <w:rFonts w:eastAsia="仿宋_GB2312" w:cs="仿宋_GB2312" w:hint="eastAsia"/>
          <w:bCs/>
          <w:szCs w:val="32"/>
        </w:rPr>
        <w:t>47</w:t>
      </w:r>
      <w:r>
        <w:rPr>
          <w:rFonts w:eastAsia="仿宋_GB2312" w:cs="仿宋_GB2312" w:hint="eastAsia"/>
          <w:bCs/>
          <w:szCs w:val="32"/>
        </w:rPr>
        <w:t>号</w:t>
      </w:r>
      <w:r>
        <w:rPr>
          <w:rFonts w:eastAsia="仿宋_GB2312" w:cs="仿宋_GB2312" w:hint="eastAsia"/>
          <w:bCs/>
          <w:szCs w:val="32"/>
        </w:rPr>
        <w:t>[Z].</w:t>
      </w:r>
    </w:p>
    <w:p w14:paraId="6A97875F"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[3]</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医疗器械注册申报资料要求和批准证明文件格式</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121</w:t>
      </w:r>
      <w:r>
        <w:rPr>
          <w:rFonts w:eastAsia="仿宋_GB2312" w:cs="仿宋_GB2312" w:hint="eastAsia"/>
          <w:bCs/>
          <w:szCs w:val="32"/>
        </w:rPr>
        <w:t>号</w:t>
      </w:r>
      <w:r>
        <w:rPr>
          <w:rFonts w:eastAsia="仿宋_GB2312" w:cs="仿宋_GB2312" w:hint="eastAsia"/>
          <w:bCs/>
          <w:szCs w:val="32"/>
        </w:rPr>
        <w:t>[Z].</w:t>
      </w:r>
    </w:p>
    <w:p w14:paraId="6C6F1C30"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[4]</w:t>
      </w:r>
      <w:r>
        <w:rPr>
          <w:rFonts w:eastAsia="仿宋_GB2312" w:cs="仿宋_GB2312" w:hint="eastAsia"/>
          <w:bCs/>
          <w:szCs w:val="32"/>
          <w:lang w:val="en"/>
        </w:rPr>
        <w:t>国家食品药品监督管理局</w:t>
      </w:r>
      <w:r>
        <w:rPr>
          <w:rFonts w:eastAsia="仿宋_GB2312" w:cs="仿宋_GB2312" w:hint="eastAsia"/>
          <w:bCs/>
          <w:szCs w:val="32"/>
        </w:rPr>
        <w:t>.</w:t>
      </w:r>
      <w:r>
        <w:rPr>
          <w:rFonts w:eastAsia="仿宋_GB2312" w:cs="仿宋_GB2312" w:hint="eastAsia"/>
          <w:bCs/>
          <w:szCs w:val="32"/>
        </w:rPr>
        <w:t>医疗器械注册单元划分指导原则</w:t>
      </w:r>
      <w:r>
        <w:rPr>
          <w:rFonts w:eastAsia="仿宋_GB2312" w:cs="仿宋_GB2312" w:hint="eastAsia"/>
          <w:bCs/>
          <w:szCs w:val="32"/>
        </w:rPr>
        <w:t>:</w:t>
      </w:r>
      <w:r>
        <w:rPr>
          <w:rFonts w:eastAsia="仿宋_GB2312" w:cs="仿宋_GB2312" w:hint="eastAsia"/>
          <w:bCs/>
          <w:szCs w:val="32"/>
        </w:rPr>
        <w:t>总局通</w:t>
      </w:r>
      <w:r>
        <w:rPr>
          <w:rFonts w:eastAsia="仿宋_GB2312" w:cs="仿宋_GB2312" w:hint="eastAsia"/>
          <w:bCs/>
          <w:szCs w:val="32"/>
          <w:lang w:val="en"/>
        </w:rPr>
        <w:t>告</w:t>
      </w:r>
      <w:r>
        <w:rPr>
          <w:rFonts w:eastAsia="仿宋_GB2312" w:cs="仿宋_GB2312" w:hint="eastAsia"/>
          <w:bCs/>
          <w:szCs w:val="32"/>
          <w:lang w:val="en"/>
        </w:rPr>
        <w:t>2017</w:t>
      </w:r>
      <w:r>
        <w:rPr>
          <w:rFonts w:eastAsia="仿宋_GB2312" w:cs="仿宋_GB2312" w:hint="eastAsia"/>
          <w:bCs/>
          <w:szCs w:val="32"/>
          <w:lang w:val="en"/>
        </w:rPr>
        <w:t>年第</w:t>
      </w:r>
      <w:r>
        <w:rPr>
          <w:rFonts w:eastAsia="仿宋_GB2312" w:cs="仿宋_GB2312" w:hint="eastAsia"/>
          <w:bCs/>
          <w:szCs w:val="32"/>
          <w:lang w:val="en"/>
        </w:rPr>
        <w:t>187</w:t>
      </w:r>
      <w:r>
        <w:rPr>
          <w:rFonts w:eastAsia="仿宋_GB2312" w:cs="仿宋_GB2312" w:hint="eastAsia"/>
          <w:bCs/>
          <w:szCs w:val="32"/>
          <w:lang w:val="en"/>
        </w:rPr>
        <w:t>号</w:t>
      </w:r>
      <w:r>
        <w:rPr>
          <w:rFonts w:eastAsia="仿宋_GB2312" w:cs="仿宋_GB2312" w:hint="eastAsia"/>
          <w:bCs/>
          <w:szCs w:val="32"/>
        </w:rPr>
        <w:t>[Z].</w:t>
      </w:r>
    </w:p>
    <w:p w14:paraId="60DA495A" w14:textId="77777777" w:rsidR="007A4F9D" w:rsidRDefault="00DB2EA0">
      <w:pPr>
        <w:spacing w:line="520" w:lineRule="exact"/>
        <w:ind w:firstLineChars="200" w:firstLine="640"/>
        <w:outlineLvl w:val="0"/>
        <w:rPr>
          <w:rFonts w:eastAsia="仿宋_GB2312" w:cs="仿宋_GB2312"/>
          <w:bCs/>
          <w:szCs w:val="32"/>
        </w:rPr>
      </w:pPr>
      <w:bookmarkStart w:id="2" w:name="_Hlk126776306"/>
      <w:r>
        <w:rPr>
          <w:rFonts w:eastAsia="仿宋_GB2312" w:cs="仿宋_GB2312" w:hint="eastAsia"/>
          <w:bCs/>
          <w:szCs w:val="32"/>
        </w:rPr>
        <w:t>[5]</w:t>
      </w:r>
      <w:bookmarkEnd w:id="2"/>
      <w:r>
        <w:rPr>
          <w:rFonts w:eastAsia="仿宋_GB2312" w:cs="仿宋_GB2312" w:hint="eastAsia"/>
          <w:bCs/>
          <w:szCs w:val="32"/>
          <w:lang w:val="en"/>
        </w:rPr>
        <w:t>国家食品药品监督管理局</w:t>
      </w:r>
      <w:r>
        <w:rPr>
          <w:rFonts w:eastAsia="仿宋_GB2312" w:cs="仿宋_GB2312" w:hint="eastAsia"/>
          <w:bCs/>
          <w:szCs w:val="32"/>
        </w:rPr>
        <w:t>.</w:t>
      </w:r>
      <w:r>
        <w:rPr>
          <w:rFonts w:eastAsia="仿宋_GB2312" w:cs="仿宋_GB2312" w:hint="eastAsia"/>
          <w:bCs/>
          <w:szCs w:val="32"/>
        </w:rPr>
        <w:t>医疗器械分类目录</w:t>
      </w:r>
      <w:r>
        <w:rPr>
          <w:rFonts w:eastAsia="仿宋_GB2312" w:cs="仿宋_GB2312" w:hint="eastAsia"/>
          <w:bCs/>
          <w:szCs w:val="32"/>
        </w:rPr>
        <w:t>:</w:t>
      </w:r>
      <w:r>
        <w:rPr>
          <w:rFonts w:eastAsia="仿宋_GB2312" w:cs="仿宋_GB2312" w:hint="eastAsia"/>
          <w:bCs/>
          <w:szCs w:val="32"/>
          <w:lang w:val="en"/>
        </w:rPr>
        <w:t>国家食品药品监督管理总局公告</w:t>
      </w:r>
      <w:r>
        <w:rPr>
          <w:rFonts w:eastAsia="仿宋_GB2312" w:cs="仿宋_GB2312" w:hint="eastAsia"/>
          <w:bCs/>
          <w:szCs w:val="32"/>
          <w:lang w:val="en"/>
        </w:rPr>
        <w:t>2017</w:t>
      </w:r>
      <w:r>
        <w:rPr>
          <w:rFonts w:eastAsia="仿宋_GB2312" w:cs="仿宋_GB2312" w:hint="eastAsia"/>
          <w:bCs/>
          <w:szCs w:val="32"/>
          <w:lang w:val="en"/>
        </w:rPr>
        <w:t>年第</w:t>
      </w:r>
      <w:r>
        <w:rPr>
          <w:rFonts w:eastAsia="仿宋_GB2312" w:cs="仿宋_GB2312" w:hint="eastAsia"/>
          <w:bCs/>
          <w:szCs w:val="32"/>
          <w:lang w:val="en"/>
        </w:rPr>
        <w:t>104</w:t>
      </w:r>
      <w:r>
        <w:rPr>
          <w:rFonts w:eastAsia="仿宋_GB2312" w:cs="仿宋_GB2312" w:hint="eastAsia"/>
          <w:bCs/>
          <w:szCs w:val="32"/>
          <w:lang w:val="en"/>
        </w:rPr>
        <w:t>号</w:t>
      </w:r>
      <w:r>
        <w:rPr>
          <w:rFonts w:eastAsia="仿宋_GB2312" w:cs="仿宋_GB2312" w:hint="eastAsia"/>
          <w:bCs/>
          <w:szCs w:val="32"/>
        </w:rPr>
        <w:t>[Z].</w:t>
      </w:r>
    </w:p>
    <w:p w14:paraId="331043F2"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[6]</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医疗器械安全和性能基本原则清单</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121</w:t>
      </w:r>
      <w:r>
        <w:rPr>
          <w:rFonts w:eastAsia="仿宋_GB2312" w:cs="仿宋_GB2312" w:hint="eastAsia"/>
          <w:bCs/>
          <w:szCs w:val="32"/>
        </w:rPr>
        <w:t>号</w:t>
      </w:r>
      <w:r>
        <w:rPr>
          <w:rFonts w:eastAsia="仿宋_GB2312" w:cs="仿宋_GB2312" w:hint="eastAsia"/>
          <w:bCs/>
          <w:szCs w:val="32"/>
        </w:rPr>
        <w:t>[Z].</w:t>
      </w:r>
    </w:p>
    <w:p w14:paraId="4F7F5E2E"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lastRenderedPageBreak/>
        <w:t>[7]</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医疗器械产品技术要求编写指导原则</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2022</w:t>
      </w:r>
      <w:r>
        <w:rPr>
          <w:rFonts w:eastAsia="仿宋_GB2312" w:cs="仿宋_GB2312" w:hint="eastAsia"/>
          <w:bCs/>
          <w:szCs w:val="32"/>
        </w:rPr>
        <w:t>年第</w:t>
      </w:r>
      <w:r>
        <w:rPr>
          <w:rFonts w:eastAsia="仿宋_GB2312" w:cs="仿宋_GB2312" w:hint="eastAsia"/>
          <w:bCs/>
          <w:szCs w:val="32"/>
        </w:rPr>
        <w:t>8</w:t>
      </w:r>
      <w:r>
        <w:rPr>
          <w:rFonts w:eastAsia="仿宋_GB2312" w:cs="仿宋_GB2312" w:hint="eastAsia"/>
          <w:bCs/>
          <w:szCs w:val="32"/>
        </w:rPr>
        <w:t>号</w:t>
      </w:r>
      <w:r>
        <w:rPr>
          <w:rFonts w:eastAsia="仿宋_GB2312" w:cs="仿宋_GB2312" w:hint="eastAsia"/>
          <w:bCs/>
          <w:szCs w:val="32"/>
        </w:rPr>
        <w:t>[Z].</w:t>
      </w:r>
    </w:p>
    <w:p w14:paraId="5084E1DD"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[8]</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医疗器械注册自检管理规定</w:t>
      </w:r>
      <w:r>
        <w:rPr>
          <w:rFonts w:eastAsia="仿宋_GB2312" w:cs="仿宋_GB2312" w:hint="eastAsia"/>
          <w:bCs/>
          <w:szCs w:val="32"/>
        </w:rPr>
        <w:t>:</w:t>
      </w:r>
      <w:r>
        <w:rPr>
          <w:rFonts w:eastAsia="仿宋_GB2312" w:cs="仿宋_GB2312" w:hint="eastAsia"/>
          <w:bCs/>
          <w:szCs w:val="32"/>
        </w:rPr>
        <w:t>国家药监局公告</w:t>
      </w:r>
      <w:r>
        <w:rPr>
          <w:rFonts w:eastAsia="仿宋_GB2312" w:cs="仿宋_GB2312" w:hint="eastAsia"/>
          <w:bCs/>
          <w:szCs w:val="32"/>
        </w:rPr>
        <w:t>2021</w:t>
      </w:r>
      <w:r>
        <w:rPr>
          <w:rFonts w:eastAsia="仿宋_GB2312" w:cs="仿宋_GB2312" w:hint="eastAsia"/>
          <w:bCs/>
          <w:szCs w:val="32"/>
        </w:rPr>
        <w:t>年第</w:t>
      </w:r>
      <w:r>
        <w:rPr>
          <w:rFonts w:eastAsia="仿宋_GB2312" w:cs="仿宋_GB2312" w:hint="eastAsia"/>
          <w:bCs/>
          <w:szCs w:val="32"/>
        </w:rPr>
        <w:t>126</w:t>
      </w:r>
      <w:r>
        <w:rPr>
          <w:rFonts w:eastAsia="仿宋_GB2312" w:cs="仿宋_GB2312" w:hint="eastAsia"/>
          <w:bCs/>
          <w:szCs w:val="32"/>
        </w:rPr>
        <w:t>号</w:t>
      </w:r>
      <w:r>
        <w:rPr>
          <w:rFonts w:eastAsia="仿宋_GB2312" w:cs="仿宋_GB2312" w:hint="eastAsia"/>
          <w:bCs/>
          <w:szCs w:val="32"/>
        </w:rPr>
        <w:t>[Z].</w:t>
      </w:r>
    </w:p>
    <w:p w14:paraId="49C3E38D"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[9]</w:t>
      </w:r>
      <w:r>
        <w:rPr>
          <w:rFonts w:eastAsia="仿宋_GB2312" w:cs="仿宋_GB2312" w:hint="eastAsia"/>
          <w:bCs/>
          <w:szCs w:val="32"/>
        </w:rPr>
        <w:t>国家食品药品监督管理局</w:t>
      </w:r>
      <w:r>
        <w:rPr>
          <w:rFonts w:eastAsia="仿宋_GB2312" w:cs="仿宋_GB2312" w:hint="eastAsia"/>
          <w:bCs/>
          <w:szCs w:val="32"/>
        </w:rPr>
        <w:t>.</w:t>
      </w:r>
      <w:r>
        <w:rPr>
          <w:rFonts w:eastAsia="仿宋_GB2312" w:cs="仿宋_GB2312" w:hint="eastAsia"/>
          <w:bCs/>
          <w:szCs w:val="32"/>
        </w:rPr>
        <w:t>医疗器械生物学评价和审查指南</w:t>
      </w:r>
      <w:r>
        <w:rPr>
          <w:rFonts w:eastAsia="仿宋_GB2312" w:cs="仿宋_GB2312" w:hint="eastAsia"/>
          <w:bCs/>
          <w:szCs w:val="32"/>
        </w:rPr>
        <w:t>:</w:t>
      </w:r>
      <w:r>
        <w:rPr>
          <w:rFonts w:eastAsia="仿宋_GB2312" w:cs="仿宋_GB2312" w:hint="eastAsia"/>
          <w:bCs/>
          <w:szCs w:val="32"/>
        </w:rPr>
        <w:t>国家食品药品监督管理局通知</w:t>
      </w:r>
      <w:r>
        <w:rPr>
          <w:rFonts w:eastAsia="仿宋_GB2312" w:cs="仿宋_GB2312" w:hint="eastAsia"/>
          <w:bCs/>
          <w:szCs w:val="32"/>
          <w:lang w:val="en"/>
        </w:rPr>
        <w:t>2007</w:t>
      </w:r>
      <w:r>
        <w:rPr>
          <w:rFonts w:eastAsia="仿宋_GB2312" w:cs="仿宋_GB2312" w:hint="eastAsia"/>
          <w:bCs/>
          <w:szCs w:val="32"/>
          <w:lang w:val="en"/>
        </w:rPr>
        <w:t>年</w:t>
      </w:r>
      <w:r>
        <w:rPr>
          <w:rFonts w:eastAsia="仿宋_GB2312" w:cs="仿宋_GB2312" w:hint="eastAsia"/>
          <w:bCs/>
          <w:szCs w:val="32"/>
          <w:lang w:val="en"/>
        </w:rPr>
        <w:t>345</w:t>
      </w:r>
      <w:r>
        <w:rPr>
          <w:rFonts w:eastAsia="仿宋_GB2312" w:cs="仿宋_GB2312" w:hint="eastAsia"/>
          <w:bCs/>
          <w:szCs w:val="32"/>
          <w:lang w:val="en"/>
        </w:rPr>
        <w:t>号</w:t>
      </w:r>
      <w:r>
        <w:rPr>
          <w:rFonts w:eastAsia="仿宋_GB2312" w:cs="仿宋_GB2312" w:hint="eastAsia"/>
          <w:bCs/>
          <w:szCs w:val="32"/>
        </w:rPr>
        <w:t>[Z].</w:t>
      </w:r>
    </w:p>
    <w:p w14:paraId="29873E3D"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[10]</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列入免于临床评价医疗器械目录产品对比说明技术指导原则</w:t>
      </w:r>
      <w:r>
        <w:rPr>
          <w:rFonts w:eastAsia="仿宋_GB2312" w:cs="仿宋_GB2312" w:hint="eastAsia"/>
          <w:bCs/>
          <w:szCs w:val="32"/>
        </w:rPr>
        <w:t>:</w:t>
      </w:r>
      <w:r>
        <w:rPr>
          <w:rFonts w:eastAsia="仿宋_GB2312" w:cs="仿宋_GB2312" w:hint="eastAsia"/>
          <w:bCs/>
          <w:szCs w:val="32"/>
          <w:lang w:val="en"/>
        </w:rPr>
        <w:t>国家药监局通告</w:t>
      </w:r>
      <w:r>
        <w:rPr>
          <w:rFonts w:eastAsia="仿宋_GB2312" w:cs="仿宋_GB2312" w:hint="eastAsia"/>
          <w:bCs/>
          <w:szCs w:val="32"/>
          <w:lang w:val="en"/>
        </w:rPr>
        <w:t>2021</w:t>
      </w:r>
      <w:r>
        <w:rPr>
          <w:rFonts w:eastAsia="仿宋_GB2312" w:cs="仿宋_GB2312" w:hint="eastAsia"/>
          <w:bCs/>
          <w:szCs w:val="32"/>
          <w:lang w:val="en"/>
        </w:rPr>
        <w:t>年第</w:t>
      </w:r>
      <w:r>
        <w:rPr>
          <w:rFonts w:eastAsia="仿宋_GB2312" w:cs="仿宋_GB2312" w:hint="eastAsia"/>
          <w:bCs/>
          <w:szCs w:val="32"/>
          <w:lang w:val="en"/>
        </w:rPr>
        <w:t>73</w:t>
      </w:r>
      <w:r>
        <w:rPr>
          <w:rFonts w:eastAsia="仿宋_GB2312" w:cs="仿宋_GB2312" w:hint="eastAsia"/>
          <w:bCs/>
          <w:szCs w:val="32"/>
          <w:lang w:val="en"/>
        </w:rPr>
        <w:t>号</w:t>
      </w:r>
      <w:r>
        <w:rPr>
          <w:rFonts w:eastAsia="仿宋_GB2312" w:cs="仿宋_GB2312" w:hint="eastAsia"/>
          <w:bCs/>
          <w:szCs w:val="32"/>
        </w:rPr>
        <w:t>[Z].</w:t>
      </w:r>
    </w:p>
    <w:p w14:paraId="6E79CFB0"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[11]</w:t>
      </w:r>
      <w:r>
        <w:rPr>
          <w:rFonts w:eastAsia="仿宋_GB2312" w:cs="仿宋_GB2312" w:hint="eastAsia"/>
          <w:bCs/>
          <w:szCs w:val="32"/>
        </w:rPr>
        <w:t>国家药品监督管理局</w:t>
      </w:r>
      <w:r>
        <w:rPr>
          <w:rFonts w:eastAsia="仿宋_GB2312" w:cs="仿宋_GB2312" w:hint="eastAsia"/>
          <w:bCs/>
          <w:szCs w:val="32"/>
        </w:rPr>
        <w:t>.</w:t>
      </w:r>
      <w:r>
        <w:rPr>
          <w:rFonts w:eastAsia="仿宋_GB2312" w:cs="仿宋_GB2312" w:hint="eastAsia"/>
          <w:bCs/>
          <w:szCs w:val="32"/>
        </w:rPr>
        <w:t>免于进行临床评价医疗器械目录：</w:t>
      </w:r>
      <w:r>
        <w:rPr>
          <w:rFonts w:eastAsia="仿宋_GB2312" w:cs="仿宋_GB2312" w:hint="eastAsia"/>
          <w:bCs/>
          <w:szCs w:val="32"/>
          <w:lang w:val="en"/>
        </w:rPr>
        <w:t>国家药监局通告</w:t>
      </w:r>
      <w:r>
        <w:rPr>
          <w:rFonts w:eastAsia="仿宋_GB2312" w:cs="仿宋_GB2312" w:hint="eastAsia"/>
          <w:bCs/>
          <w:szCs w:val="32"/>
        </w:rPr>
        <w:t>202</w:t>
      </w:r>
      <w:r>
        <w:rPr>
          <w:rFonts w:eastAsia="仿宋_GB2312" w:cs="仿宋_GB2312" w:hint="eastAsia"/>
          <w:bCs/>
          <w:szCs w:val="32"/>
        </w:rPr>
        <w:t>5</w:t>
      </w:r>
      <w:r>
        <w:rPr>
          <w:rFonts w:eastAsia="仿宋_GB2312" w:cs="仿宋_GB2312" w:hint="eastAsia"/>
          <w:bCs/>
          <w:szCs w:val="32"/>
          <w:lang w:val="en"/>
        </w:rPr>
        <w:t>年第</w:t>
      </w:r>
      <w:r>
        <w:rPr>
          <w:rFonts w:eastAsia="仿宋_GB2312" w:cs="仿宋_GB2312" w:hint="eastAsia"/>
          <w:bCs/>
          <w:szCs w:val="32"/>
        </w:rPr>
        <w:t>19</w:t>
      </w:r>
      <w:r>
        <w:rPr>
          <w:rFonts w:eastAsia="仿宋_GB2312" w:cs="仿宋_GB2312" w:hint="eastAsia"/>
          <w:bCs/>
          <w:szCs w:val="32"/>
          <w:lang w:val="en"/>
        </w:rPr>
        <w:t>号</w:t>
      </w:r>
      <w:r>
        <w:rPr>
          <w:rFonts w:eastAsia="仿宋_GB2312" w:cs="仿宋_GB2312" w:hint="eastAsia"/>
          <w:bCs/>
          <w:szCs w:val="32"/>
        </w:rPr>
        <w:t>[Z].</w:t>
      </w:r>
    </w:p>
    <w:p w14:paraId="2BB69A1B" w14:textId="77777777" w:rsidR="007A4F9D" w:rsidRDefault="00DB2EA0">
      <w:pPr>
        <w:pStyle w:val="ae"/>
        <w:overflowPunct w:val="0"/>
        <w:autoSpaceDE w:val="0"/>
        <w:autoSpaceDN w:val="0"/>
        <w:spacing w:line="520" w:lineRule="exact"/>
        <w:ind w:firstLine="640"/>
        <w:outlineLvl w:val="2"/>
        <w:rPr>
          <w:rFonts w:eastAsia="仿宋_GB2312"/>
          <w:szCs w:val="32"/>
        </w:rPr>
      </w:pPr>
      <w:r>
        <w:rPr>
          <w:rFonts w:eastAsia="仿宋_GB2312"/>
          <w:szCs w:val="32"/>
        </w:rPr>
        <w:t>[</w:t>
      </w:r>
      <w:r>
        <w:rPr>
          <w:rFonts w:eastAsia="仿宋_GB2312" w:hint="eastAsia"/>
          <w:szCs w:val="32"/>
        </w:rPr>
        <w:t>12</w:t>
      </w:r>
      <w:r>
        <w:rPr>
          <w:rFonts w:eastAsia="仿宋_GB2312"/>
          <w:szCs w:val="32"/>
        </w:rPr>
        <w:t>]</w:t>
      </w:r>
      <w:r>
        <w:rPr>
          <w:rFonts w:eastAsia="仿宋_GB2312" w:hint="eastAsia"/>
          <w:szCs w:val="32"/>
        </w:rPr>
        <w:t>国家药品监督管理局</w:t>
      </w:r>
      <w:r>
        <w:rPr>
          <w:rFonts w:eastAsia="仿宋_GB2312" w:hint="eastAsia"/>
          <w:szCs w:val="32"/>
        </w:rPr>
        <w:t>.</w:t>
      </w:r>
      <w:r>
        <w:rPr>
          <w:rFonts w:eastAsia="仿宋_GB2312"/>
          <w:szCs w:val="32"/>
        </w:rPr>
        <w:t>医疗器械临床评价技术指导原则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szCs w:val="32"/>
        </w:rPr>
        <w:t>[Z].</w:t>
      </w:r>
    </w:p>
    <w:p w14:paraId="0F4574EA" w14:textId="77777777" w:rsidR="007A4F9D" w:rsidRDefault="00DB2EA0">
      <w:pPr>
        <w:spacing w:line="520" w:lineRule="exact"/>
        <w:ind w:firstLineChars="200" w:firstLine="640"/>
        <w:rPr>
          <w:rFonts w:eastAsia="仿宋_GB2312"/>
          <w:szCs w:val="32"/>
        </w:rPr>
      </w:pPr>
      <w:r>
        <w:rPr>
          <w:rFonts w:eastAsia="仿宋_GB2312"/>
          <w:szCs w:val="32"/>
        </w:rPr>
        <w:t>[</w:t>
      </w:r>
      <w:r>
        <w:rPr>
          <w:rFonts w:eastAsia="仿宋_GB2312" w:hint="eastAsia"/>
          <w:szCs w:val="32"/>
        </w:rPr>
        <w:t>13</w:t>
      </w:r>
      <w:r>
        <w:rPr>
          <w:rFonts w:eastAsia="仿宋_GB2312"/>
          <w:szCs w:val="32"/>
        </w:rPr>
        <w:t>]</w:t>
      </w:r>
      <w:r>
        <w:rPr>
          <w:rFonts w:eastAsia="仿宋_GB2312" w:hint="eastAsia"/>
          <w:szCs w:val="32"/>
        </w:rPr>
        <w:t>国家药品监督管理局</w:t>
      </w:r>
      <w:r>
        <w:rPr>
          <w:rFonts w:eastAsia="仿宋_GB2312" w:hint="eastAsia"/>
          <w:szCs w:val="32"/>
        </w:rPr>
        <w:t>.</w:t>
      </w:r>
      <w:r>
        <w:rPr>
          <w:rFonts w:eastAsia="仿宋_GB2312"/>
          <w:szCs w:val="32"/>
        </w:rPr>
        <w:t>决策是否开展医疗器械临床试验技术指导原则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szCs w:val="32"/>
        </w:rPr>
        <w:t>[Z].</w:t>
      </w:r>
    </w:p>
    <w:p w14:paraId="536EFB7B" w14:textId="77777777" w:rsidR="007A4F9D" w:rsidRDefault="00DB2EA0">
      <w:pPr>
        <w:spacing w:line="520" w:lineRule="exact"/>
        <w:ind w:firstLineChars="200" w:firstLine="640"/>
        <w:rPr>
          <w:rFonts w:eastAsia="仿宋_GB2312"/>
          <w:szCs w:val="32"/>
        </w:rPr>
      </w:pPr>
      <w:r>
        <w:rPr>
          <w:rFonts w:eastAsia="仿宋_GB2312"/>
          <w:szCs w:val="32"/>
        </w:rPr>
        <w:t>[</w:t>
      </w:r>
      <w:r>
        <w:rPr>
          <w:rFonts w:eastAsia="仿宋_GB2312" w:hint="eastAsia"/>
          <w:szCs w:val="32"/>
        </w:rPr>
        <w:t>14</w:t>
      </w:r>
      <w:r>
        <w:rPr>
          <w:rFonts w:eastAsia="仿宋_GB2312"/>
          <w:szCs w:val="32"/>
        </w:rPr>
        <w:t>]</w:t>
      </w:r>
      <w:r>
        <w:rPr>
          <w:rFonts w:eastAsia="仿宋_GB2312" w:hint="eastAsia"/>
          <w:szCs w:val="32"/>
        </w:rPr>
        <w:t>国家药品监督管理局</w:t>
      </w:r>
      <w:r>
        <w:rPr>
          <w:rFonts w:eastAsia="仿宋_GB2312" w:hint="eastAsia"/>
          <w:szCs w:val="32"/>
        </w:rPr>
        <w:t>.</w:t>
      </w:r>
      <w:r>
        <w:rPr>
          <w:rFonts w:eastAsia="仿宋_GB2312"/>
          <w:szCs w:val="32"/>
        </w:rPr>
        <w:t>医疗器械临床评价等同性论证技术指导原则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szCs w:val="32"/>
        </w:rPr>
        <w:t>[Z].</w:t>
      </w:r>
    </w:p>
    <w:p w14:paraId="5A869EE5" w14:textId="77777777" w:rsidR="007A4F9D" w:rsidRDefault="00DB2EA0">
      <w:pPr>
        <w:spacing w:line="520" w:lineRule="exact"/>
        <w:ind w:firstLineChars="200" w:firstLine="640"/>
        <w:rPr>
          <w:rFonts w:eastAsia="仿宋_GB2312" w:cs="仿宋_GB2312"/>
          <w:bCs/>
          <w:szCs w:val="32"/>
        </w:rPr>
      </w:pPr>
      <w:r>
        <w:rPr>
          <w:rFonts w:eastAsia="仿宋_GB2312"/>
          <w:szCs w:val="32"/>
        </w:rPr>
        <w:t>[</w:t>
      </w:r>
      <w:r>
        <w:rPr>
          <w:rFonts w:eastAsia="仿宋_GB2312" w:hint="eastAsia"/>
          <w:szCs w:val="32"/>
        </w:rPr>
        <w:t>15</w:t>
      </w:r>
      <w:r>
        <w:rPr>
          <w:rFonts w:eastAsia="仿宋_GB2312"/>
          <w:szCs w:val="32"/>
        </w:rPr>
        <w:t>]</w:t>
      </w:r>
      <w:r>
        <w:rPr>
          <w:rFonts w:eastAsia="仿宋_GB2312" w:hint="eastAsia"/>
          <w:szCs w:val="32"/>
        </w:rPr>
        <w:t>国家药品监督管理局</w:t>
      </w:r>
      <w:r>
        <w:rPr>
          <w:rFonts w:eastAsia="仿宋_GB2312" w:hint="eastAsia"/>
          <w:szCs w:val="32"/>
        </w:rPr>
        <w:t>.</w:t>
      </w:r>
      <w:r>
        <w:rPr>
          <w:rFonts w:eastAsia="仿宋_GB2312"/>
          <w:szCs w:val="32"/>
        </w:rPr>
        <w:t>医疗器械注册申报临床评价报告技术指导原则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szCs w:val="32"/>
        </w:rPr>
        <w:t>[Z].</w:t>
      </w:r>
    </w:p>
    <w:p w14:paraId="21609F21"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[16]</w:t>
      </w:r>
      <w:r>
        <w:rPr>
          <w:rFonts w:eastAsia="仿宋_GB2312" w:cs="仿宋_GB2312" w:hint="eastAsia"/>
          <w:bCs/>
          <w:szCs w:val="32"/>
        </w:rPr>
        <w:t>国家食品药品监督管理局</w:t>
      </w:r>
      <w:r>
        <w:rPr>
          <w:rFonts w:eastAsia="仿宋_GB2312" w:cs="仿宋_GB2312" w:hint="eastAsia"/>
          <w:bCs/>
          <w:szCs w:val="32"/>
        </w:rPr>
        <w:t>.</w:t>
      </w:r>
      <w:r>
        <w:rPr>
          <w:rFonts w:eastAsia="仿宋_GB2312" w:cs="仿宋_GB2312" w:hint="eastAsia"/>
          <w:bCs/>
          <w:szCs w:val="32"/>
        </w:rPr>
        <w:t>医疗器械说明书和标签管理</w:t>
      </w:r>
      <w:r>
        <w:rPr>
          <w:rFonts w:eastAsia="仿宋_GB2312" w:cs="仿宋_GB2312" w:hint="eastAsia"/>
          <w:bCs/>
          <w:szCs w:val="32"/>
        </w:rPr>
        <w:t>规定</w:t>
      </w:r>
      <w:r>
        <w:rPr>
          <w:rFonts w:eastAsia="仿宋_GB2312" w:cs="仿宋_GB2312" w:hint="eastAsia"/>
          <w:bCs/>
          <w:szCs w:val="32"/>
        </w:rPr>
        <w:t>:</w:t>
      </w:r>
      <w:r>
        <w:rPr>
          <w:rFonts w:eastAsia="仿宋_GB2312" w:cs="仿宋_GB2312" w:hint="eastAsia"/>
          <w:bCs/>
          <w:szCs w:val="32"/>
        </w:rPr>
        <w:t>国家食品药品监督管理总局令第</w:t>
      </w:r>
      <w:r>
        <w:rPr>
          <w:rFonts w:eastAsia="仿宋_GB2312" w:cs="仿宋_GB2312" w:hint="eastAsia"/>
          <w:bCs/>
          <w:szCs w:val="32"/>
        </w:rPr>
        <w:t>6</w:t>
      </w:r>
      <w:r>
        <w:rPr>
          <w:rFonts w:eastAsia="仿宋_GB2312" w:cs="仿宋_GB2312" w:hint="eastAsia"/>
          <w:bCs/>
          <w:szCs w:val="32"/>
        </w:rPr>
        <w:t>号</w:t>
      </w:r>
      <w:r>
        <w:rPr>
          <w:rFonts w:eastAsia="仿宋_GB2312" w:cs="仿宋_GB2312" w:hint="eastAsia"/>
          <w:bCs/>
          <w:szCs w:val="32"/>
        </w:rPr>
        <w:t>[Z].</w:t>
      </w:r>
    </w:p>
    <w:p w14:paraId="7D201739"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[17]</w:t>
      </w:r>
      <w:r>
        <w:rPr>
          <w:rFonts w:eastAsia="仿宋_GB2312"/>
          <w:bCs/>
          <w:szCs w:val="32"/>
          <w:lang w:val="en"/>
        </w:rPr>
        <w:t>GB/T 16886.1</w:t>
      </w:r>
      <w:r>
        <w:rPr>
          <w:rFonts w:eastAsia="仿宋_GB2312" w:hint="eastAsia"/>
          <w:bCs/>
          <w:szCs w:val="32"/>
        </w:rPr>
        <w:t>-2022</w:t>
      </w:r>
      <w:r>
        <w:rPr>
          <w:rFonts w:eastAsia="仿宋_GB2312"/>
          <w:bCs/>
          <w:szCs w:val="32"/>
          <w:lang w:val="en"/>
        </w:rPr>
        <w:t>,</w:t>
      </w:r>
      <w:r>
        <w:rPr>
          <w:rFonts w:eastAsia="仿宋_GB2312"/>
          <w:bCs/>
          <w:szCs w:val="32"/>
          <w:lang w:val="en"/>
        </w:rPr>
        <w:t>医疗器械生物学评价</w:t>
      </w:r>
      <w:r>
        <w:rPr>
          <w:rFonts w:eastAsia="仿宋_GB2312"/>
          <w:bCs/>
          <w:szCs w:val="32"/>
          <w:lang w:val="en"/>
        </w:rPr>
        <w:t xml:space="preserve"> </w:t>
      </w:r>
      <w:r>
        <w:rPr>
          <w:rFonts w:eastAsia="仿宋_GB2312"/>
          <w:bCs/>
          <w:szCs w:val="32"/>
          <w:lang w:val="en"/>
        </w:rPr>
        <w:t>第</w:t>
      </w:r>
      <w:r>
        <w:rPr>
          <w:rFonts w:eastAsia="仿宋_GB2312"/>
          <w:bCs/>
          <w:szCs w:val="32"/>
          <w:lang w:val="en"/>
        </w:rPr>
        <w:t>1</w:t>
      </w:r>
      <w:r>
        <w:rPr>
          <w:rFonts w:eastAsia="仿宋_GB2312"/>
          <w:bCs/>
          <w:szCs w:val="32"/>
          <w:lang w:val="en"/>
        </w:rPr>
        <w:t>部分：</w:t>
      </w:r>
      <w:r>
        <w:rPr>
          <w:rFonts w:eastAsia="仿宋_GB2312" w:cs="仿宋_GB2312"/>
          <w:bCs/>
          <w:szCs w:val="32"/>
          <w:lang w:val="en"/>
        </w:rPr>
        <w:t>风险管理过程中的评价与试验</w:t>
      </w:r>
      <w:r>
        <w:rPr>
          <w:rFonts w:eastAsia="仿宋_GB2312" w:cs="仿宋_GB2312"/>
          <w:bCs/>
          <w:szCs w:val="32"/>
          <w:lang w:val="en"/>
        </w:rPr>
        <w:t>[S].</w:t>
      </w:r>
    </w:p>
    <w:p w14:paraId="17C331F0" w14:textId="77777777" w:rsidR="007A4F9D" w:rsidRDefault="00DB2EA0">
      <w:pPr>
        <w:spacing w:line="520" w:lineRule="exact"/>
        <w:ind w:firstLineChars="200" w:firstLine="640"/>
        <w:outlineLvl w:val="0"/>
        <w:rPr>
          <w:rFonts w:eastAsia="仿宋_GB2312" w:cs="仿宋_GB2312"/>
          <w:bCs/>
          <w:szCs w:val="32"/>
          <w:lang w:val="en"/>
        </w:rPr>
      </w:pPr>
      <w:r>
        <w:rPr>
          <w:rFonts w:eastAsia="仿宋_GB2312" w:cs="仿宋_GB2312" w:hint="eastAsia"/>
          <w:bCs/>
          <w:szCs w:val="32"/>
        </w:rPr>
        <w:t>[18]</w:t>
      </w:r>
      <w:r>
        <w:rPr>
          <w:rFonts w:eastAsia="仿宋_GB2312" w:cs="仿宋_GB2312"/>
          <w:bCs/>
          <w:szCs w:val="32"/>
          <w:lang w:val="en"/>
        </w:rPr>
        <w:t>GB/T 16886.5</w:t>
      </w:r>
      <w:r>
        <w:rPr>
          <w:rFonts w:eastAsia="仿宋_GB2312" w:cs="仿宋_GB2312" w:hint="eastAsia"/>
          <w:bCs/>
          <w:szCs w:val="32"/>
        </w:rPr>
        <w:t>-2017</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5</w:t>
      </w:r>
      <w:r>
        <w:rPr>
          <w:rFonts w:eastAsia="仿宋_GB2312" w:cs="仿宋_GB2312"/>
          <w:bCs/>
          <w:szCs w:val="32"/>
          <w:lang w:val="en"/>
        </w:rPr>
        <w:t>部分：体外细胞毒性试验</w:t>
      </w:r>
      <w:r>
        <w:rPr>
          <w:rFonts w:eastAsia="仿宋_GB2312" w:cs="仿宋_GB2312"/>
          <w:bCs/>
          <w:szCs w:val="32"/>
          <w:lang w:val="en"/>
        </w:rPr>
        <w:t>[S].</w:t>
      </w:r>
    </w:p>
    <w:p w14:paraId="104C2A97" w14:textId="77777777" w:rsidR="007A4F9D" w:rsidRDefault="00DB2EA0">
      <w:pPr>
        <w:spacing w:line="520" w:lineRule="exact"/>
        <w:ind w:firstLineChars="200" w:firstLine="640"/>
        <w:outlineLvl w:val="0"/>
        <w:rPr>
          <w:rFonts w:eastAsia="仿宋_GB2312" w:cs="仿宋_GB2312"/>
          <w:bCs/>
          <w:szCs w:val="32"/>
          <w:lang w:val="en"/>
        </w:rPr>
      </w:pPr>
      <w:r>
        <w:rPr>
          <w:rFonts w:eastAsia="仿宋_GB2312" w:cs="仿宋_GB2312" w:hint="eastAsia"/>
          <w:bCs/>
          <w:szCs w:val="32"/>
        </w:rPr>
        <w:t>[19]</w:t>
      </w:r>
      <w:r>
        <w:rPr>
          <w:rFonts w:eastAsia="仿宋_GB2312" w:cs="仿宋_GB2312"/>
          <w:bCs/>
          <w:szCs w:val="32"/>
          <w:lang w:val="en"/>
        </w:rPr>
        <w:t>GB/T 16886.</w:t>
      </w:r>
      <w:r>
        <w:rPr>
          <w:rFonts w:eastAsia="仿宋_GB2312" w:cs="仿宋_GB2312" w:hint="eastAsia"/>
          <w:bCs/>
          <w:szCs w:val="32"/>
        </w:rPr>
        <w:t>6-2022</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hint="eastAsia"/>
          <w:bCs/>
          <w:szCs w:val="32"/>
        </w:rPr>
        <w:t>6</w:t>
      </w:r>
      <w:r>
        <w:rPr>
          <w:rFonts w:eastAsia="仿宋_GB2312" w:cs="仿宋_GB2312"/>
          <w:bCs/>
          <w:szCs w:val="32"/>
          <w:lang w:val="en"/>
        </w:rPr>
        <w:t>部分：</w:t>
      </w:r>
      <w:r>
        <w:rPr>
          <w:rFonts w:eastAsia="仿宋_GB2312" w:cs="仿宋_GB2312" w:hint="eastAsia"/>
          <w:bCs/>
          <w:szCs w:val="32"/>
        </w:rPr>
        <w:lastRenderedPageBreak/>
        <w:t>植入后局部反应试验</w:t>
      </w:r>
      <w:r>
        <w:rPr>
          <w:rFonts w:eastAsia="仿宋_GB2312" w:cs="仿宋_GB2312"/>
          <w:bCs/>
          <w:szCs w:val="32"/>
          <w:lang w:val="en"/>
        </w:rPr>
        <w:t>[S].</w:t>
      </w:r>
    </w:p>
    <w:p w14:paraId="5BE6B5AA" w14:textId="77777777" w:rsidR="007A4F9D" w:rsidRDefault="00DB2EA0">
      <w:pPr>
        <w:spacing w:line="520" w:lineRule="exact"/>
        <w:ind w:firstLineChars="200" w:firstLine="640"/>
        <w:outlineLvl w:val="0"/>
        <w:rPr>
          <w:rFonts w:eastAsia="仿宋_GB2312" w:cs="仿宋_GB2312"/>
          <w:bCs/>
          <w:szCs w:val="32"/>
          <w:lang w:val="en"/>
        </w:rPr>
      </w:pPr>
      <w:r>
        <w:rPr>
          <w:rFonts w:eastAsia="仿宋_GB2312" w:cs="仿宋_GB2312" w:hint="eastAsia"/>
          <w:bCs/>
          <w:szCs w:val="32"/>
        </w:rPr>
        <w:t>[20]</w:t>
      </w:r>
      <w:r>
        <w:rPr>
          <w:rFonts w:eastAsia="仿宋_GB2312" w:cs="仿宋_GB2312"/>
          <w:bCs/>
          <w:szCs w:val="32"/>
          <w:lang w:val="en"/>
        </w:rPr>
        <w:t>GB/T 16886.10</w:t>
      </w:r>
      <w:r>
        <w:rPr>
          <w:rFonts w:eastAsia="仿宋_GB2312" w:cs="仿宋_GB2312" w:hint="eastAsia"/>
          <w:bCs/>
          <w:szCs w:val="32"/>
        </w:rPr>
        <w:t>-2017</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10</w:t>
      </w:r>
      <w:r>
        <w:rPr>
          <w:rFonts w:eastAsia="仿宋_GB2312" w:cs="仿宋_GB2312"/>
          <w:bCs/>
          <w:szCs w:val="32"/>
          <w:lang w:val="en"/>
        </w:rPr>
        <w:t>部分：刺激与皮肤致敏试验</w:t>
      </w:r>
      <w:r>
        <w:rPr>
          <w:rFonts w:eastAsia="仿宋_GB2312" w:cs="仿宋_GB2312"/>
          <w:bCs/>
          <w:szCs w:val="32"/>
          <w:lang w:val="en"/>
        </w:rPr>
        <w:t>[S].</w:t>
      </w:r>
    </w:p>
    <w:p w14:paraId="1B225C03" w14:textId="77777777" w:rsidR="007A4F9D" w:rsidRDefault="00DB2EA0">
      <w:pPr>
        <w:spacing w:line="520" w:lineRule="exact"/>
        <w:ind w:firstLineChars="200" w:firstLine="640"/>
        <w:outlineLvl w:val="0"/>
        <w:rPr>
          <w:rFonts w:eastAsia="仿宋_GB2312" w:cs="仿宋_GB2312"/>
          <w:bCs/>
          <w:szCs w:val="32"/>
          <w:lang w:val="en"/>
        </w:rPr>
      </w:pPr>
      <w:r>
        <w:rPr>
          <w:rFonts w:eastAsia="仿宋_GB2312" w:cs="仿宋_GB2312" w:hint="eastAsia"/>
          <w:bCs/>
          <w:szCs w:val="32"/>
        </w:rPr>
        <w:t>[21]</w:t>
      </w:r>
      <w:r>
        <w:rPr>
          <w:rFonts w:eastAsia="仿宋_GB2312" w:cs="仿宋_GB2312"/>
          <w:bCs/>
          <w:szCs w:val="32"/>
          <w:lang w:val="en"/>
        </w:rPr>
        <w:t>GB/T 16886.1</w:t>
      </w:r>
      <w:r>
        <w:rPr>
          <w:rFonts w:eastAsia="仿宋_GB2312" w:cs="仿宋_GB2312" w:hint="eastAsia"/>
          <w:bCs/>
          <w:szCs w:val="32"/>
        </w:rPr>
        <w:t>1-2021</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hint="eastAsia"/>
          <w:bCs/>
          <w:szCs w:val="32"/>
        </w:rPr>
        <w:t>11</w:t>
      </w:r>
      <w:r>
        <w:rPr>
          <w:rFonts w:eastAsia="仿宋_GB2312" w:cs="仿宋_GB2312"/>
          <w:bCs/>
          <w:szCs w:val="32"/>
          <w:lang w:val="en"/>
        </w:rPr>
        <w:t>部分：</w:t>
      </w:r>
      <w:r>
        <w:rPr>
          <w:rFonts w:eastAsia="仿宋_GB2312" w:cs="仿宋_GB2312" w:hint="eastAsia"/>
          <w:bCs/>
          <w:szCs w:val="32"/>
        </w:rPr>
        <w:t>全身毒性</w:t>
      </w:r>
      <w:r>
        <w:rPr>
          <w:rFonts w:eastAsia="仿宋_GB2312" w:cs="仿宋_GB2312"/>
          <w:bCs/>
          <w:szCs w:val="32"/>
          <w:lang w:val="en"/>
        </w:rPr>
        <w:t>试验</w:t>
      </w:r>
      <w:r>
        <w:rPr>
          <w:rFonts w:eastAsia="仿宋_GB2312" w:cs="仿宋_GB2312"/>
          <w:bCs/>
          <w:szCs w:val="32"/>
          <w:lang w:val="en"/>
        </w:rPr>
        <w:t>[S].</w:t>
      </w:r>
    </w:p>
    <w:p w14:paraId="6F0B7EA9"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[22]</w:t>
      </w:r>
      <w:r>
        <w:rPr>
          <w:rFonts w:eastAsia="仿宋_GB2312" w:cs="仿宋_GB2312"/>
          <w:bCs/>
          <w:szCs w:val="32"/>
          <w:lang w:val="en"/>
        </w:rPr>
        <w:t>GB/T 16886.12</w:t>
      </w:r>
      <w:r>
        <w:rPr>
          <w:rFonts w:eastAsia="仿宋_GB2312" w:cs="仿宋_GB2312" w:hint="eastAsia"/>
          <w:bCs/>
          <w:szCs w:val="32"/>
        </w:rPr>
        <w:t>-2023</w:t>
      </w:r>
      <w:r>
        <w:rPr>
          <w:rFonts w:eastAsia="仿宋_GB2312" w:cs="仿宋_GB2312"/>
          <w:bCs/>
          <w:szCs w:val="32"/>
          <w:lang w:val="en"/>
        </w:rPr>
        <w:t>,</w:t>
      </w:r>
      <w:r>
        <w:rPr>
          <w:rFonts w:eastAsia="仿宋_GB2312" w:cs="仿宋_GB2312"/>
          <w:bCs/>
          <w:szCs w:val="32"/>
          <w:lang w:val="en"/>
        </w:rPr>
        <w:t>医疗器械生物学评价</w:t>
      </w:r>
      <w:r>
        <w:rPr>
          <w:rFonts w:eastAsia="仿宋_GB2312" w:cs="仿宋_GB2312"/>
          <w:bCs/>
          <w:szCs w:val="32"/>
          <w:lang w:val="en"/>
        </w:rPr>
        <w:t xml:space="preserve"> </w:t>
      </w:r>
      <w:r>
        <w:rPr>
          <w:rFonts w:eastAsia="仿宋_GB2312" w:cs="仿宋_GB2312"/>
          <w:bCs/>
          <w:szCs w:val="32"/>
          <w:lang w:val="en"/>
        </w:rPr>
        <w:t>第</w:t>
      </w:r>
      <w:r>
        <w:rPr>
          <w:rFonts w:eastAsia="仿宋_GB2312" w:cs="仿宋_GB2312"/>
          <w:bCs/>
          <w:szCs w:val="32"/>
          <w:lang w:val="en"/>
        </w:rPr>
        <w:t>12</w:t>
      </w:r>
      <w:r>
        <w:rPr>
          <w:rFonts w:eastAsia="仿宋_GB2312" w:cs="仿宋_GB2312"/>
          <w:bCs/>
          <w:szCs w:val="32"/>
          <w:lang w:val="en"/>
        </w:rPr>
        <w:t>部分：样品制备与参照材料</w:t>
      </w:r>
      <w:r>
        <w:rPr>
          <w:rFonts w:eastAsia="仿宋_GB2312" w:cs="仿宋_GB2312"/>
          <w:bCs/>
          <w:szCs w:val="32"/>
          <w:lang w:val="en"/>
        </w:rPr>
        <w:t>[S].</w:t>
      </w:r>
    </w:p>
    <w:p w14:paraId="29190219"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[23]GB/T 42062-2022,</w:t>
      </w:r>
      <w:r>
        <w:rPr>
          <w:rFonts w:eastAsia="仿宋_GB2312" w:cs="仿宋_GB2312" w:hint="eastAsia"/>
          <w:bCs/>
          <w:szCs w:val="32"/>
        </w:rPr>
        <w:t>医疗器械风险管理对医疗器械的应用</w:t>
      </w:r>
      <w:r>
        <w:rPr>
          <w:rFonts w:eastAsia="仿宋_GB2312" w:cs="仿宋_GB2312" w:hint="eastAsia"/>
          <w:bCs/>
          <w:szCs w:val="32"/>
        </w:rPr>
        <w:t>[S].</w:t>
      </w:r>
    </w:p>
    <w:p w14:paraId="7E07E48D"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[24]GB/T 42061-2022,</w:t>
      </w:r>
      <w:r>
        <w:rPr>
          <w:rFonts w:eastAsia="仿宋_GB2312" w:cs="仿宋_GB2312" w:hint="eastAsia"/>
          <w:bCs/>
          <w:szCs w:val="32"/>
        </w:rPr>
        <w:t>医疗器械质量管理体系用于法规的要求</w:t>
      </w:r>
      <w:r>
        <w:rPr>
          <w:rFonts w:eastAsia="仿宋_GB2312" w:cs="仿宋_GB2312" w:hint="eastAsia"/>
          <w:bCs/>
          <w:szCs w:val="32"/>
        </w:rPr>
        <w:t>[S].</w:t>
      </w:r>
    </w:p>
    <w:p w14:paraId="1BE8F1CF"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[25]YY/T 0466.1-2016,</w:t>
      </w:r>
      <w:r>
        <w:rPr>
          <w:rFonts w:eastAsia="仿宋_GB2312" w:cs="仿宋_GB2312" w:hint="eastAsia"/>
          <w:bCs/>
          <w:szCs w:val="32"/>
        </w:rPr>
        <w:t>医疗器械用于医疗器械标签、标记和提供信息的符号</w:t>
      </w:r>
      <w:r>
        <w:rPr>
          <w:rFonts w:eastAsia="仿宋_GB2312" w:cs="仿宋_GB2312" w:hint="eastAsia"/>
          <w:bCs/>
          <w:szCs w:val="32"/>
        </w:rPr>
        <w:t xml:space="preserve"> </w:t>
      </w:r>
      <w:r>
        <w:rPr>
          <w:rFonts w:eastAsia="仿宋_GB2312" w:cs="仿宋_GB2312" w:hint="eastAsia"/>
          <w:bCs/>
          <w:szCs w:val="32"/>
        </w:rPr>
        <w:t>第</w:t>
      </w:r>
      <w:r>
        <w:rPr>
          <w:rFonts w:eastAsia="仿宋_GB2312" w:cs="仿宋_GB2312" w:hint="eastAsia"/>
          <w:bCs/>
          <w:szCs w:val="32"/>
        </w:rPr>
        <w:t>1</w:t>
      </w:r>
      <w:r>
        <w:rPr>
          <w:rFonts w:eastAsia="仿宋_GB2312" w:cs="仿宋_GB2312" w:hint="eastAsia"/>
          <w:bCs/>
          <w:szCs w:val="32"/>
        </w:rPr>
        <w:t>部分</w:t>
      </w:r>
      <w:r>
        <w:rPr>
          <w:rFonts w:eastAsia="仿宋_GB2312" w:cs="仿宋_GB2312" w:hint="eastAsia"/>
          <w:bCs/>
          <w:szCs w:val="32"/>
        </w:rPr>
        <w:t xml:space="preserve">: </w:t>
      </w:r>
      <w:r>
        <w:rPr>
          <w:rFonts w:eastAsia="仿宋_GB2312" w:cs="仿宋_GB2312" w:hint="eastAsia"/>
          <w:bCs/>
          <w:szCs w:val="32"/>
        </w:rPr>
        <w:t>通用要求</w:t>
      </w:r>
      <w:r>
        <w:rPr>
          <w:rFonts w:eastAsia="仿宋_GB2312" w:cs="仿宋_GB2312" w:hint="eastAsia"/>
          <w:bCs/>
          <w:szCs w:val="32"/>
        </w:rPr>
        <w:t>[S].</w:t>
      </w:r>
    </w:p>
    <w:p w14:paraId="56031470"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[26]YY/T 0681.1-2018,</w:t>
      </w:r>
      <w:r>
        <w:rPr>
          <w:rFonts w:eastAsia="仿宋_GB2312" w:cs="仿宋_GB2312" w:hint="eastAsia"/>
          <w:bCs/>
          <w:szCs w:val="32"/>
        </w:rPr>
        <w:t>无菌医疗器械包装试验方</w:t>
      </w:r>
      <w:r>
        <w:rPr>
          <w:rFonts w:eastAsia="仿宋_GB2312" w:cs="仿宋_GB2312" w:hint="eastAsia"/>
          <w:bCs/>
          <w:szCs w:val="32"/>
        </w:rPr>
        <w:t>法第</w:t>
      </w:r>
      <w:r>
        <w:rPr>
          <w:rFonts w:eastAsia="仿宋_GB2312" w:cs="仿宋_GB2312" w:hint="eastAsia"/>
          <w:bCs/>
          <w:szCs w:val="32"/>
        </w:rPr>
        <w:t>1</w:t>
      </w:r>
      <w:r>
        <w:rPr>
          <w:rFonts w:eastAsia="仿宋_GB2312" w:cs="仿宋_GB2312" w:hint="eastAsia"/>
          <w:bCs/>
          <w:szCs w:val="32"/>
        </w:rPr>
        <w:t>部分：加速老化试验指南</w:t>
      </w:r>
      <w:r>
        <w:rPr>
          <w:rFonts w:eastAsia="仿宋_GB2312" w:cs="仿宋_GB2312" w:hint="eastAsia"/>
          <w:bCs/>
          <w:szCs w:val="32"/>
        </w:rPr>
        <w:t>[S].</w:t>
      </w:r>
    </w:p>
    <w:p w14:paraId="09E6E23A"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[27] YY/T 0268-2008</w:t>
      </w:r>
      <w:r>
        <w:rPr>
          <w:rFonts w:eastAsia="仿宋_GB2312" w:cs="仿宋_GB2312" w:hint="eastAsia"/>
          <w:bCs/>
          <w:szCs w:val="32"/>
        </w:rPr>
        <w:t>，牙科学口腔医疗器械生物学评价第</w:t>
      </w:r>
      <w:r>
        <w:rPr>
          <w:rFonts w:eastAsia="仿宋_GB2312" w:cs="仿宋_GB2312" w:hint="eastAsia"/>
          <w:bCs/>
          <w:szCs w:val="32"/>
        </w:rPr>
        <w:t>1</w:t>
      </w:r>
      <w:r>
        <w:rPr>
          <w:rFonts w:eastAsia="仿宋_GB2312" w:cs="仿宋_GB2312" w:hint="eastAsia"/>
          <w:bCs/>
          <w:szCs w:val="32"/>
        </w:rPr>
        <w:t>单元：评价与试验。</w:t>
      </w:r>
    </w:p>
    <w:p w14:paraId="48543B1C" w14:textId="77777777" w:rsidR="007A4F9D" w:rsidRDefault="00DB2EA0">
      <w:pPr>
        <w:spacing w:line="520" w:lineRule="exact"/>
        <w:ind w:firstLineChars="200" w:firstLine="640"/>
        <w:outlineLvl w:val="0"/>
        <w:rPr>
          <w:rFonts w:eastAsia="仿宋_GB2312" w:cs="仿宋_GB2312"/>
          <w:bCs/>
          <w:szCs w:val="32"/>
        </w:rPr>
      </w:pPr>
      <w:r>
        <w:rPr>
          <w:rFonts w:eastAsia="仿宋_GB2312" w:cs="仿宋_GB2312" w:hint="eastAsia"/>
          <w:bCs/>
          <w:szCs w:val="32"/>
        </w:rPr>
        <w:t>[28]</w:t>
      </w:r>
      <w:r>
        <w:rPr>
          <w:rFonts w:eastAsia="仿宋_GB2312" w:cs="仿宋_GB2312" w:hint="eastAsia"/>
          <w:bCs/>
          <w:szCs w:val="32"/>
        </w:rPr>
        <w:t>中华人民共和国药典</w:t>
      </w:r>
      <w:r>
        <w:rPr>
          <w:rFonts w:eastAsia="仿宋_GB2312" w:cs="仿宋_GB2312" w:hint="eastAsia"/>
          <w:bCs/>
          <w:szCs w:val="32"/>
        </w:rPr>
        <w:t>[S].</w:t>
      </w:r>
    </w:p>
    <w:p w14:paraId="7E3B82ED" w14:textId="77777777" w:rsidR="007A4F9D" w:rsidRDefault="007A4F9D">
      <w:pPr>
        <w:spacing w:line="520" w:lineRule="exact"/>
        <w:ind w:firstLine="200"/>
        <w:rPr>
          <w:rFonts w:eastAsia="仿宋_GB2312"/>
          <w:szCs w:val="32"/>
        </w:rPr>
      </w:pPr>
    </w:p>
    <w:p w14:paraId="4FA8CA92" w14:textId="77777777" w:rsidR="007A4F9D" w:rsidRDefault="007A4F9D">
      <w:pPr>
        <w:spacing w:line="520" w:lineRule="exact"/>
        <w:rPr>
          <w:rFonts w:eastAsia="仿宋_GB2312"/>
          <w:strike/>
          <w:szCs w:val="32"/>
        </w:rPr>
      </w:pPr>
    </w:p>
    <w:sectPr w:rsidR="007A4F9D">
      <w:footerReference w:type="default" r:id="rId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9BE8F" w14:textId="77777777" w:rsidR="00DB2EA0" w:rsidRDefault="00DB2EA0">
      <w:r>
        <w:separator/>
      </w:r>
    </w:p>
  </w:endnote>
  <w:endnote w:type="continuationSeparator" w:id="0">
    <w:p w14:paraId="6E4891A9" w14:textId="77777777" w:rsidR="00DB2EA0" w:rsidRDefault="00DB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黑体">
    <w:altName w:val="SimHei"/>
    <w:panose1 w:val="02010609060101010101"/>
    <w:charset w:val="86"/>
    <w:family w:val="modern"/>
    <w:pitch w:val="fixed"/>
    <w:sig w:usb0="800002BF" w:usb1="38CF7CFA" w:usb2="00000016" w:usb3="00000000" w:csb0="00040001" w:csb1="00000000"/>
    <w:embedRegular r:id="rId1" w:subsetted="1" w:fontKey="{FC880A80-AAA6-4318-AA58-D0B7C1F64F1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DejaVu Sans">
    <w:altName w:val="Segoe Print"/>
    <w:charset w:val="00"/>
    <w:family w:val="roman"/>
    <w:pitch w:val="default"/>
    <w:sig w:usb0="00000000" w:usb1="00000000" w:usb2="0A246029" w:usb3="0400200C" w:csb0="600001FF" w:csb1="DFFF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embedRegular r:id="rId2" w:subsetted="1" w:fontKey="{4BB1466C-1EEF-457D-9685-2BDEEE7A6AD0}"/>
  </w:font>
  <w:font w:name="仿宋_GB2312">
    <w:panose1 w:val="02010609030101010101"/>
    <w:charset w:val="86"/>
    <w:family w:val="modern"/>
    <w:pitch w:val="fixed"/>
    <w:sig w:usb0="00000001" w:usb1="080E0000" w:usb2="00000010" w:usb3="00000000" w:csb0="00040000" w:csb1="00000000"/>
    <w:embedRegular r:id="rId3" w:subsetted="1" w:fontKey="{62DEBE23-B46F-4FBB-A42F-7107866E09CE}"/>
  </w:font>
  <w:font w:name="方正小标宋_GBK">
    <w:panose1 w:val="03000509000000000000"/>
    <w:charset w:val="86"/>
    <w:family w:val="script"/>
    <w:pitch w:val="fixed"/>
    <w:sig w:usb0="00000001" w:usb1="080E0000" w:usb2="00000010" w:usb3="00000000" w:csb0="00040000" w:csb1="00000000"/>
    <w:embedRegular r:id="rId4" w:subsetted="1" w:fontKey="{22A571AE-D8F0-46AE-A0C9-AB0B538B2CA3}"/>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CD44" w14:textId="21F9C8CD" w:rsidR="007A4F9D" w:rsidRDefault="00DB2EA0">
    <w:pPr>
      <w:pStyle w:val="a8"/>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8577A6" w:rsidRPr="008577A6">
      <w:rPr>
        <w:noProof/>
        <w:sz w:val="28"/>
        <w:szCs w:val="28"/>
        <w:lang w:val="zh-CN"/>
      </w:rPr>
      <w:t>9</w:t>
    </w:r>
    <w:r>
      <w:rPr>
        <w:sz w:val="28"/>
        <w:szCs w:val="28"/>
      </w:rPr>
      <w:fldChar w:fldCharType="end"/>
    </w:r>
    <w:r>
      <w:rPr>
        <w:sz w:val="28"/>
        <w:szCs w:val="28"/>
      </w:rPr>
      <w:t xml:space="preserve"> —</w:t>
    </w:r>
  </w:p>
  <w:p w14:paraId="402F96DE" w14:textId="77777777" w:rsidR="007A4F9D" w:rsidRDefault="00DB2EA0">
    <w:pPr>
      <w:pStyle w:val="a8"/>
    </w:pPr>
    <w:r>
      <w:rPr>
        <w:noProof/>
      </w:rP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74417F9" w14:textId="39F83EF1" w:rsidR="007A4F9D" w:rsidRDefault="00DB2EA0">
                          <w:pPr>
                            <w:snapToGrid w:val="0"/>
                            <w:rPr>
                              <w:sz w:val="18"/>
                            </w:rPr>
                          </w:pPr>
                          <w:r>
                            <w:rPr>
                              <w:sz w:val="18"/>
                            </w:rPr>
                            <w:fldChar w:fldCharType="begin"/>
                          </w:r>
                          <w:r>
                            <w:rPr>
                              <w:sz w:val="18"/>
                            </w:rPr>
                            <w:instrText xml:space="preserve"> PAGE  \* MERGEFORMAT </w:instrText>
                          </w:r>
                          <w:r>
                            <w:rPr>
                              <w:sz w:val="18"/>
                            </w:rPr>
                            <w:fldChar w:fldCharType="separate"/>
                          </w:r>
                          <w:r w:rsidR="008577A6">
                            <w:rPr>
                              <w:noProof/>
                              <w:sz w:val="18"/>
                            </w:rPr>
                            <w:t>9</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5.95pt;margin-top:0;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" filled="f" stroked="f" strokeweight=".5pt">
              <v:textbox style="mso-fit-shape-to-text:t" inset="0,0,0,0">
                <w:txbxContent>
                  <w:p w14:paraId="274417F9" w14:textId="39F83EF1" w:rsidR="007A4F9D" w:rsidRDefault="00DB2EA0">
                    <w:pPr>
                      <w:snapToGrid w:val="0"/>
                      <w:rPr>
                        <w:sz w:val="18"/>
                      </w:rPr>
                    </w:pPr>
                    <w:r>
                      <w:rPr>
                        <w:sz w:val="18"/>
                      </w:rPr>
                      <w:fldChar w:fldCharType="begin"/>
                    </w:r>
                    <w:r>
                      <w:rPr>
                        <w:sz w:val="18"/>
                      </w:rPr>
                      <w:instrText xml:space="preserve"> PAGE  \* MERGEFORMAT </w:instrText>
                    </w:r>
                    <w:r>
                      <w:rPr>
                        <w:sz w:val="18"/>
                      </w:rPr>
                      <w:fldChar w:fldCharType="separate"/>
                    </w:r>
                    <w:r w:rsidR="008577A6">
                      <w:rPr>
                        <w:noProof/>
                        <w:sz w:val="18"/>
                      </w:rPr>
                      <w:t>9</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DCCC6" w14:textId="77777777" w:rsidR="00DB2EA0" w:rsidRDefault="00DB2EA0">
      <w:r>
        <w:separator/>
      </w:r>
    </w:p>
  </w:footnote>
  <w:footnote w:type="continuationSeparator" w:id="0">
    <w:p w14:paraId="57F151D7" w14:textId="77777777" w:rsidR="00DB2EA0" w:rsidRDefault="00DB2E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DBF38F81"/>
    <w:rsid w:val="DEF70035"/>
    <w:rsid w:val="DFFFE17D"/>
    <w:rsid w:val="ED776AC6"/>
    <w:rsid w:val="EF9F915E"/>
    <w:rsid w:val="FBB7C68F"/>
    <w:rsid w:val="FDF752B8"/>
    <w:rsid w:val="FF7F9E8F"/>
    <w:rsid w:val="00017318"/>
    <w:rsid w:val="000756FB"/>
    <w:rsid w:val="0007686E"/>
    <w:rsid w:val="000C6CA4"/>
    <w:rsid w:val="000E5335"/>
    <w:rsid w:val="00145167"/>
    <w:rsid w:val="0015622E"/>
    <w:rsid w:val="0016484E"/>
    <w:rsid w:val="001C3A87"/>
    <w:rsid w:val="001E0961"/>
    <w:rsid w:val="00242375"/>
    <w:rsid w:val="00244DF7"/>
    <w:rsid w:val="00277473"/>
    <w:rsid w:val="00291759"/>
    <w:rsid w:val="00294D2B"/>
    <w:rsid w:val="002B24A0"/>
    <w:rsid w:val="002F2978"/>
    <w:rsid w:val="0030368E"/>
    <w:rsid w:val="003137C1"/>
    <w:rsid w:val="00332DE8"/>
    <w:rsid w:val="003450A4"/>
    <w:rsid w:val="00355421"/>
    <w:rsid w:val="00365AB2"/>
    <w:rsid w:val="00410598"/>
    <w:rsid w:val="004152C5"/>
    <w:rsid w:val="00435AC6"/>
    <w:rsid w:val="00440708"/>
    <w:rsid w:val="004410B9"/>
    <w:rsid w:val="004C4DBC"/>
    <w:rsid w:val="004E39ED"/>
    <w:rsid w:val="005041BA"/>
    <w:rsid w:val="00505435"/>
    <w:rsid w:val="00534F4C"/>
    <w:rsid w:val="005A1410"/>
    <w:rsid w:val="005A204F"/>
    <w:rsid w:val="005B58E3"/>
    <w:rsid w:val="0066694F"/>
    <w:rsid w:val="00696085"/>
    <w:rsid w:val="006A1165"/>
    <w:rsid w:val="006B2DA0"/>
    <w:rsid w:val="006C00CB"/>
    <w:rsid w:val="006E68A9"/>
    <w:rsid w:val="006E7148"/>
    <w:rsid w:val="00716619"/>
    <w:rsid w:val="00745098"/>
    <w:rsid w:val="007646FC"/>
    <w:rsid w:val="00787F7E"/>
    <w:rsid w:val="007904F6"/>
    <w:rsid w:val="007A4F9D"/>
    <w:rsid w:val="007D341A"/>
    <w:rsid w:val="00815364"/>
    <w:rsid w:val="00821079"/>
    <w:rsid w:val="00843C83"/>
    <w:rsid w:val="00845C30"/>
    <w:rsid w:val="00851924"/>
    <w:rsid w:val="008577A6"/>
    <w:rsid w:val="00933041"/>
    <w:rsid w:val="00937F0E"/>
    <w:rsid w:val="009432D4"/>
    <w:rsid w:val="009B0AE5"/>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64C32"/>
    <w:rsid w:val="00C74CE1"/>
    <w:rsid w:val="00C872EF"/>
    <w:rsid w:val="00CB4CCD"/>
    <w:rsid w:val="00D32614"/>
    <w:rsid w:val="00D36F91"/>
    <w:rsid w:val="00D4450D"/>
    <w:rsid w:val="00DB2EA0"/>
    <w:rsid w:val="00DD740E"/>
    <w:rsid w:val="00E07E6A"/>
    <w:rsid w:val="00E11D78"/>
    <w:rsid w:val="00E72EF4"/>
    <w:rsid w:val="00EB1A04"/>
    <w:rsid w:val="00EC523A"/>
    <w:rsid w:val="00ED0226"/>
    <w:rsid w:val="00EE261B"/>
    <w:rsid w:val="00EE4EBB"/>
    <w:rsid w:val="00F31CB3"/>
    <w:rsid w:val="00F81D1A"/>
    <w:rsid w:val="00FA148E"/>
    <w:rsid w:val="00FB46B2"/>
    <w:rsid w:val="00FF0F38"/>
    <w:rsid w:val="03764CFD"/>
    <w:rsid w:val="064E0F4D"/>
    <w:rsid w:val="0DC81821"/>
    <w:rsid w:val="0E4804F7"/>
    <w:rsid w:val="10D03F34"/>
    <w:rsid w:val="1B5D230C"/>
    <w:rsid w:val="1CE957A1"/>
    <w:rsid w:val="21013964"/>
    <w:rsid w:val="29D238DE"/>
    <w:rsid w:val="2EDB6697"/>
    <w:rsid w:val="340B0B3A"/>
    <w:rsid w:val="372005FE"/>
    <w:rsid w:val="3DFB3C07"/>
    <w:rsid w:val="3EE30952"/>
    <w:rsid w:val="3FDC5CBD"/>
    <w:rsid w:val="419249C6"/>
    <w:rsid w:val="431D7835"/>
    <w:rsid w:val="49F7299F"/>
    <w:rsid w:val="4BFA230E"/>
    <w:rsid w:val="4C382179"/>
    <w:rsid w:val="5B746366"/>
    <w:rsid w:val="5E506920"/>
    <w:rsid w:val="5E5D1D7E"/>
    <w:rsid w:val="63D41083"/>
    <w:rsid w:val="6B737129"/>
    <w:rsid w:val="6DF17581"/>
    <w:rsid w:val="6F803FB4"/>
    <w:rsid w:val="707C3028"/>
    <w:rsid w:val="7463285B"/>
    <w:rsid w:val="749D12BD"/>
    <w:rsid w:val="75F97493"/>
    <w:rsid w:val="761D4A32"/>
    <w:rsid w:val="7719700C"/>
    <w:rsid w:val="77C8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F6DFF-A1FC-40D8-84C9-56062EDC1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Adobe 仿宋 Std R"/>
      <w:kern w:val="2"/>
      <w:sz w:val="32"/>
      <w:szCs w:val="24"/>
    </w:rPr>
  </w:style>
  <w:style w:type="paragraph" w:styleId="1">
    <w:name w:val="heading 1"/>
    <w:basedOn w:val="a"/>
    <w:next w:val="a"/>
    <w:qFormat/>
    <w:pPr>
      <w:keepNext/>
      <w:keepLines/>
      <w:spacing w:line="520" w:lineRule="exact"/>
      <w:ind w:leftChars="300" w:left="300"/>
      <w:jc w:val="left"/>
      <w:outlineLvl w:val="0"/>
    </w:pPr>
    <w:rPr>
      <w:rFonts w:eastAsia="黑体" w:cs="Calibri"/>
      <w:bCs/>
      <w:kern w:val="44"/>
      <w:szCs w:val="44"/>
    </w:rPr>
  </w:style>
  <w:style w:type="paragraph" w:styleId="3">
    <w:name w:val="heading 3"/>
    <w:basedOn w:val="a"/>
    <w:next w:val="1"/>
    <w:qFormat/>
    <w:pPr>
      <w:spacing w:line="520" w:lineRule="exact"/>
      <w:ind w:leftChars="300" w:left="300"/>
      <w:jc w:val="left"/>
      <w:outlineLvl w:val="2"/>
    </w:pPr>
    <w:rPr>
      <w:rFonts w:ascii="宋体" w:eastAsia="仿宋" w:hAnsi="宋体" w:hint="eastAsia"/>
      <w:kern w:val="0"/>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annotation text"/>
    <w:basedOn w:val="a"/>
    <w:link w:val="a5"/>
    <w:uiPriority w:val="99"/>
    <w:unhideWhenUsed/>
    <w:qFormat/>
    <w:pPr>
      <w:jc w:val="left"/>
    </w:pPr>
  </w:style>
  <w:style w:type="paragraph" w:styleId="a6">
    <w:name w:val="Balloon Text"/>
    <w:basedOn w:val="a"/>
    <w:link w:val="a7"/>
    <w:uiPriority w:val="99"/>
    <w:semiHidden/>
    <w:unhideWhenUsed/>
    <w:qFormat/>
    <w:rPr>
      <w:sz w:val="18"/>
      <w:szCs w:val="18"/>
    </w:rPr>
  </w:style>
  <w:style w:type="paragraph" w:styleId="a8">
    <w:name w:val="footer"/>
    <w:basedOn w:val="a"/>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a">
    <w:name w:val="Subtitle"/>
    <w:basedOn w:val="a"/>
    <w:next w:val="a"/>
    <w:qFormat/>
    <w:pPr>
      <w:spacing w:before="120"/>
      <w:jc w:val="left"/>
      <w:outlineLvl w:val="1"/>
    </w:pPr>
    <w:rPr>
      <w:rFonts w:ascii="Calibri Light" w:eastAsia="楷体_GB2312" w:hAnsi="Calibri Light"/>
      <w:bCs/>
      <w:kern w:val="28"/>
      <w:szCs w:val="32"/>
    </w:rPr>
  </w:style>
  <w:style w:type="paragraph" w:styleId="ab">
    <w:name w:val="annotation subject"/>
    <w:basedOn w:val="a4"/>
    <w:next w:val="a4"/>
    <w:link w:val="ac"/>
    <w:uiPriority w:val="99"/>
    <w:semiHidden/>
    <w:unhideWhenUsed/>
    <w:qFormat/>
    <w:rPr>
      <w:b/>
      <w:bCs/>
    </w:rPr>
  </w:style>
  <w:style w:type="character" w:styleId="ad">
    <w:name w:val="annotation reference"/>
    <w:basedOn w:val="a1"/>
    <w:uiPriority w:val="99"/>
    <w:semiHidden/>
    <w:unhideWhenUsed/>
    <w:qFormat/>
    <w:rPr>
      <w:sz w:val="21"/>
      <w:szCs w:val="21"/>
    </w:rPr>
  </w:style>
  <w:style w:type="paragraph" w:customStyle="1" w:styleId="10">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1"/>
    <w:link w:val="10"/>
    <w:uiPriority w:val="34"/>
    <w:qFormat/>
    <w:rPr>
      <w:rFonts w:ascii="Times New Roman" w:eastAsia="仿宋_GB2312" w:hAnsi="Times New Roman" w:cs="Times New Roman"/>
      <w:sz w:val="32"/>
      <w:szCs w:val="32"/>
    </w:rPr>
  </w:style>
  <w:style w:type="character" w:customStyle="1" w:styleId="a7">
    <w:name w:val="批注框文本 字符"/>
    <w:basedOn w:val="a1"/>
    <w:link w:val="a6"/>
    <w:uiPriority w:val="99"/>
    <w:semiHidden/>
    <w:qFormat/>
    <w:rPr>
      <w:rFonts w:ascii="Times New Roman" w:eastAsia="Adobe 仿宋 Std R" w:hAnsi="Times New Roman" w:cs="Times New Roman"/>
      <w:kern w:val="2"/>
      <w:sz w:val="18"/>
      <w:szCs w:val="18"/>
    </w:rPr>
  </w:style>
  <w:style w:type="paragraph" w:styleId="ae">
    <w:name w:val="List Paragraph"/>
    <w:basedOn w:val="a"/>
    <w:uiPriority w:val="99"/>
    <w:unhideWhenUsed/>
    <w:qFormat/>
    <w:pPr>
      <w:ind w:firstLineChars="200" w:firstLine="420"/>
    </w:pPr>
  </w:style>
  <w:style w:type="character" w:customStyle="1" w:styleId="a5">
    <w:name w:val="批注文字 字符"/>
    <w:basedOn w:val="a1"/>
    <w:link w:val="a4"/>
    <w:uiPriority w:val="99"/>
    <w:qFormat/>
    <w:rPr>
      <w:rFonts w:ascii="Times New Roman" w:eastAsia="Adobe 仿宋 Std R" w:hAnsi="Times New Roman" w:cs="Times New Roman"/>
      <w:kern w:val="2"/>
      <w:sz w:val="32"/>
      <w:szCs w:val="24"/>
    </w:rPr>
  </w:style>
  <w:style w:type="character" w:customStyle="1" w:styleId="ac">
    <w:name w:val="批注主题 字符"/>
    <w:basedOn w:val="a5"/>
    <w:link w:val="ab"/>
    <w:uiPriority w:val="99"/>
    <w:semiHidden/>
    <w:qFormat/>
    <w:rPr>
      <w:rFonts w:ascii="Times New Roman" w:eastAsia="Adobe 仿宋 Std R" w:hAnsi="Times New Roman" w:cs="Times New Roman"/>
      <w:b/>
      <w:bCs/>
      <w:kern w:val="2"/>
      <w:sz w:val="32"/>
      <w:szCs w:val="24"/>
    </w:rPr>
  </w:style>
  <w:style w:type="paragraph" w:customStyle="1" w:styleId="NewNew">
    <w:name w:val="正文 New New"/>
    <w:qFormat/>
    <w:pPr>
      <w:widowControl w:val="0"/>
      <w:jc w:val="both"/>
    </w:pPr>
    <w:rPr>
      <w:kern w:val="2"/>
      <w:sz w:val="21"/>
      <w:szCs w:val="24"/>
    </w:rPr>
  </w:style>
  <w:style w:type="paragraph" w:customStyle="1" w:styleId="11">
    <w:name w:val="正文1"/>
    <w:basedOn w:val="a"/>
    <w:qFormat/>
    <w:pPr>
      <w:spacing w:line="520" w:lineRule="exact"/>
      <w:ind w:firstLineChars="200" w:firstLine="200"/>
    </w:pPr>
    <w:rPr>
      <w:rFonts w:eastAsia="仿宋"/>
      <w:szCs w:val="28"/>
    </w:rPr>
  </w:style>
  <w:style w:type="paragraph" w:customStyle="1" w:styleId="12">
    <w:name w:val="修订1"/>
    <w:hidden/>
    <w:uiPriority w:val="99"/>
    <w:unhideWhenUsed/>
    <w:qFormat/>
    <w:rPr>
      <w:rFonts w:eastAsia="Adobe 仿宋 Std R"/>
      <w:kern w:val="2"/>
      <w:sz w:val="32"/>
      <w:szCs w:val="24"/>
    </w:rPr>
  </w:style>
  <w:style w:type="character" w:styleId="af">
    <w:name w:val="line number"/>
    <w:basedOn w:val="a1"/>
    <w:uiPriority w:val="99"/>
    <w:semiHidden/>
    <w:unhideWhenUsed/>
    <w:rsid w:val="0085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BC93B-EAEF-4199-BD35-39A961FA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1070</Words>
  <Characters>6103</Characters>
  <Application>Microsoft Office Word</Application>
  <DocSecurity>0</DocSecurity>
  <Lines>50</Lines>
  <Paragraphs>14</Paragraphs>
  <ScaleCrop>false</ScaleCrop>
  <Company>Microsoft</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Administrator</cp:lastModifiedBy>
  <cp:revision>6</cp:revision>
  <dcterms:created xsi:type="dcterms:W3CDTF">2026-07-27T01:58:00Z</dcterms:created>
  <dcterms:modified xsi:type="dcterms:W3CDTF">2026-07-31T08:56:00Z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B86FD254FF0E43BEB736965150659BDA_13</vt:lpwstr>
  </property>
  <property fmtid="{D5CDD505-2E9C-101B-9397-08002B2CF9AE}" pid="4" name="KSOTemplateDocerSaveRecord">
    <vt:lpwstr>eyJoZGlkIjoiNTc4MTNhMTY0YzczMmFkNjIyODYwZTFjZTZhNjY1ZDUiLCJ1c2VySWQiOiI5NjgxNzAyOTQifQ==</vt:lpwstr>
  </property>
</Properties>
</file>