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D0E00">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0"/>
        <w:rPr>
          <w:rFonts w:hint="eastAsia" w:ascii="等线" w:hAnsi="等线" w:eastAsia="方正小标宋简体" w:cs="Times New Roman"/>
          <w:color w:val="000000"/>
          <w:sz w:val="44"/>
          <w:szCs w:val="44"/>
          <w:lang w:val="en-US" w:eastAsia="zh-CN"/>
        </w:rPr>
      </w:pPr>
      <w:r>
        <w:rPr>
          <w:rFonts w:hint="eastAsia" w:ascii="等线" w:hAnsi="等线" w:eastAsia="方正小标宋简体" w:cs="Times New Roman"/>
          <w:color w:val="000000"/>
          <w:sz w:val="44"/>
          <w:szCs w:val="44"/>
          <w:lang w:eastAsia="zh-CN"/>
        </w:rPr>
        <w:t>一次性使用</w:t>
      </w:r>
      <w:r>
        <w:rPr>
          <w:rFonts w:hint="eastAsia" w:ascii="等线" w:hAnsi="等线" w:eastAsia="方正小标宋简体" w:cs="Times New Roman"/>
          <w:color w:val="000000"/>
          <w:sz w:val="44"/>
          <w:szCs w:val="44"/>
          <w:lang w:val="en-US" w:eastAsia="zh-CN"/>
        </w:rPr>
        <w:t>内窥镜先端帽产品</w:t>
      </w:r>
    </w:p>
    <w:p w14:paraId="4208DD53">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0"/>
        <w:rPr>
          <w:rFonts w:hint="eastAsia" w:ascii="等线" w:hAnsi="等线" w:eastAsia="方正小标宋简体" w:cs="Times New Roman"/>
          <w:color w:val="000000"/>
          <w:sz w:val="44"/>
          <w:szCs w:val="44"/>
          <w:lang w:eastAsia="zh-CN"/>
        </w:rPr>
      </w:pPr>
      <w:r>
        <w:rPr>
          <w:rFonts w:hint="eastAsia" w:ascii="等线" w:hAnsi="等线" w:eastAsia="方正小标宋简体" w:cs="Times New Roman"/>
          <w:color w:val="000000"/>
          <w:sz w:val="44"/>
          <w:szCs w:val="44"/>
          <w:lang w:eastAsia="zh-CN"/>
        </w:rPr>
        <w:t>注册审查指导原则</w:t>
      </w:r>
    </w:p>
    <w:p w14:paraId="310B0195">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0"/>
        <w:rPr>
          <w:rFonts w:hint="eastAsia" w:ascii="等线" w:hAnsi="等线" w:eastAsia="方正小标宋简体" w:cs="Times New Roman"/>
          <w:color w:val="000000"/>
          <w:sz w:val="44"/>
          <w:szCs w:val="44"/>
          <w:lang w:eastAsia="zh-CN"/>
        </w:rPr>
      </w:pPr>
      <w:r>
        <w:rPr>
          <w:rFonts w:hint="eastAsia" w:ascii="等线" w:hAnsi="等线" w:eastAsia="方正小标宋简体" w:cs="Times New Roman"/>
          <w:color w:val="000000"/>
          <w:sz w:val="44"/>
          <w:szCs w:val="44"/>
          <w:lang w:eastAsia="zh-CN"/>
        </w:rPr>
        <w:t>（征求意见稿）</w:t>
      </w:r>
    </w:p>
    <w:p w14:paraId="72531AC5">
      <w:pPr>
        <w:spacing w:line="520" w:lineRule="exact"/>
        <w:ind w:right="-67" w:rightChars="-32"/>
        <w:jc w:val="center"/>
        <w:rPr>
          <w:rFonts w:ascii="方正小标宋简体" w:eastAsia="方正小标宋简体"/>
          <w:color w:val="000000"/>
          <w:sz w:val="32"/>
          <w:szCs w:val="32"/>
        </w:rPr>
      </w:pPr>
    </w:p>
    <w:p w14:paraId="42DDD98D">
      <w:pPr>
        <w:spacing w:line="520" w:lineRule="exact"/>
        <w:ind w:firstLine="640" w:firstLineChars="200"/>
        <w:rPr>
          <w:rFonts w:eastAsia="仿宋_GB2312"/>
          <w:color w:val="000000"/>
          <w:sz w:val="32"/>
          <w:szCs w:val="32"/>
        </w:rPr>
      </w:pPr>
      <w:r>
        <w:rPr>
          <w:rFonts w:eastAsia="仿宋_GB2312"/>
          <w:color w:val="000000"/>
          <w:sz w:val="32"/>
          <w:szCs w:val="32"/>
        </w:rPr>
        <w:t>本指导原则旨在指导注册申请人对</w:t>
      </w:r>
      <w:r>
        <w:rPr>
          <w:rFonts w:hint="eastAsia" w:eastAsia="仿宋_GB2312"/>
          <w:color w:val="000000"/>
          <w:sz w:val="32"/>
          <w:szCs w:val="32"/>
          <w:lang w:eastAsia="zh-CN"/>
        </w:rPr>
        <w:t>一次性使用内窥镜先端帽</w:t>
      </w:r>
      <w:r>
        <w:rPr>
          <w:rFonts w:eastAsia="仿宋_GB2312"/>
          <w:color w:val="000000"/>
          <w:sz w:val="32"/>
          <w:szCs w:val="32"/>
        </w:rPr>
        <w:t>产品注册申报资料的准备及撰写，同时也为技术审评部门审评注册申报资料提供参考。</w:t>
      </w:r>
    </w:p>
    <w:p w14:paraId="18379ED1">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eastAsia" w:eastAsia="仿宋_GB2312"/>
          <w:color w:val="000000"/>
          <w:sz w:val="32"/>
          <w:szCs w:val="32"/>
        </w:rPr>
      </w:pPr>
      <w:r>
        <w:rPr>
          <w:rFonts w:hint="eastAsia" w:eastAsia="仿宋_GB2312"/>
          <w:color w:val="000000"/>
          <w:sz w:val="32"/>
          <w:szCs w:val="32"/>
        </w:rPr>
        <w:t>本指导原则是对一次性使用内窥镜先端帽和相关产品的注册申报资料的一般要求，注册申请人需依据产品的具体特性确定其中内容是否适用。若不适用，需具体阐述理由及相应的科学依据，并依据产品的具体特性对注册申报资料的内容进行充实和细化。</w:t>
      </w:r>
    </w:p>
    <w:p w14:paraId="79BA7760">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hint="eastAsia" w:eastAsia="仿宋_GB2312"/>
          <w:color w:val="000000"/>
          <w:sz w:val="32"/>
          <w:szCs w:val="32"/>
        </w:rPr>
      </w:pPr>
      <w:r>
        <w:rPr>
          <w:rFonts w:hint="eastAsia" w:eastAsia="仿宋_GB2312"/>
          <w:color w:val="000000"/>
          <w:sz w:val="32"/>
          <w:szCs w:val="32"/>
        </w:rPr>
        <w:t>本指导原则是对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73906CA8">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eastAsia="仿宋_GB2312"/>
          <w:color w:val="000000"/>
          <w:sz w:val="32"/>
          <w:szCs w:val="32"/>
        </w:rPr>
      </w:pPr>
      <w:r>
        <w:rPr>
          <w:rFonts w:hint="eastAsia" w:eastAsia="仿宋_GB2312"/>
          <w:color w:val="000000"/>
          <w:sz w:val="32"/>
          <w:szCs w:val="32"/>
        </w:rPr>
        <w:t>本指导原则是在现行法规和标准体系以及当前认知水平下制定的，随着法规和标准的不断完善，以及科学技术的不断发展，本指导原则相关内容也将进行适时的调整。</w:t>
      </w:r>
    </w:p>
    <w:p w14:paraId="272D5FD3">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outlineLvl w:val="1"/>
        <w:rPr>
          <w:rFonts w:ascii="等线" w:hAnsi="等线" w:eastAsia="黑体" w:cs="Times New Roman"/>
          <w:color w:val="000000"/>
          <w:sz w:val="32"/>
          <w:szCs w:val="32"/>
        </w:rPr>
      </w:pPr>
      <w:r>
        <w:rPr>
          <w:rFonts w:ascii="等线" w:hAnsi="等线" w:eastAsia="黑体" w:cs="Times New Roman"/>
          <w:color w:val="000000"/>
          <w:sz w:val="32"/>
          <w:szCs w:val="32"/>
        </w:rPr>
        <w:t>一、</w:t>
      </w:r>
      <w:r>
        <w:rPr>
          <w:rFonts w:hint="eastAsia" w:ascii="等线" w:hAnsi="等线" w:eastAsia="黑体" w:cs="Times New Roman"/>
          <w:color w:val="000000"/>
          <w:sz w:val="32"/>
          <w:szCs w:val="32"/>
        </w:rPr>
        <w:t>适用范围</w:t>
      </w:r>
    </w:p>
    <w:p w14:paraId="0FC7DAA8">
      <w:pPr>
        <w:spacing w:line="520" w:lineRule="exact"/>
        <w:ind w:firstLine="640" w:firstLineChars="200"/>
        <w:rPr>
          <w:rFonts w:eastAsia="仿宋_GB2312"/>
          <w:color w:val="000000"/>
          <w:sz w:val="32"/>
          <w:szCs w:val="32"/>
        </w:rPr>
      </w:pPr>
      <w:r>
        <w:rPr>
          <w:rFonts w:eastAsia="仿宋_GB2312"/>
          <w:color w:val="000000"/>
          <w:sz w:val="32"/>
          <w:szCs w:val="32"/>
        </w:rPr>
        <w:t>本指导原则适用于</w:t>
      </w:r>
      <w:r>
        <w:rPr>
          <w:rFonts w:hint="eastAsia" w:eastAsia="仿宋_GB2312"/>
          <w:color w:val="000000"/>
          <w:sz w:val="32"/>
          <w:szCs w:val="32"/>
        </w:rPr>
        <w:t>《医疗器械分类目录》</w:t>
      </w:r>
      <w:r>
        <w:rPr>
          <w:rFonts w:eastAsia="仿宋_GB2312"/>
          <w:color w:val="000000"/>
          <w:sz w:val="32"/>
          <w:szCs w:val="32"/>
        </w:rPr>
        <w:t>中分类编码为0</w:t>
      </w:r>
      <w:r>
        <w:rPr>
          <w:rFonts w:hint="eastAsia" w:eastAsia="仿宋_GB2312"/>
          <w:color w:val="000000"/>
          <w:sz w:val="32"/>
          <w:szCs w:val="32"/>
        </w:rPr>
        <w:t>6</w:t>
      </w:r>
      <w:r>
        <w:rPr>
          <w:rFonts w:eastAsia="仿宋_GB2312"/>
          <w:color w:val="000000"/>
          <w:sz w:val="32"/>
          <w:szCs w:val="32"/>
        </w:rPr>
        <w:t>-1</w:t>
      </w:r>
      <w:r>
        <w:rPr>
          <w:rFonts w:hint="eastAsia" w:eastAsia="仿宋_GB2312"/>
          <w:color w:val="000000"/>
          <w:sz w:val="32"/>
          <w:szCs w:val="32"/>
        </w:rPr>
        <w:t>6</w:t>
      </w:r>
      <w:r>
        <w:rPr>
          <w:rFonts w:eastAsia="仿宋_GB2312"/>
          <w:color w:val="000000"/>
          <w:sz w:val="32"/>
          <w:szCs w:val="32"/>
        </w:rPr>
        <w:t>-</w:t>
      </w:r>
      <w:r>
        <w:rPr>
          <w:rFonts w:hint="eastAsia" w:eastAsia="仿宋_GB2312"/>
          <w:color w:val="000000"/>
          <w:sz w:val="32"/>
          <w:szCs w:val="32"/>
        </w:rPr>
        <w:t>0</w:t>
      </w:r>
      <w:r>
        <w:rPr>
          <w:rFonts w:hint="eastAsia" w:eastAsia="仿宋_GB2312"/>
          <w:color w:val="000000"/>
          <w:sz w:val="32"/>
          <w:szCs w:val="32"/>
          <w:lang w:val="en-US" w:eastAsia="zh-CN"/>
        </w:rPr>
        <w:t>5</w:t>
      </w:r>
      <w:r>
        <w:rPr>
          <w:rFonts w:hint="eastAsia" w:eastAsia="仿宋_GB2312"/>
          <w:color w:val="000000"/>
          <w:sz w:val="32"/>
          <w:szCs w:val="32"/>
        </w:rPr>
        <w:t>，以无菌形式提供的</w:t>
      </w:r>
      <w:r>
        <w:rPr>
          <w:rFonts w:hint="eastAsia" w:eastAsia="仿宋_GB2312"/>
          <w:color w:val="000000"/>
          <w:sz w:val="32"/>
          <w:szCs w:val="32"/>
          <w:lang w:eastAsia="zh-CN"/>
        </w:rPr>
        <w:t>一次性使用内窥镜先端帽</w:t>
      </w:r>
      <w:r>
        <w:rPr>
          <w:rFonts w:eastAsia="仿宋_GB2312"/>
          <w:color w:val="000000"/>
          <w:sz w:val="32"/>
          <w:szCs w:val="32"/>
        </w:rPr>
        <w:t>（</w:t>
      </w:r>
      <w:r>
        <w:rPr>
          <w:rFonts w:hint="eastAsia" w:eastAsia="仿宋_GB2312"/>
          <w:color w:val="000000"/>
          <w:sz w:val="32"/>
          <w:szCs w:val="32"/>
        </w:rPr>
        <w:t>以下</w:t>
      </w:r>
      <w:r>
        <w:rPr>
          <w:rFonts w:eastAsia="仿宋_GB2312"/>
          <w:color w:val="000000"/>
          <w:sz w:val="32"/>
          <w:szCs w:val="32"/>
        </w:rPr>
        <w:t>简称</w:t>
      </w:r>
      <w:r>
        <w:rPr>
          <w:rFonts w:hint="eastAsia" w:eastAsia="仿宋_GB2312"/>
          <w:color w:val="000000"/>
          <w:sz w:val="32"/>
          <w:szCs w:val="32"/>
          <w:lang w:val="en-US" w:eastAsia="zh-CN"/>
        </w:rPr>
        <w:t>先端帽</w:t>
      </w:r>
      <w:r>
        <w:rPr>
          <w:rFonts w:eastAsia="仿宋_GB2312"/>
          <w:color w:val="000000"/>
          <w:sz w:val="32"/>
          <w:szCs w:val="32"/>
        </w:rPr>
        <w:t>）</w:t>
      </w:r>
      <w:r>
        <w:rPr>
          <w:rFonts w:hint="eastAsia" w:eastAsia="仿宋_GB2312"/>
          <w:color w:val="000000"/>
          <w:sz w:val="32"/>
          <w:szCs w:val="32"/>
        </w:rPr>
        <w:t>。</w:t>
      </w:r>
    </w:p>
    <w:p w14:paraId="23D6E6C8">
      <w:pPr>
        <w:spacing w:line="520" w:lineRule="exact"/>
        <w:ind w:firstLine="640" w:firstLineChars="200"/>
        <w:outlineLvl w:val="0"/>
        <w:rPr>
          <w:rFonts w:ascii="黑体" w:hAnsi="黑体" w:eastAsia="黑体"/>
          <w:color w:val="000000"/>
          <w:sz w:val="32"/>
          <w:szCs w:val="32"/>
        </w:rPr>
      </w:pPr>
      <w:r>
        <w:rPr>
          <w:rFonts w:ascii="黑体" w:hAnsi="黑体" w:eastAsia="黑体"/>
          <w:color w:val="000000"/>
          <w:sz w:val="32"/>
          <w:szCs w:val="32"/>
        </w:rPr>
        <w:t>二、</w:t>
      </w:r>
      <w:r>
        <w:rPr>
          <w:rFonts w:hint="eastAsia" w:ascii="黑体" w:hAnsi="黑体" w:eastAsia="黑体"/>
          <w:color w:val="000000"/>
          <w:sz w:val="32"/>
          <w:szCs w:val="32"/>
        </w:rPr>
        <w:t>注册</w:t>
      </w:r>
      <w:r>
        <w:rPr>
          <w:rFonts w:ascii="黑体" w:hAnsi="黑体" w:eastAsia="黑体"/>
          <w:color w:val="000000"/>
          <w:sz w:val="32"/>
          <w:szCs w:val="32"/>
        </w:rPr>
        <w:t>审查要点</w:t>
      </w:r>
    </w:p>
    <w:p w14:paraId="5968F483">
      <w:pPr>
        <w:snapToGrid w:val="0"/>
        <w:spacing w:line="520" w:lineRule="exact"/>
        <w:ind w:firstLine="640" w:firstLineChars="200"/>
        <w:rPr>
          <w:rFonts w:ascii="楷体" w:hAnsi="楷体" w:eastAsia="楷体"/>
          <w:color w:val="000000"/>
          <w:sz w:val="32"/>
          <w:szCs w:val="32"/>
        </w:rPr>
      </w:pPr>
      <w:r>
        <w:rPr>
          <w:rFonts w:hint="eastAsia" w:eastAsia="仿宋_GB2312"/>
          <w:sz w:val="32"/>
          <w:szCs w:val="32"/>
        </w:rPr>
        <w:t>注册申报资料</w:t>
      </w:r>
      <w:bookmarkStart w:id="0" w:name="_Hlk106979187"/>
      <w:r>
        <w:rPr>
          <w:rFonts w:hint="eastAsia" w:eastAsia="仿宋_GB2312"/>
          <w:sz w:val="32"/>
          <w:szCs w:val="32"/>
        </w:rPr>
        <w:t>应符合国家药品监督管理局《关于公布医疗器械注册申报资料要求和批准证明文件格式的公告》中对注册申报资料的要求</w:t>
      </w:r>
      <w:bookmarkEnd w:id="0"/>
      <w:r>
        <w:rPr>
          <w:rFonts w:hint="eastAsia" w:eastAsia="仿宋_GB2312"/>
          <w:sz w:val="32"/>
          <w:szCs w:val="32"/>
        </w:rPr>
        <w:t>，同时宜符合以下要求：</w:t>
      </w:r>
    </w:p>
    <w:p w14:paraId="11BAE98F">
      <w:pPr>
        <w:spacing w:line="520" w:lineRule="exact"/>
        <w:ind w:right="-67" w:rightChars="-32" w:firstLine="640" w:firstLineChars="200"/>
        <w:outlineLvl w:val="2"/>
        <w:rPr>
          <w:rFonts w:ascii="等线" w:hAnsi="等线" w:eastAsia="楷体_GB2312" w:cs="Times New Roman"/>
          <w:color w:val="000000"/>
          <w:sz w:val="32"/>
          <w:szCs w:val="32"/>
        </w:rPr>
      </w:pPr>
      <w:r>
        <w:rPr>
          <w:rFonts w:hint="eastAsia" w:ascii="等线" w:hAnsi="等线" w:eastAsia="楷体_GB2312" w:cs="Times New Roman"/>
          <w:color w:val="000000"/>
          <w:sz w:val="32"/>
          <w:szCs w:val="32"/>
        </w:rPr>
        <w:t>（</w:t>
      </w:r>
      <w:r>
        <w:rPr>
          <w:rFonts w:hint="eastAsia" w:ascii="等线" w:hAnsi="等线" w:eastAsia="楷体_GB2312" w:cs="Times New Roman"/>
          <w:color w:val="000000"/>
          <w:sz w:val="32"/>
          <w:szCs w:val="32"/>
          <w:lang w:eastAsia="zh-CN"/>
        </w:rPr>
        <w:t>一</w:t>
      </w:r>
      <w:r>
        <w:rPr>
          <w:rFonts w:hint="eastAsia" w:ascii="等线" w:hAnsi="等线" w:eastAsia="楷体_GB2312" w:cs="Times New Roman"/>
          <w:color w:val="000000"/>
          <w:sz w:val="32"/>
          <w:szCs w:val="32"/>
        </w:rPr>
        <w:t>）监管信息</w:t>
      </w:r>
    </w:p>
    <w:p w14:paraId="3BD93BDA">
      <w:pPr>
        <w:snapToGrid w:val="0"/>
        <w:spacing w:line="520" w:lineRule="exact"/>
        <w:ind w:firstLine="640" w:firstLineChars="200"/>
        <w:rPr>
          <w:rFonts w:hint="eastAsia" w:ascii="仿宋_GB2312" w:hAnsi="楷体" w:eastAsia="仿宋_GB2312"/>
          <w:sz w:val="32"/>
          <w:szCs w:val="32"/>
        </w:rPr>
      </w:pPr>
      <w:r>
        <w:rPr>
          <w:rFonts w:hint="default" w:ascii="Times New Roman" w:hAnsi="Times New Roman" w:eastAsia="仿宋_GB2312" w:cs="Times New Roman"/>
          <w:sz w:val="32"/>
          <w:szCs w:val="32"/>
        </w:rPr>
        <w:t>1.</w:t>
      </w:r>
      <w:r>
        <w:rPr>
          <w:rFonts w:hint="eastAsia" w:ascii="仿宋_GB2312" w:hAnsi="楷体" w:eastAsia="仿宋_GB2312"/>
          <w:sz w:val="32"/>
          <w:szCs w:val="32"/>
        </w:rPr>
        <w:t>产品名称</w:t>
      </w:r>
    </w:p>
    <w:p w14:paraId="00CB29EC">
      <w:pPr>
        <w:snapToGrid w:val="0"/>
        <w:spacing w:line="52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产品名称应符合《医疗器械通用名称命名规则》</w:t>
      </w:r>
      <w:r>
        <w:rPr>
          <w:rFonts w:hint="eastAsia" w:ascii="Times New Roman" w:hAnsi="Times New Roman" w:eastAsia="仿宋_GB2312"/>
          <w:sz w:val="32"/>
          <w:szCs w:val="32"/>
        </w:rPr>
        <w:t>或国家标准、行业标准中的通用名称</w:t>
      </w:r>
      <w:r>
        <w:rPr>
          <w:rFonts w:hint="eastAsia" w:ascii="仿宋_GB2312" w:hAnsi="楷体" w:eastAsia="仿宋_GB2312"/>
          <w:sz w:val="32"/>
          <w:szCs w:val="32"/>
        </w:rPr>
        <w:t>。</w:t>
      </w:r>
      <w:r>
        <w:rPr>
          <w:rFonts w:hint="eastAsia" w:ascii="仿宋_GB2312" w:hAnsi="楷体" w:eastAsia="仿宋_GB2312"/>
          <w:sz w:val="32"/>
          <w:szCs w:val="32"/>
          <w:lang w:eastAsia="zh-CN"/>
        </w:rPr>
        <w:t>应以</w:t>
      </w:r>
      <w:r>
        <w:rPr>
          <w:rFonts w:hint="eastAsia" w:ascii="仿宋_GB2312" w:hAnsi="楷体" w:eastAsia="仿宋_GB2312"/>
          <w:sz w:val="32"/>
          <w:szCs w:val="32"/>
        </w:rPr>
        <w:t>“</w:t>
      </w:r>
      <w:r>
        <w:rPr>
          <w:rFonts w:hint="eastAsia" w:ascii="仿宋_GB2312" w:hAnsi="楷体" w:eastAsia="仿宋_GB2312"/>
          <w:sz w:val="32"/>
          <w:szCs w:val="32"/>
          <w:lang w:val="en-US" w:eastAsia="zh-CN"/>
        </w:rPr>
        <w:t>先端帽</w:t>
      </w:r>
      <w:r>
        <w:rPr>
          <w:rFonts w:hint="eastAsia" w:ascii="仿宋_GB2312" w:hAnsi="楷体" w:eastAsia="仿宋_GB2312"/>
          <w:sz w:val="32"/>
          <w:szCs w:val="32"/>
        </w:rPr>
        <w:t>”作为产品名称核心词，以使用形式、提供方式等作为特征词，例如，</w:t>
      </w:r>
      <w:r>
        <w:rPr>
          <w:rFonts w:hint="eastAsia" w:ascii="仿宋_GB2312" w:hAnsi="楷体" w:eastAsia="仿宋_GB2312"/>
          <w:sz w:val="32"/>
          <w:szCs w:val="32"/>
          <w:lang w:eastAsia="zh-CN"/>
        </w:rPr>
        <w:t>一次性使用</w:t>
      </w:r>
      <w:r>
        <w:rPr>
          <w:rFonts w:hint="eastAsia" w:ascii="仿宋_GB2312" w:hAnsi="楷体" w:eastAsia="仿宋_GB2312"/>
          <w:sz w:val="32"/>
          <w:szCs w:val="32"/>
          <w:lang w:val="en-US" w:eastAsia="zh-CN"/>
        </w:rPr>
        <w:t>无菌</w:t>
      </w:r>
      <w:r>
        <w:rPr>
          <w:rFonts w:hint="eastAsia" w:ascii="仿宋_GB2312" w:hAnsi="楷体" w:eastAsia="仿宋_GB2312"/>
          <w:sz w:val="32"/>
          <w:szCs w:val="32"/>
          <w:lang w:eastAsia="zh-CN"/>
        </w:rPr>
        <w:t>先端帽</w:t>
      </w:r>
      <w:r>
        <w:rPr>
          <w:rFonts w:hint="eastAsia" w:ascii="仿宋_GB2312" w:hAnsi="楷体" w:eastAsia="仿宋_GB2312"/>
          <w:sz w:val="32"/>
          <w:szCs w:val="32"/>
        </w:rPr>
        <w:t>、一次性使用内窥镜</w:t>
      </w:r>
      <w:r>
        <w:rPr>
          <w:rFonts w:hint="eastAsia" w:ascii="仿宋_GB2312" w:hAnsi="楷体" w:eastAsia="仿宋_GB2312"/>
          <w:sz w:val="32"/>
          <w:szCs w:val="32"/>
          <w:lang w:val="en-US" w:eastAsia="zh-CN"/>
        </w:rPr>
        <w:t>先端帽</w:t>
      </w:r>
      <w:r>
        <w:rPr>
          <w:rFonts w:hint="eastAsia" w:ascii="仿宋_GB2312" w:hAnsi="楷体" w:eastAsia="仿宋_GB2312"/>
          <w:sz w:val="32"/>
          <w:szCs w:val="32"/>
        </w:rPr>
        <w:t>。</w:t>
      </w:r>
    </w:p>
    <w:p w14:paraId="01AC48DE">
      <w:pPr>
        <w:spacing w:line="520" w:lineRule="exact"/>
        <w:ind w:firstLine="629"/>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ascii="Times New Roman" w:hAnsi="Times New Roman" w:eastAsia="仿宋_GB2312"/>
          <w:sz w:val="32"/>
          <w:szCs w:val="32"/>
        </w:rPr>
        <w:t>管理类别、分类编码</w:t>
      </w:r>
    </w:p>
    <w:p w14:paraId="0EDDEB2A">
      <w:pPr>
        <w:spacing w:line="520" w:lineRule="exact"/>
        <w:ind w:firstLine="629"/>
        <w:rPr>
          <w:rFonts w:hint="eastAsia"/>
        </w:rPr>
      </w:pPr>
      <w:r>
        <w:rPr>
          <w:rFonts w:hint="eastAsia" w:ascii="Times New Roman" w:hAnsi="Times New Roman" w:eastAsia="仿宋_GB2312"/>
          <w:sz w:val="32"/>
          <w:szCs w:val="32"/>
        </w:rPr>
        <w:t>根据《医疗器械分类目录》，分类编码为</w:t>
      </w:r>
      <w:r>
        <w:rPr>
          <w:rFonts w:eastAsia="仿宋_GB2312"/>
          <w:color w:val="000000"/>
          <w:sz w:val="32"/>
          <w:szCs w:val="32"/>
        </w:rPr>
        <w:t>0</w:t>
      </w:r>
      <w:r>
        <w:rPr>
          <w:rFonts w:hint="eastAsia" w:eastAsia="仿宋_GB2312"/>
          <w:color w:val="000000"/>
          <w:sz w:val="32"/>
          <w:szCs w:val="32"/>
        </w:rPr>
        <w:t>6</w:t>
      </w:r>
      <w:r>
        <w:rPr>
          <w:rFonts w:eastAsia="仿宋_GB2312"/>
          <w:color w:val="000000"/>
          <w:sz w:val="32"/>
          <w:szCs w:val="32"/>
        </w:rPr>
        <w:t>-1</w:t>
      </w:r>
      <w:r>
        <w:rPr>
          <w:rFonts w:hint="eastAsia" w:eastAsia="仿宋_GB2312"/>
          <w:color w:val="000000"/>
          <w:sz w:val="32"/>
          <w:szCs w:val="32"/>
        </w:rPr>
        <w:t>6</w:t>
      </w:r>
      <w:r>
        <w:rPr>
          <w:rFonts w:eastAsia="仿宋_GB2312"/>
          <w:color w:val="000000"/>
          <w:sz w:val="32"/>
          <w:szCs w:val="32"/>
        </w:rPr>
        <w:t>-</w:t>
      </w:r>
      <w:r>
        <w:rPr>
          <w:rFonts w:hint="eastAsia" w:eastAsia="仿宋_GB2312"/>
          <w:color w:val="000000"/>
          <w:sz w:val="32"/>
          <w:szCs w:val="32"/>
        </w:rPr>
        <w:t>0</w:t>
      </w:r>
      <w:r>
        <w:rPr>
          <w:rFonts w:hint="eastAsia" w:eastAsia="仿宋_GB2312"/>
          <w:color w:val="000000"/>
          <w:sz w:val="32"/>
          <w:szCs w:val="32"/>
          <w:lang w:val="en-US" w:eastAsia="zh-CN"/>
        </w:rPr>
        <w:t>5</w:t>
      </w:r>
      <w:r>
        <w:rPr>
          <w:rFonts w:hint="eastAsia" w:ascii="Times New Roman" w:hAnsi="Times New Roman" w:eastAsia="仿宋_GB2312"/>
          <w:sz w:val="32"/>
          <w:szCs w:val="32"/>
        </w:rPr>
        <w:t>，管理类别为II类。</w:t>
      </w:r>
    </w:p>
    <w:p w14:paraId="0219C25D">
      <w:pPr>
        <w:numPr>
          <w:ilvl w:val="0"/>
          <w:numId w:val="0"/>
        </w:numPr>
        <w:snapToGrid w:val="0"/>
        <w:spacing w:line="520" w:lineRule="exact"/>
        <w:ind w:firstLine="640" w:firstLineChars="200"/>
        <w:outlineLvl w:val="2"/>
      </w:pPr>
      <w:r>
        <w:rPr>
          <w:rFonts w:hint="eastAsia" w:eastAsia="仿宋_GB2312"/>
          <w:color w:val="000000"/>
          <w:sz w:val="32"/>
          <w:szCs w:val="32"/>
          <w:lang w:val="en-US" w:eastAsia="zh-CN"/>
        </w:rPr>
        <w:t>3.</w:t>
      </w:r>
      <w:r>
        <w:rPr>
          <w:rFonts w:hint="eastAsia" w:eastAsia="仿宋_GB2312"/>
          <w:color w:val="000000"/>
          <w:sz w:val="32"/>
          <w:szCs w:val="32"/>
        </w:rPr>
        <w:t>注册单元划分的原则和实例</w:t>
      </w:r>
    </w:p>
    <w:p w14:paraId="3BC579A0">
      <w:pPr>
        <w:spacing w:line="520" w:lineRule="exact"/>
        <w:ind w:firstLine="640" w:firstLineChars="200"/>
        <w:rPr>
          <w:rFonts w:hint="eastAsia" w:eastAsia="仿宋_GB2312"/>
          <w:color w:val="000000"/>
          <w:sz w:val="32"/>
          <w:szCs w:val="32"/>
          <w:highlight w:val="none"/>
          <w:lang w:eastAsia="zh-CN"/>
        </w:rPr>
      </w:pPr>
      <w:r>
        <w:rPr>
          <w:rFonts w:hint="eastAsia" w:eastAsia="仿宋_GB2312"/>
          <w:color w:val="000000"/>
          <w:sz w:val="32"/>
          <w:szCs w:val="32"/>
          <w:lang w:eastAsia="zh-CN"/>
        </w:rPr>
        <w:t>先端帽</w:t>
      </w:r>
      <w:r>
        <w:rPr>
          <w:rFonts w:hint="eastAsia" w:eastAsia="仿宋_GB2312"/>
          <w:color w:val="000000"/>
          <w:sz w:val="32"/>
          <w:szCs w:val="32"/>
        </w:rPr>
        <w:t>产品</w:t>
      </w:r>
      <w:r>
        <w:rPr>
          <w:rFonts w:eastAsia="仿宋_GB2312"/>
          <w:color w:val="000000"/>
          <w:sz w:val="32"/>
          <w:szCs w:val="32"/>
        </w:rPr>
        <w:t>注册单元划分</w:t>
      </w:r>
      <w:r>
        <w:rPr>
          <w:rFonts w:hint="eastAsia" w:eastAsia="仿宋_GB2312"/>
          <w:color w:val="000000"/>
          <w:sz w:val="32"/>
          <w:szCs w:val="32"/>
        </w:rPr>
        <w:t>应符合《医疗器械注册单元划分指导原则》的要求，</w:t>
      </w:r>
      <w:r>
        <w:rPr>
          <w:rFonts w:hint="eastAsia" w:eastAsia="仿宋_GB2312"/>
          <w:color w:val="000000"/>
          <w:sz w:val="32"/>
          <w:szCs w:val="32"/>
          <w:highlight w:val="none"/>
        </w:rPr>
        <w:t>材质不同而导致产品性能不同</w:t>
      </w:r>
      <w:r>
        <w:rPr>
          <w:rFonts w:hint="eastAsia" w:eastAsia="仿宋_GB2312"/>
          <w:color w:val="000000"/>
          <w:sz w:val="32"/>
          <w:szCs w:val="32"/>
          <w:highlight w:val="none"/>
          <w:lang w:eastAsia="zh-CN"/>
        </w:rPr>
        <w:t>的，</w:t>
      </w:r>
      <w:r>
        <w:rPr>
          <w:rFonts w:hint="eastAsia" w:eastAsia="仿宋_GB2312"/>
          <w:color w:val="000000"/>
          <w:sz w:val="32"/>
          <w:szCs w:val="32"/>
          <w:highlight w:val="none"/>
        </w:rPr>
        <w:t>应划分为不同注册单元</w:t>
      </w:r>
      <w:r>
        <w:rPr>
          <w:rFonts w:hint="eastAsia" w:eastAsia="仿宋_GB2312"/>
          <w:color w:val="000000"/>
          <w:sz w:val="32"/>
          <w:szCs w:val="32"/>
          <w:highlight w:val="none"/>
          <w:lang w:eastAsia="zh-CN"/>
        </w:rPr>
        <w:t>。</w:t>
      </w:r>
    </w:p>
    <w:p w14:paraId="65A46CB6">
      <w:pPr>
        <w:spacing w:line="520" w:lineRule="exact"/>
        <w:ind w:right="-67" w:rightChars="-32"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.产品列表</w:t>
      </w:r>
    </w:p>
    <w:p w14:paraId="250EC581">
      <w:pPr>
        <w:spacing w:line="520" w:lineRule="exact"/>
        <w:ind w:firstLine="640" w:firstLineChars="200"/>
        <w:jc w:val="left"/>
        <w:rPr>
          <w:rFonts w:ascii="Times New Roman" w:hAnsi="Times New Roman" w:eastAsia="仿宋_GB2312"/>
          <w:color w:val="000000"/>
          <w:sz w:val="32"/>
          <w:szCs w:val="32"/>
        </w:rPr>
      </w:pPr>
      <w:r>
        <w:rPr>
          <w:rFonts w:ascii="Times New Roman" w:hAnsi="Times New Roman" w:eastAsia="仿宋_GB2312"/>
          <w:color w:val="000000"/>
          <w:sz w:val="32"/>
          <w:szCs w:val="32"/>
        </w:rPr>
        <w:t>以表格形式列出拟申报产品的型号、规格、结构及组成、附件，以及每个规格型号的标识（如型号或部件的编号、器械唯一标识等）和描述说明（</w:t>
      </w:r>
      <w:r>
        <w:rPr>
          <w:rFonts w:ascii="Times New Roman" w:hAnsi="Times New Roman" w:eastAsia="仿宋_GB2312"/>
          <w:sz w:val="32"/>
          <w:szCs w:val="32"/>
        </w:rPr>
        <w:t>如尺寸、材质等</w:t>
      </w:r>
      <w:r>
        <w:rPr>
          <w:rFonts w:ascii="Times New Roman" w:hAnsi="Times New Roman" w:eastAsia="仿宋_GB2312"/>
          <w:color w:val="000000"/>
          <w:sz w:val="32"/>
          <w:szCs w:val="32"/>
        </w:rPr>
        <w:t>）。</w:t>
      </w:r>
    </w:p>
    <w:p w14:paraId="0FDB487B">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ascii="Times New Roman" w:hAnsi="Times New Roman" w:eastAsia="仿宋_GB2312"/>
          <w:sz w:val="32"/>
          <w:szCs w:val="32"/>
        </w:rPr>
        <w:t>.既往沟通记录</w:t>
      </w:r>
    </w:p>
    <w:p w14:paraId="2827D67B">
      <w:pPr>
        <w:spacing w:line="52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5.1在产品申报前，如果申请人与监管机构针对申报产品以会议形式进行了沟通，或者申报产品与既往注册申报相关。提交符合《关于公布医疗器械注册申报资料要求和批准证明文件格式的公告》附件5要求的相关文件。</w:t>
      </w:r>
    </w:p>
    <w:p w14:paraId="6F7E439A">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5.2如不适用，应当明确声明申报产品没有既往申报和/或申报前沟通。</w:t>
      </w:r>
    </w:p>
    <w:p w14:paraId="4EB356F3">
      <w:pPr>
        <w:spacing w:line="52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6.主文档授权信</w:t>
      </w:r>
    </w:p>
    <w:p w14:paraId="069FF008">
      <w:pPr>
        <w:spacing w:line="520" w:lineRule="exact"/>
        <w:ind w:firstLine="640" w:firstLineChars="200"/>
      </w:pPr>
      <w:r>
        <w:rPr>
          <w:rFonts w:hint="eastAsia" w:ascii="Times New Roman" w:hAnsi="Times New Roman" w:eastAsia="仿宋_GB2312"/>
          <w:sz w:val="32"/>
          <w:szCs w:val="32"/>
        </w:rPr>
        <w:t>如适用，注册申请人应当对主文档引用的情况进行说明。注册申请人应当提交由主文档所有者或其备案代理机构出具的授权申请人引用主文档信息的授权信。授权信中应当包括引用主文档的申请人信息、产品名称、已备案的主文档编号、授权引用的主文档页码/章节信息等内容。</w:t>
      </w:r>
    </w:p>
    <w:p w14:paraId="6DF2D9E2">
      <w:pPr>
        <w:snapToGrid w:val="0"/>
        <w:spacing w:line="520" w:lineRule="exact"/>
        <w:ind w:firstLine="640" w:firstLineChars="200"/>
        <w:outlineLvl w:val="1"/>
        <w:rPr>
          <w:rFonts w:eastAsia="楷体_GB2312"/>
          <w:color w:val="000000"/>
          <w:sz w:val="32"/>
          <w:szCs w:val="32"/>
        </w:rPr>
      </w:pPr>
      <w:r>
        <w:rPr>
          <w:rFonts w:hint="eastAsia" w:eastAsia="楷体_GB2312"/>
          <w:color w:val="000000"/>
          <w:sz w:val="32"/>
          <w:szCs w:val="32"/>
        </w:rPr>
        <w:t>（</w:t>
      </w:r>
      <w:r>
        <w:rPr>
          <w:rFonts w:hint="eastAsia" w:eastAsia="楷体_GB2312"/>
          <w:color w:val="000000"/>
          <w:sz w:val="32"/>
          <w:szCs w:val="32"/>
          <w:lang w:eastAsia="zh-CN"/>
        </w:rPr>
        <w:t>二</w:t>
      </w:r>
      <w:r>
        <w:rPr>
          <w:rFonts w:hint="eastAsia" w:eastAsia="楷体_GB2312"/>
          <w:color w:val="000000"/>
          <w:sz w:val="32"/>
          <w:szCs w:val="32"/>
        </w:rPr>
        <w:t>）综述资料</w:t>
      </w:r>
    </w:p>
    <w:p w14:paraId="5100575B">
      <w:pPr>
        <w:snapToGrid w:val="0"/>
        <w:spacing w:line="520" w:lineRule="exact"/>
        <w:ind w:firstLine="640" w:firstLineChars="200"/>
        <w:outlineLvl w:val="2"/>
        <w:rPr>
          <w:rFonts w:hint="eastAsia" w:eastAsia="仿宋_GB2312"/>
          <w:color w:val="000000"/>
          <w:sz w:val="32"/>
          <w:szCs w:val="32"/>
        </w:rPr>
      </w:pPr>
      <w:r>
        <w:rPr>
          <w:rFonts w:hint="eastAsia" w:eastAsia="仿宋_GB2312"/>
          <w:color w:val="000000"/>
          <w:sz w:val="32"/>
          <w:szCs w:val="32"/>
        </w:rPr>
        <w:t>1.</w:t>
      </w:r>
      <w:r>
        <w:rPr>
          <w:rFonts w:hint="eastAsia" w:eastAsia="仿宋_GB2312"/>
          <w:color w:val="000000"/>
          <w:sz w:val="32"/>
          <w:szCs w:val="32"/>
          <w:lang w:eastAsia="zh-CN"/>
        </w:rPr>
        <w:t>产品描述</w:t>
      </w:r>
    </w:p>
    <w:p w14:paraId="7786273E">
      <w:pPr>
        <w:snapToGrid w:val="0"/>
        <w:spacing w:line="520" w:lineRule="exact"/>
        <w:ind w:firstLine="640" w:firstLineChars="200"/>
        <w:outlineLvl w:val="2"/>
        <w:rPr>
          <w:rFonts w:hint="eastAsia" w:eastAsia="仿宋_GB2312"/>
          <w:color w:val="000000"/>
          <w:sz w:val="32"/>
          <w:szCs w:val="32"/>
          <w:lang w:eastAsia="zh-CN"/>
        </w:rPr>
      </w:pPr>
      <w:r>
        <w:rPr>
          <w:rFonts w:hint="eastAsia" w:eastAsia="仿宋_GB2312"/>
          <w:color w:val="000000"/>
          <w:sz w:val="32"/>
          <w:szCs w:val="32"/>
          <w:lang w:val="en-US" w:eastAsia="zh-CN"/>
        </w:rPr>
        <w:t>1.1</w:t>
      </w:r>
      <w:r>
        <w:rPr>
          <w:rFonts w:hint="eastAsia" w:eastAsia="仿宋_GB2312"/>
          <w:color w:val="000000"/>
          <w:sz w:val="32"/>
          <w:szCs w:val="32"/>
          <w:lang w:eastAsia="zh-CN"/>
        </w:rPr>
        <w:t>工作原理</w:t>
      </w:r>
    </w:p>
    <w:p w14:paraId="4A153F65">
      <w:pPr>
        <w:numPr>
          <w:ilvl w:val="0"/>
          <w:numId w:val="0"/>
        </w:numPr>
        <w:snapToGrid w:val="0"/>
        <w:spacing w:line="52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先端帽</w:t>
      </w:r>
      <w:r>
        <w:rPr>
          <w:rFonts w:hint="eastAsia" w:eastAsia="仿宋_GB2312"/>
          <w:color w:val="000000"/>
          <w:sz w:val="32"/>
          <w:szCs w:val="32"/>
        </w:rPr>
        <w:t>通过尺寸配合可以与软性内窥镜先端部密封连接。在使用软性内窥镜时，</w:t>
      </w:r>
      <w:r>
        <w:rPr>
          <w:rFonts w:hint="eastAsia" w:eastAsia="仿宋_GB2312"/>
          <w:color w:val="000000"/>
          <w:sz w:val="32"/>
          <w:szCs w:val="32"/>
          <w:lang w:eastAsia="zh-CN"/>
        </w:rPr>
        <w:t>先端帽</w:t>
      </w:r>
      <w:r>
        <w:rPr>
          <w:rFonts w:hint="eastAsia" w:eastAsia="仿宋_GB2312"/>
          <w:color w:val="000000"/>
          <w:sz w:val="32"/>
          <w:szCs w:val="32"/>
        </w:rPr>
        <w:t>通过撑起组织，保持内窥镜适当的内镜视野</w:t>
      </w:r>
      <w:r>
        <w:rPr>
          <w:rFonts w:hint="eastAsia" w:eastAsia="仿宋_GB2312"/>
          <w:color w:val="000000"/>
          <w:sz w:val="32"/>
          <w:szCs w:val="32"/>
          <w:lang w:eastAsia="zh-CN"/>
        </w:rPr>
        <w:t>。</w:t>
      </w:r>
    </w:p>
    <w:p w14:paraId="32630DFD">
      <w:pPr>
        <w:snapToGrid w:val="0"/>
        <w:spacing w:line="520" w:lineRule="exact"/>
        <w:ind w:firstLine="640" w:firstLineChars="200"/>
        <w:outlineLvl w:val="2"/>
        <w:rPr>
          <w:rFonts w:eastAsia="仿宋_GB2312"/>
          <w:color w:val="000000"/>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2</w:t>
      </w:r>
      <w:r>
        <w:rPr>
          <w:rFonts w:hint="eastAsia" w:eastAsia="仿宋_GB2312"/>
          <w:color w:val="000000"/>
          <w:sz w:val="32"/>
          <w:szCs w:val="32"/>
        </w:rPr>
        <w:t>结构组成</w:t>
      </w:r>
    </w:p>
    <w:p w14:paraId="33D0782F">
      <w:pPr>
        <w:spacing w:line="520" w:lineRule="exact"/>
        <w:ind w:firstLine="640" w:firstLineChars="200"/>
        <w:rPr>
          <w:rFonts w:eastAsia="仿宋_GB2312"/>
          <w:color w:val="000000"/>
          <w:sz w:val="32"/>
          <w:szCs w:val="32"/>
        </w:rPr>
      </w:pPr>
      <w:r>
        <w:rPr>
          <w:rFonts w:hint="eastAsia" w:eastAsia="仿宋_GB2312"/>
          <w:color w:val="000000"/>
          <w:sz w:val="32"/>
          <w:szCs w:val="32"/>
          <w:lang w:eastAsia="zh-CN"/>
        </w:rPr>
        <w:t>先端帽</w:t>
      </w:r>
      <w:r>
        <w:rPr>
          <w:rFonts w:eastAsia="仿宋_GB2312"/>
          <w:color w:val="000000"/>
          <w:sz w:val="32"/>
          <w:szCs w:val="32"/>
        </w:rPr>
        <w:t>产品</w:t>
      </w:r>
      <w:r>
        <w:rPr>
          <w:rFonts w:hint="eastAsia" w:eastAsia="仿宋_GB2312"/>
          <w:color w:val="000000"/>
          <w:sz w:val="32"/>
          <w:szCs w:val="32"/>
        </w:rPr>
        <w:t>通常由</w:t>
      </w:r>
      <w:r>
        <w:rPr>
          <w:rFonts w:hint="eastAsia" w:eastAsia="仿宋_GB2312"/>
          <w:color w:val="000000"/>
          <w:sz w:val="32"/>
          <w:szCs w:val="32"/>
          <w:lang w:val="en-US" w:eastAsia="zh-CN"/>
        </w:rPr>
        <w:t>配合部、支撑部</w:t>
      </w:r>
      <w:r>
        <w:rPr>
          <w:rFonts w:hint="eastAsia" w:eastAsia="仿宋_GB2312"/>
          <w:color w:val="000000"/>
          <w:sz w:val="32"/>
          <w:szCs w:val="32"/>
        </w:rPr>
        <w:t>组成，如图</w:t>
      </w:r>
      <w:r>
        <w:rPr>
          <w:rFonts w:hint="eastAsia" w:eastAsia="仿宋_GB2312"/>
          <w:color w:val="000000"/>
          <w:sz w:val="32"/>
          <w:szCs w:val="32"/>
          <w:lang w:val="en-US" w:eastAsia="zh-CN"/>
        </w:rPr>
        <w:t>1</w:t>
      </w:r>
      <w:r>
        <w:rPr>
          <w:rFonts w:hint="eastAsia" w:eastAsia="仿宋_GB2312"/>
          <w:color w:val="000000"/>
          <w:sz w:val="32"/>
          <w:szCs w:val="32"/>
        </w:rPr>
        <w:t>所示。</w:t>
      </w:r>
    </w:p>
    <w:p w14:paraId="06F8FFC7">
      <w:pPr>
        <w:spacing w:line="520" w:lineRule="exact"/>
        <w:ind w:firstLine="640" w:firstLineChars="200"/>
        <w:rPr>
          <w:rFonts w:eastAsia="仿宋_GB2312"/>
          <w:color w:val="000000"/>
          <w:sz w:val="32"/>
          <w:szCs w:val="32"/>
        </w:rPr>
      </w:pPr>
      <w:r>
        <w:rPr>
          <w:rFonts w:hint="eastAsia" w:eastAsia="仿宋_GB2312"/>
          <w:color w:val="000000"/>
          <w:sz w:val="32"/>
          <w:szCs w:val="32"/>
        </w:rPr>
        <w:t>本指导原则中的</w:t>
      </w:r>
      <w:r>
        <w:rPr>
          <w:rFonts w:eastAsia="仿宋_GB2312"/>
          <w:color w:val="000000"/>
          <w:sz w:val="32"/>
          <w:szCs w:val="32"/>
        </w:rPr>
        <w:t>图示仅为示例，实际不同厂家结构设计</w:t>
      </w:r>
      <w:r>
        <w:rPr>
          <w:rFonts w:hint="eastAsia" w:eastAsia="仿宋_GB2312"/>
          <w:color w:val="000000"/>
          <w:sz w:val="32"/>
          <w:szCs w:val="32"/>
        </w:rPr>
        <w:t>可能</w:t>
      </w:r>
      <w:r>
        <w:rPr>
          <w:rFonts w:eastAsia="仿宋_GB2312"/>
          <w:color w:val="000000"/>
          <w:sz w:val="32"/>
          <w:szCs w:val="32"/>
        </w:rPr>
        <w:t>有所不同。</w:t>
      </w:r>
    </w:p>
    <w:p w14:paraId="64F0E940">
      <w:pPr>
        <w:pStyle w:val="2"/>
        <w:rPr>
          <w:rFonts w:eastAsia="仿宋_GB2312"/>
          <w:color w:val="000000"/>
          <w:sz w:val="32"/>
          <w:szCs w:val="32"/>
        </w:rPr>
      </w:pPr>
    </w:p>
    <w:p w14:paraId="2FD9FD7E">
      <w:pPr>
        <w:pStyle w:val="2"/>
        <w:rPr>
          <w:rFonts w:eastAsia="仿宋_GB2312"/>
          <w:color w:val="000000"/>
          <w:sz w:val="32"/>
          <w:szCs w:val="32"/>
        </w:rPr>
      </w:pPr>
    </w:p>
    <w:p w14:paraId="09EF58E0">
      <w:pPr>
        <w:jc w:val="both"/>
      </w:pPr>
    </w:p>
    <w:p w14:paraId="6E8A2CB3">
      <w:pPr>
        <w:jc w:val="both"/>
        <w:rPr>
          <w:rFonts w:hint="eastAsia"/>
          <w:lang w:val="en-US" w:eastAsia="zh-CN"/>
        </w:rPr>
      </w:pPr>
      <w:r>
        <w:rPr>
          <w:sz w:val="28"/>
        </w:rPr>
        <mc:AlternateContent>
          <mc:Choice Requires="wpg">
            <w:drawing>
              <wp:anchor distT="0" distB="0" distL="114300" distR="114300" simplePos="0" relativeHeight="251660288" behindDoc="0" locked="0" layoutInCell="1" allowOverlap="1">
                <wp:simplePos x="0" y="0"/>
                <wp:positionH relativeFrom="column">
                  <wp:posOffset>1583055</wp:posOffset>
                </wp:positionH>
                <wp:positionV relativeFrom="paragraph">
                  <wp:posOffset>-812165</wp:posOffset>
                </wp:positionV>
                <wp:extent cx="2104390" cy="1532890"/>
                <wp:effectExtent l="0" t="0" r="10160" b="8890"/>
                <wp:wrapNone/>
                <wp:docPr id="12" name="组合 12"/>
                <wp:cNvGraphicFramePr/>
                <a:graphic xmlns:a="http://schemas.openxmlformats.org/drawingml/2006/main">
                  <a:graphicData uri="http://schemas.microsoft.com/office/word/2010/wordprocessingGroup">
                    <wpg:wgp>
                      <wpg:cNvGrpSpPr/>
                      <wpg:grpSpPr>
                        <a:xfrm>
                          <a:off x="0" y="0"/>
                          <a:ext cx="2104390" cy="1532890"/>
                          <a:chOff x="8745" y="56041"/>
                          <a:chExt cx="3314" cy="2414"/>
                        </a:xfrm>
                      </wpg:grpSpPr>
                      <wps:wsp>
                        <wps:cNvPr id="6" name="文本框 6"/>
                        <wps:cNvSpPr txBox="1"/>
                        <wps:spPr>
                          <a:xfrm>
                            <a:off x="8935" y="56140"/>
                            <a:ext cx="1101" cy="594"/>
                          </a:xfrm>
                          <a:prstGeom prst="rect">
                            <a:avLst/>
                          </a:prstGeom>
                          <a:noFill/>
                          <a:ln>
                            <a:noFill/>
                          </a:ln>
                        </wps:spPr>
                        <wps:txbx>
                          <w:txbxContent>
                            <w:p w14:paraId="465C2BE4">
                              <w:pPr>
                                <w:ind w:left="0" w:leftChars="0" w:firstLine="0" w:firstLineChars="0"/>
                                <w:rPr>
                                  <w:rFonts w:hint="eastAsia" w:eastAsia="宋体"/>
                                  <w:lang w:eastAsia="zh-CN"/>
                                </w:rPr>
                              </w:pPr>
                              <w:r>
                                <w:rPr>
                                  <w:rFonts w:hint="eastAsia"/>
                                  <w:lang w:eastAsia="zh-CN"/>
                                </w:rPr>
                                <w:t>配合部</w:t>
                              </w:r>
                            </w:p>
                          </w:txbxContent>
                        </wps:txbx>
                        <wps:bodyPr upright="1"/>
                      </wps:wsp>
                      <wps:wsp>
                        <wps:cNvPr id="4" name="文本框 4"/>
                        <wps:cNvSpPr txBox="1"/>
                        <wps:spPr>
                          <a:xfrm>
                            <a:off x="10437" y="56041"/>
                            <a:ext cx="1086" cy="554"/>
                          </a:xfrm>
                          <a:prstGeom prst="rect">
                            <a:avLst/>
                          </a:prstGeom>
                          <a:noFill/>
                          <a:ln>
                            <a:noFill/>
                          </a:ln>
                        </wps:spPr>
                        <wps:txbx>
                          <w:txbxContent>
                            <w:p w14:paraId="41827430">
                              <w:pPr>
                                <w:ind w:left="0" w:leftChars="0" w:firstLine="0" w:firstLineChars="0"/>
                                <w:rPr>
                                  <w:rFonts w:hint="eastAsia" w:eastAsia="宋体"/>
                                  <w:lang w:val="en-US" w:eastAsia="zh-CN"/>
                                </w:rPr>
                              </w:pPr>
                              <w:r>
                                <w:rPr>
                                  <w:rFonts w:hint="eastAsia"/>
                                  <w:lang w:val="en-US" w:eastAsia="zh-CN"/>
                                </w:rPr>
                                <w:t>支撑部</w:t>
                              </w:r>
                            </w:p>
                          </w:txbxContent>
                        </wps:txbx>
                        <wps:bodyPr upright="1"/>
                      </wps:wsp>
                      <wpg:grpSp>
                        <wpg:cNvPr id="9" name="组合 9"/>
                        <wpg:cNvGrpSpPr/>
                        <wpg:grpSpPr>
                          <a:xfrm>
                            <a:off x="8745" y="56429"/>
                            <a:ext cx="3314" cy="2027"/>
                            <a:chOff x="8745" y="56429"/>
                            <a:chExt cx="3314" cy="2027"/>
                          </a:xfrm>
                        </wpg:grpSpPr>
                        <pic:pic xmlns:pic="http://schemas.openxmlformats.org/drawingml/2006/picture">
                          <pic:nvPicPr>
                            <pic:cNvPr id="2" name="图片 2" descr="企业微信截图_1669285052115"/>
                            <pic:cNvPicPr>
                              <a:picLocks noChangeAspect="1"/>
                            </pic:cNvPicPr>
                          </pic:nvPicPr>
                          <pic:blipFill>
                            <a:blip r:embed="rId6"/>
                            <a:srcRect t="15427" b="24677"/>
                            <a:stretch>
                              <a:fillRect/>
                            </a:stretch>
                          </pic:blipFill>
                          <pic:spPr>
                            <a:xfrm>
                              <a:off x="8745" y="56604"/>
                              <a:ext cx="3314" cy="1852"/>
                            </a:xfrm>
                            <a:prstGeom prst="rect">
                              <a:avLst/>
                            </a:prstGeom>
                            <a:noFill/>
                            <a:ln>
                              <a:noFill/>
                            </a:ln>
                          </pic:spPr>
                        </pic:pic>
                        <wps:wsp>
                          <wps:cNvPr id="7" name="直接连接符 7"/>
                          <wps:cNvCnPr/>
                          <wps:spPr>
                            <a:xfrm flipV="1">
                              <a:off x="10716" y="56429"/>
                              <a:ext cx="112" cy="325"/>
                            </a:xfrm>
                            <a:prstGeom prst="line">
                              <a:avLst/>
                            </a:prstGeom>
                            <a:ln w="3175">
                              <a:solidFill>
                                <a:schemeClr val="tx1">
                                  <a:lumMod val="65000"/>
                                  <a:lumOff val="35000"/>
                                </a:schemeClr>
                              </a:solidFill>
                            </a:ln>
                          </wps:spPr>
                          <wps:style>
                            <a:lnRef idx="2">
                              <a:schemeClr val="accent1"/>
                            </a:lnRef>
                            <a:fillRef idx="0">
                              <a:srgbClr val="FFFFFF"/>
                            </a:fillRef>
                            <a:effectRef idx="0">
                              <a:srgbClr val="FFFFFF"/>
                            </a:effectRef>
                            <a:fontRef idx="minor">
                              <a:schemeClr val="tx1"/>
                            </a:fontRef>
                          </wps:style>
                          <wps:bodyPr/>
                        </wps:wsp>
                      </wpg:grpSp>
                    </wpg:wgp>
                  </a:graphicData>
                </a:graphic>
              </wp:anchor>
            </w:drawing>
          </mc:Choice>
          <mc:Fallback>
            <w:pict>
              <v:group id="_x0000_s1026" o:spid="_x0000_s1026" o:spt="203" style="position:absolute;left:0pt;margin-left:124.65pt;margin-top:-63.95pt;height:120.7pt;width:165.7pt;z-index:251660288;mso-width-relative:page;mso-height-relative:page;" coordorigin="8745,56041" coordsize="3314,2414" o:gfxdata="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">
                <o:lock v:ext="edit" aspectratio="f"/>
                <v:shape id="_x0000_s1026" o:spid="_x0000_s1026" o:spt="202" type="#_x0000_t202" style="position:absolute;left:8935;top:56140;height:594;width:1101;"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465C2BE4">
                        <w:pPr>
                          <w:ind w:left="0" w:leftChars="0" w:firstLine="0" w:firstLineChars="0"/>
                          <w:rPr>
                            <w:rFonts w:hint="eastAsia" w:eastAsia="宋体"/>
                            <w:lang w:eastAsia="zh-CN"/>
                          </w:rPr>
                        </w:pPr>
                        <w:r>
                          <w:rPr>
                            <w:rFonts w:hint="eastAsia"/>
                            <w:lang w:eastAsia="zh-CN"/>
                          </w:rPr>
                          <w:t>配合部</w:t>
                        </w:r>
                      </w:p>
                    </w:txbxContent>
                  </v:textbox>
                </v:shape>
                <v:shape id="_x0000_s1026" o:spid="_x0000_s1026" o:spt="202" type="#_x0000_t202" style="position:absolute;left:10437;top:56041;height:554;width:1086;"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41827430">
                        <w:pPr>
                          <w:ind w:left="0" w:leftChars="0" w:firstLine="0" w:firstLineChars="0"/>
                          <w:rPr>
                            <w:rFonts w:hint="eastAsia" w:eastAsia="宋体"/>
                            <w:lang w:val="en-US" w:eastAsia="zh-CN"/>
                          </w:rPr>
                        </w:pPr>
                        <w:r>
                          <w:rPr>
                            <w:rFonts w:hint="eastAsia"/>
                            <w:lang w:val="en-US" w:eastAsia="zh-CN"/>
                          </w:rPr>
                          <w:t>支撑部</w:t>
                        </w:r>
                      </w:p>
                    </w:txbxContent>
                  </v:textbox>
                </v:shape>
                <v:group id="_x0000_s1026" o:spid="_x0000_s1026" o:spt="203" style="position:absolute;left:8745;top:56429;height:2027;width:3314;" coordorigin="8745,56429" coordsize="3314,2027"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o:lock v:ext="edit" aspectratio="f"/>
                  <v:shape id="_x0000_s1026" o:spid="_x0000_s1026" o:spt="75" alt="企业微信截图_1669285052115" type="#_x0000_t75" style="position:absolute;left:8745;top:56604;height:1852;width:3314;" filled="f" o:preferrelative="t" stroked="f" coordsize="21600,21600" o:gfxdata="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5ReMmugAAANoA&#10;AAAPAAAAAAAAAAEAIAAAACIAAABkcnMvZG93bnJldi54bWxQSwECFAAUAAAACACHTuJAMy8FnjsA&#10;AAA5AAAAEAAAAAAAAAABACAAAAAJAQAAZHJzL3NoYXBleG1sLnhtbFBLBQYAAAAABgAGAFsBAACz&#10;AwAAAAA=&#10;">
                    <v:fill on="f" focussize="0,0"/>
                    <v:stroke on="f"/>
                    <v:imagedata r:id="rId6" croptop="10110f" cropbottom="16172f" o:title=""/>
                    <o:lock v:ext="edit" aspectratio="t"/>
                  </v:shape>
                  <v:line id="_x0000_s1026" o:spid="_x0000_s1026" o:spt="20" style="position:absolute;left:10716;top:56429;flip:y;height:325;width:112;" filled="f" stroked="t" coordsize="21600,21600" o:gfxdata="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5EvG8AAAA&#10;2gAAAA8AAAAAAAAAAQAgAAAAIgAAAGRycy9kb3ducmV2LnhtbFBLAQIUABQAAAAIAIdO4kAzLwWe&#10;OwAAADkAAAAQAAAAAAAAAAEAIAAAAAsBAABkcnMvc2hhcGV4bWwueG1sUEsFBgAAAAAGAAYAWwEA&#10;ALUDAAAAAA==&#10;">
                    <v:fill on="f" focussize="0,0"/>
                    <v:stroke weight="0.25pt" color="#595959 [2109]" joinstyle="round"/>
                    <v:imagedata o:title=""/>
                    <o:lock v:ext="edit" aspectratio="f"/>
                  </v:line>
                </v:group>
              </v:group>
            </w:pict>
          </mc:Fallback>
        </mc:AlternateContent>
      </w:r>
      <w:r>
        <w:rPr>
          <w:rFonts w:hint="eastAsia"/>
          <w:lang w:val="en-US" w:eastAsia="zh-CN"/>
        </w:rPr>
        <w:t xml:space="preserve">        </w:t>
      </w:r>
    </w:p>
    <w:p w14:paraId="4E4F565D">
      <w:pPr>
        <w:ind w:firstLine="2240" w:firstLineChars="800"/>
        <w:jc w:val="both"/>
        <w:rPr>
          <w:rFonts w:hint="eastAsia" w:asciiTheme="majorEastAsia" w:hAnsiTheme="majorEastAsia" w:eastAsiaTheme="majorEastAsia" w:cstheme="majorEastAsia"/>
          <w:b w:val="0"/>
          <w:bCs w:val="0"/>
          <w:sz w:val="28"/>
          <w:szCs w:val="28"/>
          <w:lang w:val="en-US" w:eastAsia="zh-CN"/>
        </w:rPr>
      </w:pPr>
    </w:p>
    <w:p w14:paraId="16ED5EDC">
      <w:pPr>
        <w:ind w:firstLine="2240" w:firstLineChars="800"/>
        <w:jc w:val="both"/>
        <w:rPr>
          <w:rFonts w:hint="eastAsia" w:ascii="黑体" w:hAnsi="黑体" w:eastAsia="黑体" w:cs="黑体"/>
          <w:b w:val="0"/>
          <w:bCs w:val="0"/>
          <w:kern w:val="0"/>
          <w:sz w:val="28"/>
          <w:szCs w:val="28"/>
          <w:lang w:val="en-US" w:eastAsia="zh-CN"/>
        </w:rPr>
      </w:pPr>
      <w:r>
        <w:rPr>
          <w:rFonts w:hint="eastAsia" w:ascii="黑体" w:hAnsi="黑体" w:eastAsia="黑体" w:cs="黑体"/>
          <w:b w:val="0"/>
          <w:bCs w:val="0"/>
          <w:sz w:val="28"/>
          <w:szCs w:val="28"/>
          <w:lang w:val="en-US" w:eastAsia="zh-CN"/>
        </w:rPr>
        <w:t>图1 一次性使用内窥镜先端帽示意图</w:t>
      </w:r>
    </w:p>
    <w:p w14:paraId="34DC1FD8">
      <w:pPr>
        <w:snapToGrid w:val="0"/>
        <w:spacing w:line="520" w:lineRule="exact"/>
        <w:outlineLvl w:val="2"/>
        <w:rPr>
          <w:rFonts w:hint="eastAsia" w:eastAsia="仿宋_GB2312"/>
          <w:color w:val="000000"/>
          <w:sz w:val="32"/>
          <w:szCs w:val="32"/>
        </w:rPr>
      </w:pPr>
    </w:p>
    <w:p w14:paraId="7DC3783D">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1.3型号规格</w:t>
      </w:r>
    </w:p>
    <w:p w14:paraId="4D6955C9">
      <w:pPr>
        <w:spacing w:line="520" w:lineRule="exact"/>
        <w:ind w:firstLine="640" w:firstLineChars="200"/>
        <w:rPr>
          <w:rFonts w:hint="eastAsia" w:eastAsia="仿宋_GB2312"/>
          <w:color w:val="0000FF"/>
          <w:sz w:val="32"/>
          <w:szCs w:val="32"/>
          <w:lang w:eastAsia="zh-CN"/>
        </w:rPr>
      </w:pPr>
      <w:r>
        <w:rPr>
          <w:rFonts w:hint="eastAsia" w:eastAsia="仿宋_GB2312"/>
          <w:sz w:val="32"/>
          <w:szCs w:val="32"/>
          <w:lang w:eastAsia="zh-CN"/>
        </w:rPr>
        <w:t>对于存在多种型号规格的先端帽，可列表说明各型号规格的区别，对不同型号规格的结构组成、尺寸、性能指标等加以描述，也可采用示意图进行表述。</w:t>
      </w:r>
    </w:p>
    <w:p w14:paraId="20B8D82A">
      <w:pPr>
        <w:pStyle w:val="4"/>
        <w:ind w:left="630"/>
        <w:rPr>
          <w:rFonts w:hint="default" w:ascii="Times New Roman" w:hAnsi="Times New Roman" w:eastAsia="仿宋_GB2312"/>
          <w:szCs w:val="32"/>
        </w:rPr>
      </w:pPr>
      <w:r>
        <w:rPr>
          <w:rFonts w:hint="default" w:ascii="Times New Roman" w:hAnsi="Times New Roman" w:eastAsia="仿宋_GB2312"/>
          <w:szCs w:val="32"/>
        </w:rPr>
        <w:t>1.4包装说明</w:t>
      </w:r>
    </w:p>
    <w:p w14:paraId="4D13BA12">
      <w:pPr>
        <w:spacing w:line="52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提供产品的包装信息，可包括包装形式、包装材料、包装工艺、包装原材料供应商信息以及无菌屏障系统（如适用）等信息。</w:t>
      </w:r>
    </w:p>
    <w:p w14:paraId="4296EA97">
      <w:pPr>
        <w:spacing w:line="52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1.5研发历程</w:t>
      </w:r>
    </w:p>
    <w:p w14:paraId="10298BC9">
      <w:pPr>
        <w:spacing w:line="52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阐述申报产品的研发背景和目的。如有参考的同类产品或前代产品，应当提供同类产品或前代产品的信息，并说明选择其作为研发参考的原因。</w:t>
      </w:r>
    </w:p>
    <w:p w14:paraId="130CEF51">
      <w:pPr>
        <w:spacing w:line="52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1.6与同类和/或前代产品的参考和比较</w:t>
      </w:r>
    </w:p>
    <w:p w14:paraId="7225D00D">
      <w:pPr>
        <w:spacing w:line="52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列表比较说明申报产品与同类产品和/或前代产品（如有）在工作原理、结构组成、制造材料、性能指标</w:t>
      </w:r>
      <w:r>
        <w:rPr>
          <w:rFonts w:ascii="Times New Roman" w:hAnsi="Times New Roman" w:eastAsia="仿宋_GB2312"/>
          <w:bCs/>
          <w:color w:val="000000"/>
          <w:sz w:val="32"/>
          <w:szCs w:val="32"/>
        </w:rPr>
        <w:t>、作用方式</w:t>
      </w:r>
      <w:r>
        <w:rPr>
          <w:rFonts w:ascii="Times New Roman" w:hAnsi="Times New Roman" w:eastAsia="仿宋_GB2312"/>
          <w:color w:val="000000"/>
          <w:sz w:val="32"/>
          <w:szCs w:val="32"/>
        </w:rPr>
        <w:t>、适用范围等方面的异同。</w:t>
      </w:r>
    </w:p>
    <w:p w14:paraId="60B70237">
      <w:pPr>
        <w:tabs>
          <w:tab w:val="left" w:pos="675"/>
        </w:tabs>
        <w:spacing w:line="52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2.适用范围和禁忌证</w:t>
      </w:r>
    </w:p>
    <w:p w14:paraId="51DA80E0">
      <w:pPr>
        <w:tabs>
          <w:tab w:val="left" w:pos="675"/>
        </w:tabs>
        <w:spacing w:line="520" w:lineRule="exact"/>
        <w:ind w:firstLine="640" w:firstLineChars="200"/>
        <w:rPr>
          <w:rStyle w:val="28"/>
          <w:rFonts w:ascii="Times New Roman" w:hAnsi="Times New Roman" w:eastAsia="仿宋_GB2312"/>
          <w:color w:val="auto"/>
          <w:sz w:val="32"/>
          <w:szCs w:val="32"/>
        </w:rPr>
      </w:pPr>
      <w:r>
        <w:rPr>
          <w:rStyle w:val="28"/>
          <w:rFonts w:ascii="Times New Roman" w:hAnsi="Times New Roman" w:eastAsia="仿宋_GB2312"/>
          <w:color w:val="auto"/>
          <w:sz w:val="32"/>
          <w:szCs w:val="32"/>
        </w:rPr>
        <w:t>2.1适用范围</w:t>
      </w:r>
    </w:p>
    <w:p w14:paraId="2AE4E3DB">
      <w:pPr>
        <w:spacing w:line="520" w:lineRule="exact"/>
        <w:ind w:firstLine="640" w:firstLineChars="200"/>
        <w:outlineLvl w:val="3"/>
        <w:rPr>
          <w:rFonts w:ascii="Times New Roman" w:hAnsi="Times New Roman" w:eastAsia="仿宋_GB2312"/>
          <w:bCs/>
          <w:color w:val="000000"/>
          <w:sz w:val="32"/>
          <w:szCs w:val="32"/>
        </w:rPr>
      </w:pPr>
      <w:r>
        <w:rPr>
          <w:rFonts w:ascii="Times New Roman" w:hAnsi="Times New Roman" w:eastAsia="仿宋_GB2312"/>
          <w:bCs/>
          <w:color w:val="000000"/>
          <w:sz w:val="32"/>
          <w:szCs w:val="32"/>
        </w:rPr>
        <w:t>2.1.1应当描述申报产品的适用范围，明确预期用途</w:t>
      </w:r>
      <w:r>
        <w:rPr>
          <w:rFonts w:hint="eastAsia" w:ascii="Times New Roman" w:hAnsi="Times New Roman" w:eastAsia="仿宋_GB2312"/>
          <w:bCs/>
          <w:color w:val="000000"/>
          <w:sz w:val="32"/>
          <w:szCs w:val="32"/>
          <w:lang w:eastAsia="zh-CN"/>
        </w:rPr>
        <w:t>。先端帽配合内窥镜使用，用于安装在内窥镜先端部，以保持适当的内窥镜视野。</w:t>
      </w:r>
    </w:p>
    <w:p w14:paraId="057A3C66">
      <w:pPr>
        <w:pStyle w:val="29"/>
        <w:spacing w:line="520" w:lineRule="exact"/>
        <w:ind w:firstLine="645"/>
        <w:rPr>
          <w:rStyle w:val="28"/>
          <w:rFonts w:ascii="Times New Roman" w:hAnsi="Times New Roman" w:eastAsia="仿宋_GB2312"/>
          <w:color w:val="auto"/>
          <w:sz w:val="32"/>
          <w:szCs w:val="32"/>
        </w:rPr>
      </w:pPr>
      <w:r>
        <w:rPr>
          <w:rStyle w:val="28"/>
          <w:rFonts w:ascii="Times New Roman" w:hAnsi="Times New Roman" w:eastAsia="仿宋_GB2312"/>
          <w:color w:val="auto"/>
          <w:sz w:val="32"/>
          <w:szCs w:val="32"/>
        </w:rPr>
        <w:t>2.1.2</w:t>
      </w:r>
      <w:r>
        <w:rPr>
          <w:rFonts w:eastAsia="仿宋_GB2312"/>
          <w:snapToGrid w:val="0"/>
          <w:kern w:val="0"/>
          <w:sz w:val="32"/>
          <w:szCs w:val="32"/>
        </w:rPr>
        <w:t>明确目标用户及其操作或使用该产品应当具备的技能/知识/培训。明确产品为一次性使用。</w:t>
      </w:r>
    </w:p>
    <w:p w14:paraId="4A52B97C">
      <w:pPr>
        <w:pStyle w:val="29"/>
        <w:spacing w:line="520" w:lineRule="exact"/>
        <w:ind w:firstLine="645"/>
        <w:rPr>
          <w:rFonts w:eastAsia="仿宋_GB2312"/>
          <w:snapToGrid w:val="0"/>
          <w:kern w:val="0"/>
          <w:sz w:val="32"/>
          <w:szCs w:val="32"/>
        </w:rPr>
      </w:pPr>
      <w:r>
        <w:rPr>
          <w:rFonts w:eastAsia="仿宋_GB2312"/>
          <w:snapToGrid w:val="0"/>
          <w:kern w:val="0"/>
          <w:sz w:val="32"/>
          <w:szCs w:val="32"/>
        </w:rPr>
        <w:t>2.2预期使用环境</w:t>
      </w:r>
    </w:p>
    <w:p w14:paraId="64172D22">
      <w:pPr>
        <w:pStyle w:val="29"/>
        <w:overflowPunct w:val="0"/>
        <w:autoSpaceDE w:val="0"/>
        <w:autoSpaceDN w:val="0"/>
        <w:spacing w:line="520" w:lineRule="exact"/>
        <w:ind w:firstLine="640" w:firstLineChars="200"/>
        <w:rPr>
          <w:rFonts w:eastAsia="仿宋_GB2312"/>
          <w:snapToGrid w:val="0"/>
          <w:kern w:val="0"/>
          <w:sz w:val="32"/>
          <w:szCs w:val="32"/>
        </w:rPr>
      </w:pPr>
      <w:r>
        <w:rPr>
          <w:rFonts w:eastAsia="仿宋_GB2312"/>
          <w:snapToGrid w:val="0"/>
          <w:kern w:val="0"/>
          <w:sz w:val="32"/>
          <w:szCs w:val="32"/>
        </w:rPr>
        <w:t>应明确申报产品使用场所要求，</w:t>
      </w:r>
      <w:r>
        <w:rPr>
          <w:rFonts w:eastAsia="仿宋_GB2312"/>
          <w:sz w:val="32"/>
          <w:szCs w:val="32"/>
        </w:rPr>
        <w:t>如医疗机构</w:t>
      </w:r>
      <w:r>
        <w:rPr>
          <w:rFonts w:hint="eastAsia" w:eastAsia="仿宋_GB2312"/>
          <w:sz w:val="32"/>
          <w:szCs w:val="32"/>
        </w:rPr>
        <w:t>等</w:t>
      </w:r>
      <w:r>
        <w:rPr>
          <w:rFonts w:eastAsia="仿宋_GB2312"/>
          <w:sz w:val="32"/>
          <w:szCs w:val="32"/>
        </w:rPr>
        <w:t>。</w:t>
      </w:r>
    </w:p>
    <w:p w14:paraId="00C92083">
      <w:pPr>
        <w:pStyle w:val="29"/>
        <w:spacing w:line="520" w:lineRule="exact"/>
        <w:ind w:firstLine="645"/>
        <w:rPr>
          <w:rFonts w:eastAsia="仿宋_GB2312"/>
          <w:snapToGrid w:val="0"/>
          <w:kern w:val="0"/>
          <w:sz w:val="32"/>
          <w:szCs w:val="32"/>
        </w:rPr>
      </w:pPr>
      <w:r>
        <w:rPr>
          <w:rFonts w:eastAsia="仿宋_GB2312"/>
          <w:snapToGrid w:val="0"/>
          <w:kern w:val="0"/>
          <w:sz w:val="32"/>
          <w:szCs w:val="32"/>
        </w:rPr>
        <w:t>2.3适用人群</w:t>
      </w:r>
    </w:p>
    <w:p w14:paraId="6C91A6B3">
      <w:pPr>
        <w:pStyle w:val="30"/>
        <w:overflowPunct w:val="0"/>
        <w:autoSpaceDE w:val="0"/>
        <w:autoSpaceDN w:val="0"/>
        <w:adjustRightInd w:val="0"/>
        <w:spacing w:line="520" w:lineRule="exact"/>
        <w:ind w:firstLine="640" w:firstLineChars="200"/>
        <w:rPr>
          <w:rFonts w:ascii="Times New Roman" w:hAnsi="Times New Roman" w:eastAsia="仿宋_GB2312"/>
          <w:snapToGrid w:val="0"/>
          <w:kern w:val="0"/>
          <w:sz w:val="32"/>
          <w:szCs w:val="32"/>
        </w:rPr>
      </w:pPr>
      <w:r>
        <w:rPr>
          <w:rFonts w:ascii="Times New Roman" w:hAnsi="Times New Roman" w:eastAsia="仿宋_GB2312"/>
          <w:snapToGrid w:val="0"/>
          <w:kern w:val="0"/>
          <w:sz w:val="32"/>
          <w:szCs w:val="32"/>
        </w:rPr>
        <w:t>应详述申报产品的适用人群。</w:t>
      </w:r>
    </w:p>
    <w:p w14:paraId="5AA3DF71">
      <w:pPr>
        <w:overflowPunct w:val="0"/>
        <w:autoSpaceDE w:val="0"/>
        <w:autoSpaceDN w:val="0"/>
        <w:adjustRightInd w:val="0"/>
        <w:spacing w:line="520" w:lineRule="exact"/>
        <w:ind w:firstLine="640" w:firstLineChars="200"/>
        <w:rPr>
          <w:rFonts w:ascii="Times New Roman" w:hAnsi="Times New Roman" w:eastAsia="仿宋_GB2312"/>
          <w:snapToGrid w:val="0"/>
          <w:kern w:val="0"/>
          <w:sz w:val="32"/>
          <w:szCs w:val="32"/>
        </w:rPr>
      </w:pPr>
      <w:r>
        <w:rPr>
          <w:rFonts w:ascii="Times New Roman" w:hAnsi="Times New Roman" w:eastAsia="仿宋_GB2312"/>
          <w:snapToGrid w:val="0"/>
          <w:kern w:val="0"/>
          <w:sz w:val="32"/>
          <w:szCs w:val="32"/>
        </w:rPr>
        <w:t>2.4禁忌证</w:t>
      </w:r>
    </w:p>
    <w:p w14:paraId="11644702">
      <w:pPr>
        <w:spacing w:line="520" w:lineRule="exact"/>
        <w:ind w:firstLine="640" w:firstLineChars="200"/>
        <w:rPr>
          <w:rFonts w:ascii="Times New Roman" w:hAnsi="Times New Roman" w:eastAsia="仿宋_GB2312"/>
          <w:snapToGrid w:val="0"/>
          <w:kern w:val="0"/>
          <w:sz w:val="32"/>
          <w:szCs w:val="32"/>
        </w:rPr>
      </w:pPr>
      <w:r>
        <w:rPr>
          <w:rFonts w:ascii="Times New Roman" w:hAnsi="Times New Roman" w:eastAsia="仿宋_GB2312"/>
          <w:snapToGrid w:val="0"/>
          <w:kern w:val="0"/>
          <w:sz w:val="32"/>
          <w:szCs w:val="32"/>
        </w:rPr>
        <w:t>应说明产品临床应用的禁忌证，如：对原材料过敏者禁用。</w:t>
      </w:r>
    </w:p>
    <w:p w14:paraId="5F18C473">
      <w:pPr>
        <w:spacing w:line="52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3.申报产品上市历史</w:t>
      </w:r>
    </w:p>
    <w:p w14:paraId="61A6B64B">
      <w:pPr>
        <w:spacing w:line="520" w:lineRule="exact"/>
        <w:ind w:firstLine="640" w:firstLineChars="200"/>
        <w:rPr>
          <w:rFonts w:ascii="Times New Roman" w:hAnsi="Times New Roman" w:eastAsia="仿宋_GB2312"/>
          <w:bCs/>
          <w:sz w:val="32"/>
          <w:szCs w:val="32"/>
        </w:rPr>
      </w:pPr>
      <w:r>
        <w:rPr>
          <w:rFonts w:ascii="Times New Roman" w:hAnsi="Times New Roman" w:eastAsia="仿宋_GB2312"/>
          <w:bCs/>
          <w:sz w:val="32"/>
          <w:szCs w:val="32"/>
          <w:lang w:val="en-CA"/>
        </w:rPr>
        <w:t>如适用，应当提交申报产品的上市情况、不良事件和召回、销售不良事件及召回率</w:t>
      </w:r>
      <w:r>
        <w:rPr>
          <w:rFonts w:ascii="Times New Roman" w:hAnsi="Times New Roman" w:eastAsia="仿宋_GB2312"/>
          <w:bCs/>
          <w:sz w:val="32"/>
          <w:szCs w:val="32"/>
        </w:rPr>
        <w:t>。</w:t>
      </w:r>
    </w:p>
    <w:p w14:paraId="22BB49AB">
      <w:pPr>
        <w:snapToGrid w:val="0"/>
        <w:spacing w:line="520" w:lineRule="exact"/>
        <w:ind w:firstLine="640" w:firstLineChars="200"/>
        <w:outlineLvl w:val="1"/>
        <w:rPr>
          <w:rFonts w:ascii="楷体" w:hAnsi="楷体" w:eastAsia="楷体"/>
          <w:color w:val="000000"/>
          <w:sz w:val="32"/>
          <w:szCs w:val="32"/>
        </w:rPr>
      </w:pPr>
      <w:r>
        <w:rPr>
          <w:rFonts w:ascii="楷体" w:hAnsi="楷体" w:eastAsia="楷体"/>
          <w:color w:val="000000"/>
          <w:sz w:val="32"/>
          <w:szCs w:val="32"/>
        </w:rPr>
        <w:t>（</w:t>
      </w:r>
      <w:r>
        <w:rPr>
          <w:rFonts w:hint="eastAsia" w:ascii="楷体" w:hAnsi="楷体" w:eastAsia="楷体"/>
          <w:color w:val="000000"/>
          <w:sz w:val="32"/>
          <w:szCs w:val="32"/>
          <w:lang w:eastAsia="zh-CN"/>
        </w:rPr>
        <w:t>三</w:t>
      </w:r>
      <w:r>
        <w:rPr>
          <w:rFonts w:ascii="楷体" w:hAnsi="楷体" w:eastAsia="楷体"/>
          <w:color w:val="000000"/>
          <w:sz w:val="32"/>
          <w:szCs w:val="32"/>
        </w:rPr>
        <w:t>）</w:t>
      </w:r>
      <w:r>
        <w:rPr>
          <w:rFonts w:hint="eastAsia" w:ascii="楷体" w:hAnsi="楷体" w:eastAsia="楷体"/>
          <w:color w:val="000000"/>
          <w:sz w:val="32"/>
          <w:szCs w:val="32"/>
        </w:rPr>
        <w:t>非临床资料</w:t>
      </w:r>
    </w:p>
    <w:p w14:paraId="35F62252">
      <w:pPr>
        <w:snapToGrid w:val="0"/>
        <w:spacing w:line="520" w:lineRule="exact"/>
        <w:ind w:firstLine="640" w:firstLineChars="200"/>
        <w:outlineLvl w:val="2"/>
        <w:rPr>
          <w:rFonts w:eastAsia="仿宋_GB2312"/>
          <w:color w:val="000000"/>
          <w:sz w:val="32"/>
          <w:szCs w:val="32"/>
        </w:rPr>
      </w:pPr>
      <w:r>
        <w:rPr>
          <w:rFonts w:eastAsia="仿宋_GB2312"/>
          <w:color w:val="000000"/>
          <w:sz w:val="32"/>
          <w:szCs w:val="32"/>
        </w:rPr>
        <w:t>1.产品风险管理资料</w:t>
      </w:r>
    </w:p>
    <w:p w14:paraId="6B6AF2A9">
      <w:pPr>
        <w:tabs>
          <w:tab w:val="left" w:pos="7140"/>
        </w:tabs>
        <w:spacing w:line="520" w:lineRule="exact"/>
        <w:ind w:firstLine="640" w:firstLineChars="200"/>
        <w:rPr>
          <w:rFonts w:hint="eastAsia" w:eastAsia="仿宋_GB2312"/>
          <w:sz w:val="32"/>
          <w:szCs w:val="32"/>
          <w:lang w:eastAsia="zh-CN"/>
        </w:rPr>
      </w:pPr>
      <w:r>
        <w:rPr>
          <w:rFonts w:hint="eastAsia" w:eastAsia="仿宋_GB2312"/>
          <w:sz w:val="32"/>
          <w:szCs w:val="32"/>
        </w:rPr>
        <w:t>1.1在对风险的判定及分析中，要考虑合理的可预见的情况，它们包括：正常使用条件下；非正常使用条件下</w:t>
      </w:r>
      <w:r>
        <w:rPr>
          <w:rFonts w:hint="eastAsia" w:eastAsia="仿宋_GB2312"/>
          <w:sz w:val="32"/>
          <w:szCs w:val="32"/>
          <w:lang w:eastAsia="zh-CN"/>
        </w:rPr>
        <w:t>。</w:t>
      </w:r>
    </w:p>
    <w:p w14:paraId="39869C9B">
      <w:pPr>
        <w:tabs>
          <w:tab w:val="left" w:pos="7140"/>
        </w:tabs>
        <w:spacing w:line="520" w:lineRule="exact"/>
        <w:ind w:firstLine="640" w:firstLineChars="200"/>
        <w:rPr>
          <w:rFonts w:hint="eastAsia" w:eastAsia="仿宋_GB2312"/>
          <w:sz w:val="32"/>
          <w:szCs w:val="32"/>
          <w:lang w:eastAsia="zh-CN"/>
        </w:rPr>
      </w:pPr>
      <w:r>
        <w:rPr>
          <w:rFonts w:hint="eastAsia" w:eastAsia="仿宋_GB2312"/>
          <w:sz w:val="32"/>
          <w:szCs w:val="32"/>
        </w:rPr>
        <w:t>1.2风险判定及分析应包括：对于患者的危害；对于操作者的危害；对于环境的危害</w:t>
      </w:r>
      <w:r>
        <w:rPr>
          <w:rFonts w:hint="eastAsia" w:eastAsia="仿宋_GB2312"/>
          <w:sz w:val="32"/>
          <w:szCs w:val="32"/>
          <w:lang w:eastAsia="zh-CN"/>
        </w:rPr>
        <w:t>。</w:t>
      </w:r>
    </w:p>
    <w:p w14:paraId="7D6E1286">
      <w:pPr>
        <w:tabs>
          <w:tab w:val="left" w:pos="7140"/>
        </w:tabs>
        <w:spacing w:line="520" w:lineRule="exact"/>
        <w:ind w:firstLine="640" w:firstLineChars="200"/>
        <w:rPr>
          <w:rFonts w:hint="eastAsia" w:eastAsia="仿宋_GB2312"/>
          <w:sz w:val="32"/>
          <w:szCs w:val="32"/>
          <w:lang w:eastAsia="zh-CN"/>
        </w:rPr>
      </w:pPr>
      <w:r>
        <w:rPr>
          <w:rFonts w:hint="eastAsia" w:eastAsia="仿宋_GB2312"/>
          <w:sz w:val="32"/>
          <w:szCs w:val="32"/>
        </w:rPr>
        <w:t>1.3风险形成的初始原因应包括：人为因素包括不合理的操作；产品结构、原材料、综合危害；环境条件</w:t>
      </w:r>
      <w:r>
        <w:rPr>
          <w:rFonts w:hint="eastAsia" w:eastAsia="仿宋_GB2312"/>
          <w:sz w:val="32"/>
          <w:szCs w:val="32"/>
          <w:lang w:eastAsia="zh-CN"/>
        </w:rPr>
        <w:t>。</w:t>
      </w:r>
    </w:p>
    <w:p w14:paraId="6CF8821B">
      <w:pPr>
        <w:tabs>
          <w:tab w:val="left" w:pos="7140"/>
        </w:tabs>
        <w:spacing w:line="520" w:lineRule="exact"/>
        <w:ind w:firstLine="640" w:firstLineChars="200"/>
        <w:rPr>
          <w:rFonts w:eastAsia="仿宋_GB2312"/>
          <w:sz w:val="32"/>
          <w:szCs w:val="32"/>
        </w:rPr>
      </w:pPr>
      <w:r>
        <w:rPr>
          <w:rFonts w:hint="eastAsia" w:eastAsia="仿宋_GB2312"/>
          <w:sz w:val="32"/>
          <w:szCs w:val="32"/>
        </w:rPr>
        <w:t>1.4风险判定及分析考虑的问题包括：产品原材料生物学危害；操作信息，包括警示性语言、注意事项以及使用方法的准确性；使用可能存在的危害等。</w:t>
      </w:r>
    </w:p>
    <w:p w14:paraId="7238D35A">
      <w:pPr>
        <w:tabs>
          <w:tab w:val="left" w:pos="7140"/>
        </w:tabs>
        <w:spacing w:line="520" w:lineRule="exact"/>
        <w:ind w:firstLine="640" w:firstLineChars="200"/>
        <w:rPr>
          <w:rFonts w:eastAsia="仿宋_GB2312"/>
          <w:sz w:val="32"/>
          <w:szCs w:val="32"/>
        </w:rPr>
      </w:pPr>
      <w:r>
        <w:rPr>
          <w:rFonts w:hint="eastAsia" w:eastAsia="仿宋_GB2312"/>
          <w:sz w:val="32"/>
          <w:szCs w:val="32"/>
        </w:rPr>
        <w:t>1.5风险分析清单</w:t>
      </w:r>
    </w:p>
    <w:p w14:paraId="25B6201B">
      <w:pPr>
        <w:tabs>
          <w:tab w:val="left" w:pos="7140"/>
        </w:tabs>
        <w:spacing w:line="520" w:lineRule="exact"/>
        <w:ind w:firstLine="640" w:firstLineChars="200"/>
        <w:rPr>
          <w:rFonts w:eastAsia="仿宋_GB2312"/>
          <w:sz w:val="32"/>
          <w:szCs w:val="32"/>
        </w:rPr>
      </w:pPr>
      <w:r>
        <w:rPr>
          <w:rFonts w:hint="eastAsia" w:eastAsia="仿宋_GB2312"/>
          <w:sz w:val="32"/>
          <w:szCs w:val="32"/>
        </w:rPr>
        <w:t>产品的风险管理报告应符合</w:t>
      </w:r>
      <w:r>
        <w:rPr>
          <w:rFonts w:eastAsia="仿宋_GB2312"/>
          <w:sz w:val="32"/>
          <w:szCs w:val="32"/>
        </w:rPr>
        <w:t>GB/T 42062</w:t>
      </w:r>
      <w:r>
        <w:rPr>
          <w:rFonts w:hint="eastAsia" w:eastAsia="仿宋_GB2312"/>
          <w:sz w:val="32"/>
          <w:szCs w:val="32"/>
        </w:rPr>
        <w:t>的有关要求，审查要点包括：</w:t>
      </w:r>
    </w:p>
    <w:p w14:paraId="68D7E5A5">
      <w:pPr>
        <w:tabs>
          <w:tab w:val="left" w:pos="7140"/>
        </w:tabs>
        <w:spacing w:line="520" w:lineRule="exact"/>
        <w:ind w:firstLine="640" w:firstLineChars="200"/>
        <w:rPr>
          <w:rFonts w:eastAsia="仿宋_GB2312"/>
          <w:sz w:val="32"/>
          <w:szCs w:val="32"/>
        </w:rPr>
      </w:pPr>
      <w:r>
        <w:rPr>
          <w:rFonts w:hint="eastAsia" w:eastAsia="仿宋_GB2312"/>
          <w:sz w:val="32"/>
          <w:szCs w:val="32"/>
        </w:rPr>
        <w:t xml:space="preserve">1.5.1产品安全性特征判定是否准确（依据YY/T </w:t>
      </w:r>
      <w:r>
        <w:rPr>
          <w:rFonts w:eastAsia="仿宋_GB2312"/>
          <w:sz w:val="32"/>
          <w:szCs w:val="32"/>
        </w:rPr>
        <w:t>1437</w:t>
      </w:r>
      <w:r>
        <w:rPr>
          <w:rFonts w:hint="eastAsia" w:eastAsia="仿宋_GB2312"/>
          <w:sz w:val="32"/>
          <w:szCs w:val="32"/>
        </w:rPr>
        <w:t>）；</w:t>
      </w:r>
    </w:p>
    <w:p w14:paraId="6E69076D">
      <w:pPr>
        <w:tabs>
          <w:tab w:val="left" w:pos="7140"/>
        </w:tabs>
        <w:spacing w:line="520" w:lineRule="exact"/>
        <w:ind w:firstLine="640" w:firstLineChars="200"/>
        <w:rPr>
          <w:rFonts w:eastAsia="仿宋_GB2312"/>
          <w:sz w:val="32"/>
          <w:szCs w:val="32"/>
        </w:rPr>
      </w:pPr>
      <w:r>
        <w:rPr>
          <w:rFonts w:hint="eastAsia" w:eastAsia="仿宋_GB2312"/>
          <w:sz w:val="32"/>
          <w:szCs w:val="32"/>
        </w:rPr>
        <w:t>1.5.2危害分析是否全面（依据</w:t>
      </w:r>
      <w:r>
        <w:rPr>
          <w:rFonts w:eastAsia="仿宋_GB2312"/>
          <w:sz w:val="32"/>
          <w:szCs w:val="32"/>
        </w:rPr>
        <w:t>GB/T 42062</w:t>
      </w:r>
      <w:r>
        <w:rPr>
          <w:rFonts w:hint="eastAsia" w:eastAsia="仿宋_GB2312"/>
          <w:sz w:val="32"/>
          <w:szCs w:val="32"/>
        </w:rPr>
        <w:t>附录C）；</w:t>
      </w:r>
    </w:p>
    <w:p w14:paraId="583C5C7A">
      <w:pPr>
        <w:tabs>
          <w:tab w:val="left" w:pos="7140"/>
        </w:tabs>
        <w:spacing w:line="520" w:lineRule="exact"/>
        <w:ind w:firstLine="640" w:firstLineChars="200"/>
        <w:rPr>
          <w:rFonts w:eastAsia="仿宋_GB2312"/>
          <w:sz w:val="32"/>
          <w:szCs w:val="32"/>
        </w:rPr>
      </w:pPr>
      <w:r>
        <w:rPr>
          <w:rFonts w:hint="eastAsia" w:eastAsia="仿宋_GB2312"/>
          <w:sz w:val="32"/>
          <w:szCs w:val="32"/>
        </w:rPr>
        <w:t>1.5.3风险可接收准则，降低风险的措施及采取措施后风险的可接收程度，是否有新的风险产生。</w:t>
      </w:r>
    </w:p>
    <w:p w14:paraId="388B66A3">
      <w:pPr>
        <w:tabs>
          <w:tab w:val="left" w:pos="7140"/>
        </w:tabs>
        <w:spacing w:line="520" w:lineRule="exact"/>
        <w:ind w:firstLine="640" w:firstLineChars="200"/>
        <w:rPr>
          <w:rFonts w:eastAsia="仿宋_GB2312"/>
          <w:sz w:val="32"/>
          <w:szCs w:val="32"/>
        </w:rPr>
      </w:pPr>
      <w:r>
        <w:rPr>
          <w:rFonts w:hint="eastAsia" w:eastAsia="仿宋_GB2312"/>
          <w:sz w:val="32"/>
          <w:szCs w:val="32"/>
        </w:rPr>
        <w:t>根据</w:t>
      </w:r>
      <w:r>
        <w:rPr>
          <w:rFonts w:eastAsia="仿宋_GB2312"/>
          <w:sz w:val="32"/>
          <w:szCs w:val="32"/>
        </w:rPr>
        <w:t>GB/T 42062</w:t>
      </w:r>
      <w:r>
        <w:rPr>
          <w:rFonts w:hint="eastAsia" w:eastAsia="仿宋_GB2312"/>
          <w:sz w:val="32"/>
          <w:szCs w:val="32"/>
        </w:rPr>
        <w:t>对“</w:t>
      </w:r>
      <w:r>
        <w:rPr>
          <w:rFonts w:hint="eastAsia" w:eastAsia="仿宋_GB2312"/>
          <w:sz w:val="32"/>
          <w:szCs w:val="32"/>
          <w:lang w:eastAsia="zh-CN"/>
        </w:rPr>
        <w:t>先端帽</w:t>
      </w:r>
      <w:r>
        <w:rPr>
          <w:rFonts w:hint="eastAsia" w:eastAsia="仿宋_GB2312"/>
          <w:sz w:val="32"/>
          <w:szCs w:val="32"/>
        </w:rPr>
        <w:t>”已知或可预见的风险进行判定，</w:t>
      </w:r>
      <w:r>
        <w:rPr>
          <w:rFonts w:hint="eastAsia" w:eastAsia="仿宋_GB2312"/>
          <w:color w:val="auto"/>
          <w:sz w:val="32"/>
          <w:szCs w:val="32"/>
        </w:rPr>
        <w:t>产品在进行风险分析时至少应包括以下的主要危害（见附件），</w:t>
      </w:r>
      <w:r>
        <w:rPr>
          <w:rFonts w:hint="eastAsia" w:eastAsia="仿宋_GB2312"/>
          <w:sz w:val="32"/>
          <w:szCs w:val="32"/>
        </w:rPr>
        <w:t>企业还应根据自身产品特点确定其他危害。针对产品的各项风险，企业应采取应对措施，确保风险降到可接受的程度。</w:t>
      </w:r>
    </w:p>
    <w:p w14:paraId="1D5EC12C">
      <w:pPr>
        <w:snapToGrid w:val="0"/>
        <w:spacing w:line="520" w:lineRule="exact"/>
        <w:ind w:firstLine="640" w:firstLineChars="200"/>
        <w:outlineLvl w:val="2"/>
        <w:rPr>
          <w:rFonts w:eastAsia="仿宋_GB2312"/>
          <w:color w:val="000000"/>
          <w:sz w:val="32"/>
          <w:szCs w:val="32"/>
        </w:rPr>
      </w:pPr>
      <w:r>
        <w:rPr>
          <w:rFonts w:hint="eastAsia" w:eastAsia="仿宋_GB2312"/>
          <w:color w:val="000000"/>
          <w:sz w:val="32"/>
          <w:szCs w:val="32"/>
        </w:rPr>
        <w:t>2.产品技术要求</w:t>
      </w:r>
    </w:p>
    <w:p w14:paraId="2A385677">
      <w:pPr>
        <w:spacing w:line="520" w:lineRule="exact"/>
        <w:ind w:firstLine="640" w:firstLineChars="200"/>
        <w:rPr>
          <w:rFonts w:eastAsia="仿宋_GB2312"/>
          <w:color w:val="000000"/>
          <w:sz w:val="32"/>
          <w:szCs w:val="32"/>
        </w:rPr>
      </w:pPr>
      <w:r>
        <w:rPr>
          <w:rFonts w:hint="eastAsia" w:ascii="Times New Roman" w:hAnsi="Times New Roman" w:eastAsia="仿宋_GB2312"/>
          <w:sz w:val="32"/>
          <w:szCs w:val="32"/>
        </w:rPr>
        <w:t>注册申请人应按照《医疗器械产品技术要求编写指导原则》并结合产品的技术特征和临床使用情况来编制技术要求。</w:t>
      </w:r>
    </w:p>
    <w:p w14:paraId="337A6E7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sz w:val="32"/>
          <w:szCs w:val="32"/>
        </w:rPr>
      </w:pPr>
      <w:r>
        <w:rPr>
          <w:rFonts w:hint="eastAsia" w:eastAsia="仿宋_GB2312"/>
          <w:sz w:val="32"/>
          <w:szCs w:val="32"/>
          <w:lang w:val="en-US" w:eastAsia="zh-CN"/>
        </w:rPr>
        <w:t>2.1</w:t>
      </w:r>
      <w:r>
        <w:rPr>
          <w:rFonts w:hint="eastAsia" w:ascii="Times New Roman" w:hAnsi="Times New Roman" w:eastAsia="仿宋_GB2312"/>
          <w:sz w:val="32"/>
          <w:szCs w:val="32"/>
        </w:rPr>
        <w:t>产品型号/规格及其划分说明</w:t>
      </w:r>
    </w:p>
    <w:p w14:paraId="6B842CCD">
      <w:pPr>
        <w:numPr>
          <w:ilvl w:val="0"/>
          <w:numId w:val="0"/>
        </w:numPr>
        <w:spacing w:line="520" w:lineRule="exact"/>
        <w:ind w:firstLine="640" w:firstLineChars="200"/>
        <w:rPr>
          <w:rFonts w:eastAsia="仿宋_GB2312"/>
          <w:sz w:val="32"/>
          <w:szCs w:val="32"/>
        </w:rPr>
      </w:pPr>
      <w:r>
        <w:rPr>
          <w:rFonts w:hint="eastAsia" w:eastAsia="仿宋_GB2312"/>
          <w:sz w:val="32"/>
          <w:szCs w:val="32"/>
        </w:rPr>
        <w:t>明确产品型号/规格，阐明各型号/规格间的区别及划分说明，型号/规格的表述应与全部注册申报资料保持一致，并建议提供结构示意图。</w:t>
      </w:r>
    </w:p>
    <w:p w14:paraId="15339A7E">
      <w:pPr>
        <w:spacing w:line="520" w:lineRule="exact"/>
        <w:ind w:firstLine="640" w:firstLineChars="200"/>
        <w:rPr>
          <w:rFonts w:eastAsia="仿宋_GB2312"/>
          <w:color w:val="000000"/>
          <w:sz w:val="32"/>
          <w:szCs w:val="32"/>
        </w:rPr>
      </w:pPr>
      <w:r>
        <w:rPr>
          <w:rFonts w:hint="eastAsia" w:eastAsia="仿宋_GB2312"/>
          <w:sz w:val="32"/>
          <w:szCs w:val="32"/>
          <w:lang w:val="en-US" w:eastAsia="zh-CN"/>
        </w:rPr>
        <w:t>2.2</w:t>
      </w:r>
      <w:r>
        <w:rPr>
          <w:rFonts w:hint="eastAsia" w:eastAsia="仿宋_GB2312"/>
          <w:sz w:val="32"/>
          <w:szCs w:val="32"/>
        </w:rPr>
        <w:t>性能指标</w:t>
      </w:r>
    </w:p>
    <w:p w14:paraId="13F759A9">
      <w:pPr>
        <w:keepNext w:val="0"/>
        <w:keepLines w:val="0"/>
        <w:pageBreakBefore w:val="0"/>
        <w:kinsoku/>
        <w:wordWrap/>
        <w:overflowPunct/>
        <w:topLinePunct w:val="0"/>
        <w:autoSpaceDE/>
        <w:autoSpaceDN/>
        <w:bidi w:val="0"/>
        <w:spacing w:line="520" w:lineRule="exact"/>
        <w:ind w:firstLine="640" w:firstLineChars="200"/>
        <w:jc w:val="both"/>
        <w:textAlignment w:val="auto"/>
        <w:rPr>
          <w:rFonts w:eastAsia="仿宋_GB2312"/>
          <w:color w:val="000000"/>
          <w:sz w:val="32"/>
          <w:szCs w:val="32"/>
        </w:rPr>
      </w:pPr>
      <w:r>
        <w:rPr>
          <w:rFonts w:hint="eastAsia" w:eastAsia="仿宋_GB2312"/>
          <w:color w:val="000000"/>
          <w:sz w:val="32"/>
          <w:szCs w:val="32"/>
        </w:rPr>
        <w:t>产品性能指标通常包括但不限于以下项目：</w:t>
      </w:r>
    </w:p>
    <w:p w14:paraId="3296DAC5">
      <w:pPr>
        <w:keepNext w:val="0"/>
        <w:keepLines w:val="0"/>
        <w:pageBreakBefore w:val="0"/>
        <w:kinsoku/>
        <w:wordWrap/>
        <w:overflowPunct/>
        <w:topLinePunct w:val="0"/>
        <w:autoSpaceDE/>
        <w:autoSpaceDN/>
        <w:bidi w:val="0"/>
        <w:spacing w:line="520" w:lineRule="exact"/>
        <w:ind w:firstLine="640" w:firstLineChars="200"/>
        <w:jc w:val="both"/>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外观；</w:t>
      </w:r>
    </w:p>
    <w:p w14:paraId="05224AF8">
      <w:pPr>
        <w:keepNext w:val="0"/>
        <w:keepLines w:val="0"/>
        <w:pageBreakBefore w:val="0"/>
        <w:kinsoku/>
        <w:wordWrap/>
        <w:overflowPunct/>
        <w:topLinePunct w:val="0"/>
        <w:autoSpaceDE/>
        <w:autoSpaceDN/>
        <w:bidi w:val="0"/>
        <w:spacing w:line="520" w:lineRule="exact"/>
        <w:ind w:firstLine="640" w:firstLineChars="200"/>
        <w:jc w:val="both"/>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尺寸：内窥镜连接端内径、最大插入直径、总长度等；</w:t>
      </w:r>
    </w:p>
    <w:p w14:paraId="2F0AE9B4">
      <w:pPr>
        <w:keepNext w:val="0"/>
        <w:keepLines w:val="0"/>
        <w:pageBreakBefore w:val="0"/>
        <w:kinsoku/>
        <w:wordWrap/>
        <w:overflowPunct/>
        <w:topLinePunct w:val="0"/>
        <w:autoSpaceDE/>
        <w:autoSpaceDN/>
        <w:bidi w:val="0"/>
        <w:spacing w:line="520" w:lineRule="exact"/>
        <w:ind w:firstLine="640" w:firstLineChars="200"/>
        <w:jc w:val="both"/>
        <w:textAlignment w:val="auto"/>
        <w:rPr>
          <w:rFonts w:hint="eastAsia" w:eastAsia="仿宋_GB2312"/>
          <w:color w:val="000000"/>
          <w:sz w:val="32"/>
          <w:szCs w:val="32"/>
          <w:lang w:val="en-US" w:eastAsia="zh-CN"/>
        </w:rPr>
      </w:pPr>
      <w:r>
        <w:rPr>
          <w:rFonts w:hint="default" w:eastAsia="仿宋_GB2312"/>
          <w:color w:val="000000"/>
          <w:sz w:val="32"/>
          <w:szCs w:val="32"/>
          <w:lang w:eastAsia="zh-CN"/>
        </w:rPr>
        <w:t>拉伸</w:t>
      </w:r>
      <w:r>
        <w:rPr>
          <w:rFonts w:hint="eastAsia" w:eastAsia="仿宋_GB2312"/>
          <w:color w:val="000000"/>
          <w:sz w:val="32"/>
          <w:szCs w:val="32"/>
          <w:lang w:val="en-US" w:eastAsia="zh-CN"/>
        </w:rPr>
        <w:t>强度；</w:t>
      </w:r>
    </w:p>
    <w:p w14:paraId="62871276">
      <w:pPr>
        <w:keepNext w:val="0"/>
        <w:keepLines w:val="0"/>
        <w:pageBreakBefore w:val="0"/>
        <w:kinsoku/>
        <w:wordWrap/>
        <w:overflowPunct/>
        <w:topLinePunct w:val="0"/>
        <w:autoSpaceDE/>
        <w:autoSpaceDN/>
        <w:bidi w:val="0"/>
        <w:spacing w:line="520" w:lineRule="exact"/>
        <w:ind w:firstLine="640" w:firstLineChars="200"/>
        <w:jc w:val="both"/>
        <w:textAlignment w:val="auto"/>
        <w:rPr>
          <w:rFonts w:hint="default" w:eastAsia="仿宋_GB2312"/>
          <w:color w:val="000000"/>
          <w:sz w:val="32"/>
          <w:szCs w:val="32"/>
          <w:lang w:eastAsia="zh-CN"/>
        </w:rPr>
      </w:pPr>
      <w:r>
        <w:rPr>
          <w:rFonts w:hint="default" w:eastAsia="仿宋_GB2312"/>
          <w:color w:val="000000"/>
          <w:sz w:val="32"/>
          <w:szCs w:val="32"/>
          <w:lang w:eastAsia="zh-CN"/>
        </w:rPr>
        <w:t>连接强度；</w:t>
      </w:r>
    </w:p>
    <w:p w14:paraId="0B64868E">
      <w:pPr>
        <w:keepNext w:val="0"/>
        <w:keepLines w:val="0"/>
        <w:pageBreakBefore w:val="0"/>
        <w:kinsoku/>
        <w:wordWrap/>
        <w:overflowPunct/>
        <w:topLinePunct w:val="0"/>
        <w:autoSpaceDE/>
        <w:autoSpaceDN/>
        <w:bidi w:val="0"/>
        <w:spacing w:line="520" w:lineRule="exact"/>
        <w:ind w:firstLine="640" w:firstLineChars="200"/>
        <w:jc w:val="both"/>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弹性形变（如适用）；</w:t>
      </w:r>
    </w:p>
    <w:p w14:paraId="0CA6D9B2">
      <w:pPr>
        <w:pStyle w:val="2"/>
        <w:keepNext w:val="0"/>
        <w:keepLines w:val="0"/>
        <w:pageBreakBefore w:val="0"/>
        <w:kinsoku/>
        <w:wordWrap/>
        <w:overflowPunct/>
        <w:topLinePunct w:val="0"/>
        <w:autoSpaceDE/>
        <w:autoSpaceDN/>
        <w:bidi w:val="0"/>
        <w:spacing w:line="520" w:lineRule="exact"/>
        <w:ind w:firstLine="640" w:firstLineChars="200"/>
        <w:jc w:val="both"/>
        <w:textAlignment w:val="auto"/>
        <w:rPr>
          <w:rFonts w:hint="eastAsia" w:eastAsia="仿宋_GB2312"/>
          <w:lang w:val="en-US" w:eastAsia="zh-CN"/>
        </w:rPr>
      </w:pPr>
      <w:r>
        <w:rPr>
          <w:rFonts w:hint="eastAsia" w:eastAsia="仿宋_GB2312"/>
          <w:color w:val="000000"/>
          <w:sz w:val="32"/>
          <w:szCs w:val="32"/>
          <w:lang w:val="en-US" w:eastAsia="zh-CN"/>
        </w:rPr>
        <w:t>排水性（如适用）；</w:t>
      </w:r>
    </w:p>
    <w:p w14:paraId="7BBAAF97">
      <w:pPr>
        <w:keepNext w:val="0"/>
        <w:keepLines w:val="0"/>
        <w:pageBreakBefore w:val="0"/>
        <w:kinsoku/>
        <w:wordWrap/>
        <w:overflowPunct/>
        <w:topLinePunct w:val="0"/>
        <w:autoSpaceDE/>
        <w:autoSpaceDN/>
        <w:bidi w:val="0"/>
        <w:spacing w:line="520" w:lineRule="exact"/>
        <w:ind w:firstLine="640" w:firstLineChars="200"/>
        <w:jc w:val="both"/>
        <w:textAlignment w:val="auto"/>
        <w:rPr>
          <w:rFonts w:hint="eastAsia" w:eastAsia="仿宋_GB2312"/>
          <w:color w:val="000000"/>
          <w:sz w:val="32"/>
          <w:szCs w:val="32"/>
          <w:lang w:eastAsia="zh-CN"/>
        </w:rPr>
      </w:pPr>
      <w:r>
        <w:rPr>
          <w:rFonts w:hint="eastAsia" w:eastAsia="仿宋_GB2312"/>
          <w:color w:val="000000"/>
          <w:sz w:val="32"/>
          <w:szCs w:val="32"/>
          <w:lang w:val="en-US" w:eastAsia="zh-CN"/>
        </w:rPr>
        <w:t>化学性能：酸碱度、重金属、还原物质、紫外吸光度、蒸发残渣、环氧乙烷残留量（如适用）</w:t>
      </w:r>
      <w:r>
        <w:rPr>
          <w:rFonts w:hint="eastAsia" w:eastAsia="仿宋_GB2312"/>
          <w:color w:val="000000"/>
          <w:sz w:val="32"/>
          <w:szCs w:val="32"/>
          <w:lang w:eastAsia="zh-CN"/>
        </w:rPr>
        <w:t>；</w:t>
      </w:r>
    </w:p>
    <w:p w14:paraId="14347C43">
      <w:pPr>
        <w:keepNext w:val="0"/>
        <w:keepLines w:val="0"/>
        <w:pageBreakBefore w:val="0"/>
        <w:kinsoku/>
        <w:wordWrap/>
        <w:overflowPunct/>
        <w:topLinePunct w:val="0"/>
        <w:autoSpaceDE/>
        <w:autoSpaceDN/>
        <w:bidi w:val="0"/>
        <w:spacing w:line="520" w:lineRule="exact"/>
        <w:ind w:firstLine="640" w:firstLineChars="200"/>
        <w:jc w:val="both"/>
        <w:textAlignment w:val="auto"/>
        <w:rPr>
          <w:rFonts w:hint="eastAsia" w:eastAsia="仿宋_GB2312"/>
          <w:color w:val="000000"/>
          <w:sz w:val="32"/>
          <w:szCs w:val="32"/>
          <w:lang w:eastAsia="zh-CN"/>
        </w:rPr>
      </w:pPr>
      <w:r>
        <w:rPr>
          <w:rFonts w:hint="eastAsia" w:eastAsia="仿宋_GB2312"/>
          <w:color w:val="000000"/>
          <w:sz w:val="32"/>
          <w:szCs w:val="32"/>
        </w:rPr>
        <w:t>无菌</w:t>
      </w:r>
      <w:r>
        <w:rPr>
          <w:rFonts w:hint="eastAsia" w:eastAsia="仿宋_GB2312"/>
          <w:color w:val="000000"/>
          <w:sz w:val="32"/>
          <w:szCs w:val="32"/>
          <w:lang w:eastAsia="zh-CN"/>
        </w:rPr>
        <w:t>。</w:t>
      </w:r>
    </w:p>
    <w:p w14:paraId="53DBB497">
      <w:pPr>
        <w:keepNext w:val="0"/>
        <w:keepLines w:val="0"/>
        <w:pageBreakBefore w:val="0"/>
        <w:kinsoku/>
        <w:wordWrap/>
        <w:overflowPunct/>
        <w:topLinePunct w:val="0"/>
        <w:autoSpaceDE/>
        <w:autoSpaceDN/>
        <w:bidi w:val="0"/>
        <w:spacing w:line="520" w:lineRule="exact"/>
        <w:ind w:firstLine="636" w:firstLineChars="200"/>
        <w:jc w:val="both"/>
        <w:textAlignment w:val="auto"/>
        <w:rPr>
          <w:rFonts w:eastAsia="仿宋_GB2312"/>
          <w:color w:val="000000"/>
          <w:sz w:val="32"/>
          <w:szCs w:val="32"/>
          <w:highlight w:val="yellow"/>
        </w:rPr>
      </w:pPr>
      <w:r>
        <w:rPr>
          <w:rFonts w:hint="eastAsia" w:eastAsia="仿宋_GB2312"/>
          <w:color w:val="000000"/>
          <w:spacing w:val="-1"/>
          <w:sz w:val="32"/>
          <w:szCs w:val="32"/>
        </w:rPr>
        <w:t>若申请人声称具有其他特定的技术特性的，应制订相应的性能指标。</w:t>
      </w:r>
    </w:p>
    <w:p w14:paraId="120FCDE2">
      <w:pPr>
        <w:snapToGrid w:val="0"/>
        <w:spacing w:line="520" w:lineRule="exact"/>
        <w:ind w:firstLine="640" w:firstLineChars="200"/>
        <w:outlineLvl w:val="2"/>
        <w:rPr>
          <w:rFonts w:eastAsia="仿宋_GB2312"/>
          <w:color w:val="000000"/>
          <w:sz w:val="32"/>
          <w:szCs w:val="32"/>
        </w:rPr>
      </w:pPr>
      <w:r>
        <w:rPr>
          <w:rFonts w:hint="eastAsia" w:eastAsia="仿宋_GB2312"/>
          <w:color w:val="000000"/>
          <w:sz w:val="32"/>
          <w:szCs w:val="32"/>
          <w:lang w:val="en-US" w:eastAsia="zh-CN"/>
        </w:rPr>
        <w:t>2.3</w:t>
      </w:r>
      <w:r>
        <w:rPr>
          <w:rFonts w:hint="eastAsia" w:eastAsia="仿宋_GB2312"/>
          <w:color w:val="000000"/>
          <w:sz w:val="32"/>
          <w:szCs w:val="32"/>
        </w:rPr>
        <w:t>产品检验报告</w:t>
      </w:r>
    </w:p>
    <w:p w14:paraId="4236AC2A">
      <w:pPr>
        <w:spacing w:line="520" w:lineRule="exact"/>
        <w:ind w:firstLine="640" w:firstLineChars="200"/>
        <w:rPr>
          <w:rFonts w:eastAsia="仿宋_GB2312"/>
          <w:color w:val="000000"/>
          <w:sz w:val="32"/>
          <w:szCs w:val="32"/>
        </w:rPr>
      </w:pPr>
      <w:r>
        <w:rPr>
          <w:rFonts w:hint="eastAsia" w:eastAsia="仿宋_GB2312"/>
          <w:color w:val="000000"/>
          <w:sz w:val="32"/>
          <w:szCs w:val="32"/>
        </w:rPr>
        <w:t>可提交申请人出具的自检报告或委托有资质的医疗器械检验机构出具的检验报告。</w:t>
      </w:r>
    </w:p>
    <w:p w14:paraId="017A9242">
      <w:pPr>
        <w:spacing w:line="520" w:lineRule="exact"/>
        <w:ind w:firstLine="640" w:firstLineChars="200"/>
        <w:rPr>
          <w:rFonts w:eastAsia="仿宋_GB2312"/>
          <w:color w:val="000000"/>
          <w:sz w:val="32"/>
          <w:szCs w:val="32"/>
        </w:rPr>
      </w:pPr>
      <w:r>
        <w:rPr>
          <w:rFonts w:hint="eastAsia" w:eastAsia="仿宋_GB2312"/>
          <w:color w:val="000000"/>
          <w:sz w:val="32"/>
          <w:szCs w:val="32"/>
        </w:rPr>
        <w:t>提交自检报告的，应符合《医疗器械注册自检管理规定》的要求。</w:t>
      </w:r>
    </w:p>
    <w:p w14:paraId="5C9B90AA">
      <w:pPr>
        <w:spacing w:line="520" w:lineRule="exact"/>
        <w:ind w:firstLine="640" w:firstLineChars="200"/>
        <w:rPr>
          <w:rFonts w:eastAsia="仿宋_GB2312"/>
          <w:color w:val="000000"/>
          <w:sz w:val="32"/>
          <w:szCs w:val="32"/>
        </w:rPr>
      </w:pPr>
      <w:r>
        <w:rPr>
          <w:rFonts w:hint="eastAsia" w:eastAsia="仿宋_GB2312"/>
          <w:color w:val="000000"/>
          <w:sz w:val="32"/>
          <w:szCs w:val="32"/>
        </w:rPr>
        <w:t>注册申请人应</w:t>
      </w:r>
      <w:r>
        <w:rPr>
          <w:rFonts w:hint="eastAsia" w:eastAsia="仿宋_GB2312"/>
          <w:sz w:val="32"/>
          <w:szCs w:val="32"/>
        </w:rPr>
        <w:t>提供检验样品型号/规格的选择依据。所检验型号/规格需为能够代表本注册单元内其他型号/规格的典型产品。选取用于检验的典型产品时需综合考虑产品的结构组成、制造材料、性能指标、生产工艺等方面的影响因素。一个型号不能完全覆盖时，应选择其他型号进行相关性能的差异性检测。需注意，典型型号/规格不一定是临床常用型号/规格。</w:t>
      </w:r>
    </w:p>
    <w:p w14:paraId="1F7EC7CA">
      <w:pPr>
        <w:snapToGrid w:val="0"/>
        <w:spacing w:line="520" w:lineRule="exact"/>
        <w:ind w:firstLine="640" w:firstLineChars="200"/>
        <w:outlineLvl w:val="2"/>
        <w:rPr>
          <w:rFonts w:eastAsia="仿宋_GB2312"/>
          <w:color w:val="000000"/>
          <w:sz w:val="32"/>
          <w:szCs w:val="32"/>
        </w:rPr>
      </w:pPr>
      <w:r>
        <w:rPr>
          <w:rFonts w:hint="eastAsia" w:eastAsia="仿宋_GB2312"/>
          <w:color w:val="000000"/>
          <w:sz w:val="32"/>
          <w:szCs w:val="32"/>
          <w:lang w:val="en-US" w:eastAsia="zh-CN"/>
        </w:rPr>
        <w:t>3</w:t>
      </w:r>
      <w:r>
        <w:rPr>
          <w:rFonts w:hint="eastAsia" w:eastAsia="仿宋_GB2312"/>
          <w:color w:val="000000"/>
          <w:sz w:val="32"/>
          <w:szCs w:val="32"/>
        </w:rPr>
        <w:t>.产品性能研究</w:t>
      </w:r>
    </w:p>
    <w:p w14:paraId="6413E31C">
      <w:pPr>
        <w:spacing w:line="520" w:lineRule="exact"/>
        <w:ind w:firstLine="640" w:firstLineChars="200"/>
        <w:rPr>
          <w:rFonts w:hint="eastAsia" w:eastAsia="仿宋_GB2312"/>
          <w:color w:val="000000"/>
          <w:sz w:val="32"/>
          <w:szCs w:val="32"/>
          <w:highlight w:val="none"/>
          <w:lang w:eastAsia="zh-CN"/>
        </w:rPr>
      </w:pPr>
      <w:bookmarkStart w:id="1" w:name="OLE_LINK21"/>
      <w:bookmarkStart w:id="2" w:name="OLE_LINK22"/>
      <w:r>
        <w:rPr>
          <w:rFonts w:hint="eastAsia" w:eastAsia="仿宋_GB2312"/>
          <w:color w:val="000000"/>
          <w:sz w:val="32"/>
          <w:szCs w:val="32"/>
        </w:rPr>
        <w:t>应当提供产品化学</w:t>
      </w:r>
      <w:r>
        <w:rPr>
          <w:rFonts w:eastAsia="仿宋_GB2312"/>
          <w:color w:val="000000"/>
          <w:sz w:val="32"/>
          <w:szCs w:val="32"/>
        </w:rPr>
        <w:t>/</w:t>
      </w:r>
      <w:r>
        <w:rPr>
          <w:rFonts w:hint="eastAsia" w:eastAsia="仿宋_GB2312"/>
          <w:color w:val="000000"/>
          <w:sz w:val="32"/>
          <w:szCs w:val="32"/>
        </w:rPr>
        <w:t>材料表征、物理和</w:t>
      </w:r>
      <w:r>
        <w:rPr>
          <w:rFonts w:eastAsia="仿宋_GB2312"/>
          <w:color w:val="000000"/>
          <w:sz w:val="32"/>
          <w:szCs w:val="32"/>
        </w:rPr>
        <w:t>/</w:t>
      </w:r>
      <w:r>
        <w:rPr>
          <w:rFonts w:hint="eastAsia" w:eastAsia="仿宋_GB2312"/>
          <w:color w:val="000000"/>
          <w:sz w:val="32"/>
          <w:szCs w:val="32"/>
        </w:rPr>
        <w:t>或机械性能指标的确定依据、设计输入来源以及临床意义，所采用的标准或方法、采用的原因及理论基础。</w:t>
      </w:r>
      <w:r>
        <w:rPr>
          <w:rFonts w:hint="eastAsia" w:eastAsia="仿宋_GB2312"/>
          <w:color w:val="000000"/>
          <w:sz w:val="32"/>
          <w:szCs w:val="32"/>
          <w:highlight w:val="none"/>
          <w:lang w:eastAsia="zh-CN"/>
        </w:rPr>
        <w:t>应当提供与内窥镜的联合使用研究。</w:t>
      </w:r>
    </w:p>
    <w:bookmarkEnd w:id="1"/>
    <w:bookmarkEnd w:id="2"/>
    <w:p w14:paraId="5D4CBBA0">
      <w:pPr>
        <w:spacing w:line="520" w:lineRule="exact"/>
        <w:ind w:firstLine="640" w:firstLineChars="200"/>
        <w:rPr>
          <w:rFonts w:eastAsia="仿宋_GB2312"/>
          <w:color w:val="000000"/>
          <w:sz w:val="32"/>
          <w:szCs w:val="32"/>
        </w:rPr>
      </w:pPr>
      <w:r>
        <w:rPr>
          <w:rFonts w:hint="eastAsia" w:eastAsia="仿宋_GB2312"/>
          <w:color w:val="000000"/>
          <w:sz w:val="32"/>
          <w:szCs w:val="32"/>
        </w:rPr>
        <w:t>原材料控制：</w:t>
      </w:r>
      <w:r>
        <w:rPr>
          <w:rFonts w:eastAsia="仿宋_GB2312"/>
          <w:color w:val="000000"/>
          <w:sz w:val="32"/>
          <w:szCs w:val="32"/>
        </w:rPr>
        <w:t>说明原材料的选择依据，明确产品的起始材料，列明产品生产过程中由起始材料至终产品所需全部材料的化学名称、商品名/材料代号、化学结构式/分子式、使用量或组成比例、供应商名称、符合的标准等</w:t>
      </w:r>
      <w:r>
        <w:rPr>
          <w:rFonts w:hint="eastAsia" w:eastAsia="仿宋_GB2312"/>
          <w:color w:val="000000"/>
          <w:sz w:val="32"/>
          <w:szCs w:val="32"/>
        </w:rPr>
        <w:t>适用的</w:t>
      </w:r>
      <w:r>
        <w:rPr>
          <w:rFonts w:eastAsia="仿宋_GB2312"/>
          <w:color w:val="000000"/>
          <w:sz w:val="32"/>
          <w:szCs w:val="32"/>
        </w:rPr>
        <w:t>基本信息，建议以列表的形式提供。</w:t>
      </w:r>
    </w:p>
    <w:p w14:paraId="3603F765">
      <w:pPr>
        <w:spacing w:line="520" w:lineRule="exact"/>
        <w:ind w:firstLine="640" w:firstLineChars="200"/>
        <w:rPr>
          <w:rFonts w:hint="eastAsia" w:eastAsia="仿宋_GB2312"/>
          <w:sz w:val="32"/>
          <w:szCs w:val="32"/>
        </w:rPr>
      </w:pPr>
      <w:r>
        <w:rPr>
          <w:rFonts w:eastAsia="仿宋_GB2312"/>
          <w:color w:val="000000"/>
          <w:sz w:val="32"/>
          <w:szCs w:val="32"/>
        </w:rPr>
        <w:t>产品性能研究</w:t>
      </w:r>
      <w:r>
        <w:rPr>
          <w:rFonts w:hint="eastAsia" w:eastAsia="仿宋_GB2312"/>
          <w:color w:val="000000"/>
          <w:sz w:val="32"/>
          <w:szCs w:val="32"/>
        </w:rPr>
        <w:t>：</w:t>
      </w:r>
      <w:bookmarkStart w:id="3" w:name="OLE_LINK23"/>
      <w:r>
        <w:rPr>
          <w:rFonts w:eastAsia="仿宋_GB2312"/>
          <w:color w:val="000000"/>
          <w:sz w:val="32"/>
          <w:szCs w:val="32"/>
        </w:rPr>
        <w:t>应当提供产品性能研究资料，</w:t>
      </w:r>
      <w:r>
        <w:rPr>
          <w:rFonts w:hint="eastAsia" w:eastAsia="仿宋_GB2312"/>
          <w:sz w:val="32"/>
          <w:szCs w:val="32"/>
        </w:rPr>
        <w:t>说明产品技术要求中性能指标及检验方法的确定依据，需提供采用的原因及理论基础。依据产品性能研究结果，结合临床需求制定性能指标接受标准。对于自建方法，需提供相应的依据及方法学研究资料。可选择典型型号/规格进行</w:t>
      </w:r>
      <w:r>
        <w:rPr>
          <w:rFonts w:eastAsia="仿宋_GB2312"/>
          <w:sz w:val="32"/>
          <w:szCs w:val="32"/>
        </w:rPr>
        <w:t>性能研究</w:t>
      </w:r>
      <w:r>
        <w:rPr>
          <w:rFonts w:hint="eastAsia" w:eastAsia="仿宋_GB2312"/>
          <w:sz w:val="32"/>
          <w:szCs w:val="32"/>
        </w:rPr>
        <w:t>，应结合风险分析结果等因素确定各研</w:t>
      </w:r>
      <w:bookmarkEnd w:id="3"/>
      <w:r>
        <w:rPr>
          <w:rFonts w:hint="eastAsia" w:eastAsia="仿宋_GB2312"/>
          <w:sz w:val="32"/>
          <w:szCs w:val="32"/>
        </w:rPr>
        <w:t>究项目所用样本数量，并对验证结果进行统计学分析。</w:t>
      </w:r>
    </w:p>
    <w:p w14:paraId="7F4FFDE5">
      <w:pPr>
        <w:snapToGrid w:val="0"/>
        <w:spacing w:line="520" w:lineRule="exact"/>
        <w:ind w:firstLine="640" w:firstLineChars="200"/>
        <w:outlineLvl w:val="2"/>
        <w:rPr>
          <w:rFonts w:eastAsia="仿宋_GB2312"/>
          <w:color w:val="000000"/>
          <w:sz w:val="32"/>
          <w:szCs w:val="32"/>
        </w:rPr>
      </w:pPr>
      <w:bookmarkStart w:id="4" w:name="OLE_LINK25"/>
      <w:bookmarkStart w:id="5" w:name="OLE_LINK24"/>
      <w:r>
        <w:rPr>
          <w:rFonts w:hint="eastAsia" w:eastAsia="仿宋_GB2312"/>
          <w:color w:val="000000"/>
          <w:sz w:val="32"/>
          <w:szCs w:val="32"/>
          <w:lang w:val="en-US" w:eastAsia="zh-CN"/>
        </w:rPr>
        <w:t>4</w:t>
      </w:r>
      <w:r>
        <w:rPr>
          <w:rFonts w:hint="eastAsia" w:eastAsia="仿宋_GB2312"/>
          <w:color w:val="000000"/>
          <w:sz w:val="32"/>
          <w:szCs w:val="32"/>
        </w:rPr>
        <w:t>.生物学特性研究</w:t>
      </w:r>
    </w:p>
    <w:p w14:paraId="170330E6">
      <w:pPr>
        <w:spacing w:line="520" w:lineRule="exact"/>
        <w:ind w:firstLine="640" w:firstLineChars="200"/>
        <w:rPr>
          <w:rFonts w:eastAsia="仿宋_GB2312"/>
          <w:color w:val="000000"/>
          <w:sz w:val="32"/>
          <w:szCs w:val="32"/>
        </w:rPr>
      </w:pPr>
      <w:r>
        <w:rPr>
          <w:rFonts w:hint="eastAsia" w:eastAsia="仿宋_GB2312"/>
          <w:color w:val="000000"/>
          <w:sz w:val="32"/>
          <w:szCs w:val="32"/>
        </w:rPr>
        <w:t>对于</w:t>
      </w:r>
      <w:r>
        <w:rPr>
          <w:rFonts w:hint="eastAsia" w:eastAsia="仿宋_GB2312"/>
          <w:color w:val="000000"/>
          <w:sz w:val="32"/>
          <w:szCs w:val="32"/>
          <w:lang w:eastAsia="zh-CN"/>
        </w:rPr>
        <w:t>先端帽</w:t>
      </w:r>
      <w:r>
        <w:rPr>
          <w:rFonts w:hint="eastAsia" w:eastAsia="仿宋_GB2312"/>
          <w:color w:val="000000"/>
          <w:sz w:val="32"/>
          <w:szCs w:val="32"/>
        </w:rPr>
        <w:t>与人体直接接触的部分，应当进行生物相容性评价</w:t>
      </w:r>
      <w:r>
        <w:rPr>
          <w:rFonts w:eastAsia="仿宋_GB2312"/>
          <w:color w:val="000000"/>
          <w:sz w:val="32"/>
          <w:szCs w:val="32"/>
        </w:rPr>
        <w:t>。</w:t>
      </w:r>
      <w:r>
        <w:rPr>
          <w:rFonts w:hint="eastAsia" w:eastAsia="仿宋_GB2312"/>
          <w:sz w:val="32"/>
          <w:szCs w:val="32"/>
        </w:rPr>
        <w:t>按照GB/T 16886系列标准、《医疗器械生物学评价和审查指</w:t>
      </w:r>
      <w:bookmarkEnd w:id="4"/>
      <w:bookmarkEnd w:id="5"/>
      <w:r>
        <w:rPr>
          <w:rFonts w:hint="eastAsia" w:eastAsia="仿宋_GB2312"/>
          <w:sz w:val="32"/>
          <w:szCs w:val="32"/>
        </w:rPr>
        <w:t>南》要求开展生物相容性评价，资料应当包括：</w:t>
      </w:r>
    </w:p>
    <w:p w14:paraId="5C4C4D4D">
      <w:pPr>
        <w:spacing w:line="520" w:lineRule="exact"/>
        <w:ind w:right="-67" w:rightChars="-32" w:firstLine="640" w:firstLineChars="200"/>
        <w:rPr>
          <w:rFonts w:eastAsia="仿宋_GB2312"/>
          <w:sz w:val="32"/>
          <w:szCs w:val="32"/>
        </w:rPr>
      </w:pPr>
      <w:r>
        <w:rPr>
          <w:rFonts w:hint="eastAsia" w:eastAsia="仿宋_GB2312"/>
          <w:sz w:val="32"/>
          <w:szCs w:val="32"/>
          <w:lang w:val="en-US" w:eastAsia="zh-CN"/>
        </w:rPr>
        <w:t>4.1</w:t>
      </w:r>
      <w:r>
        <w:rPr>
          <w:rFonts w:hint="eastAsia" w:eastAsia="仿宋_GB2312"/>
          <w:sz w:val="32"/>
          <w:szCs w:val="32"/>
        </w:rPr>
        <w:t>描述产品所用材料及与人体接触性质，设计和生产过程中可能引入的污染物和残留物，设计和生产过程中可能产生的析出物（包括可沥滤物和/或蒸发物）、加工残留物，与医疗器械直接接触的包装材料等相关信息。</w:t>
      </w:r>
    </w:p>
    <w:p w14:paraId="7BA25E47">
      <w:pPr>
        <w:spacing w:line="520" w:lineRule="exact"/>
        <w:ind w:right="-67" w:rightChars="-32" w:firstLine="640" w:firstLineChars="200"/>
        <w:rPr>
          <w:rFonts w:eastAsia="仿宋_GB2312"/>
          <w:sz w:val="32"/>
          <w:szCs w:val="32"/>
        </w:rPr>
      </w:pPr>
      <w:r>
        <w:rPr>
          <w:rFonts w:hint="eastAsia" w:eastAsia="仿宋_GB2312"/>
          <w:sz w:val="32"/>
          <w:szCs w:val="32"/>
          <w:lang w:val="en-US" w:eastAsia="zh-CN"/>
        </w:rPr>
        <w:t>4.2</w:t>
      </w:r>
      <w:r>
        <w:rPr>
          <w:rFonts w:hint="eastAsia" w:eastAsia="仿宋_GB2312"/>
          <w:sz w:val="32"/>
          <w:szCs w:val="32"/>
        </w:rPr>
        <w:t>描述申报产品的物理和/或化学信息并考虑材料表征（如适用），如器械的物理作用可能产生生物学风险，应当进行评价。</w:t>
      </w:r>
    </w:p>
    <w:p w14:paraId="356B2AFF">
      <w:pPr>
        <w:spacing w:line="520" w:lineRule="exact"/>
        <w:ind w:right="-67" w:rightChars="-32" w:firstLine="640" w:firstLineChars="200"/>
        <w:rPr>
          <w:rFonts w:eastAsia="仿宋_GB2312"/>
          <w:sz w:val="32"/>
          <w:szCs w:val="32"/>
        </w:rPr>
      </w:pPr>
      <w:r>
        <w:rPr>
          <w:rFonts w:hint="eastAsia" w:eastAsia="仿宋_GB2312"/>
          <w:sz w:val="32"/>
          <w:szCs w:val="32"/>
          <w:lang w:val="en-US" w:eastAsia="zh-CN"/>
        </w:rPr>
        <w:t>4.3</w:t>
      </w:r>
      <w:r>
        <w:rPr>
          <w:rFonts w:hint="eastAsia" w:eastAsia="仿宋_GB2312"/>
          <w:sz w:val="32"/>
          <w:szCs w:val="32"/>
        </w:rPr>
        <w:t>生物学评价的策略、依据和方法。</w:t>
      </w:r>
    </w:p>
    <w:p w14:paraId="1B6F9C9B">
      <w:pPr>
        <w:spacing w:line="520" w:lineRule="exact"/>
        <w:ind w:right="-67" w:rightChars="-32" w:firstLine="640" w:firstLineChars="200"/>
        <w:rPr>
          <w:rFonts w:eastAsia="仿宋_GB2312"/>
          <w:sz w:val="32"/>
          <w:szCs w:val="32"/>
        </w:rPr>
      </w:pPr>
      <w:r>
        <w:rPr>
          <w:rFonts w:hint="eastAsia" w:eastAsia="仿宋_GB2312"/>
          <w:sz w:val="32"/>
          <w:szCs w:val="32"/>
          <w:lang w:val="en-US" w:eastAsia="zh-CN"/>
        </w:rPr>
        <w:t>4.4</w:t>
      </w:r>
      <w:r>
        <w:rPr>
          <w:rFonts w:hint="eastAsia" w:eastAsia="仿宋_GB2312"/>
          <w:sz w:val="32"/>
          <w:szCs w:val="32"/>
        </w:rPr>
        <w:t>已有数据和结果的评价。</w:t>
      </w:r>
    </w:p>
    <w:p w14:paraId="3AA60372">
      <w:pPr>
        <w:spacing w:line="520" w:lineRule="exact"/>
        <w:ind w:right="-67" w:rightChars="-32" w:firstLine="640" w:firstLineChars="200"/>
        <w:rPr>
          <w:rFonts w:eastAsia="仿宋_GB2312"/>
          <w:sz w:val="32"/>
          <w:szCs w:val="32"/>
        </w:rPr>
      </w:pPr>
      <w:r>
        <w:rPr>
          <w:rFonts w:hint="eastAsia" w:eastAsia="仿宋_GB2312"/>
          <w:sz w:val="32"/>
          <w:szCs w:val="32"/>
          <w:lang w:val="en-US" w:eastAsia="zh-CN"/>
        </w:rPr>
        <w:t>4.5</w:t>
      </w:r>
      <w:r>
        <w:rPr>
          <w:rFonts w:hint="eastAsia" w:eastAsia="仿宋_GB2312"/>
          <w:sz w:val="32"/>
          <w:szCs w:val="32"/>
        </w:rPr>
        <w:t>选择或豁免生物学试验的理由和论证。</w:t>
      </w:r>
    </w:p>
    <w:p w14:paraId="5D096BCF">
      <w:pPr>
        <w:spacing w:line="520" w:lineRule="exact"/>
        <w:ind w:right="-67" w:rightChars="-32" w:firstLine="640" w:firstLineChars="200"/>
        <w:rPr>
          <w:rFonts w:eastAsia="仿宋_GB2312"/>
          <w:sz w:val="32"/>
          <w:szCs w:val="32"/>
        </w:rPr>
      </w:pPr>
      <w:r>
        <w:rPr>
          <w:rFonts w:hint="eastAsia" w:eastAsia="仿宋_GB2312"/>
          <w:sz w:val="32"/>
          <w:szCs w:val="32"/>
          <w:lang w:val="en-US" w:eastAsia="zh-CN"/>
        </w:rPr>
        <w:t>4.6</w:t>
      </w:r>
      <w:r>
        <w:rPr>
          <w:rFonts w:hint="eastAsia" w:eastAsia="仿宋_GB2312"/>
          <w:sz w:val="32"/>
          <w:szCs w:val="32"/>
        </w:rPr>
        <w:t>完成生物学评价所需的其他数据。</w:t>
      </w:r>
    </w:p>
    <w:p w14:paraId="3E3F1383">
      <w:pPr>
        <w:spacing w:line="520" w:lineRule="exact"/>
        <w:ind w:firstLine="640" w:firstLineChars="200"/>
        <w:rPr>
          <w:rFonts w:eastAsia="仿宋_GB2312"/>
          <w:color w:val="000000"/>
          <w:sz w:val="32"/>
          <w:szCs w:val="32"/>
        </w:rPr>
      </w:pPr>
      <w:r>
        <w:rPr>
          <w:rFonts w:hint="eastAsia" w:eastAsia="仿宋_GB2312"/>
          <w:color w:val="000000"/>
          <w:sz w:val="32"/>
          <w:szCs w:val="32"/>
          <w:lang w:eastAsia="zh-CN"/>
        </w:rPr>
        <w:t>先端帽</w:t>
      </w:r>
      <w:r>
        <w:rPr>
          <w:rFonts w:eastAsia="仿宋_GB2312"/>
          <w:color w:val="000000"/>
          <w:sz w:val="32"/>
          <w:szCs w:val="32"/>
        </w:rPr>
        <w:t>属于</w:t>
      </w:r>
      <w:r>
        <w:rPr>
          <w:rFonts w:hint="eastAsia" w:eastAsia="仿宋_GB2312"/>
          <w:color w:val="000000"/>
          <w:sz w:val="32"/>
          <w:szCs w:val="32"/>
        </w:rPr>
        <w:t>与</w:t>
      </w:r>
      <w:r>
        <w:rPr>
          <w:rFonts w:hint="eastAsia" w:eastAsia="仿宋_GB2312"/>
          <w:color w:val="000000"/>
          <w:sz w:val="32"/>
          <w:szCs w:val="32"/>
          <w:lang w:eastAsia="zh-CN"/>
        </w:rPr>
        <w:t>黏膜短期接触的</w:t>
      </w:r>
      <w:r>
        <w:rPr>
          <w:rFonts w:hint="eastAsia" w:eastAsia="仿宋_GB2312"/>
          <w:color w:val="000000"/>
          <w:sz w:val="32"/>
          <w:szCs w:val="32"/>
        </w:rPr>
        <w:t>医疗器械</w:t>
      </w:r>
      <w:r>
        <w:rPr>
          <w:rFonts w:eastAsia="仿宋_GB2312"/>
          <w:color w:val="000000"/>
          <w:sz w:val="32"/>
          <w:szCs w:val="32"/>
        </w:rPr>
        <w:t>，需考虑的生物</w:t>
      </w:r>
      <w:r>
        <w:rPr>
          <w:rFonts w:hint="eastAsia" w:eastAsia="仿宋_GB2312"/>
          <w:color w:val="000000"/>
          <w:sz w:val="32"/>
          <w:szCs w:val="32"/>
        </w:rPr>
        <w:t>学</w:t>
      </w:r>
      <w:r>
        <w:rPr>
          <w:rFonts w:eastAsia="仿宋_GB2312"/>
          <w:color w:val="000000"/>
          <w:sz w:val="32"/>
          <w:szCs w:val="32"/>
        </w:rPr>
        <w:t>评价</w:t>
      </w:r>
      <w:r>
        <w:rPr>
          <w:rFonts w:hint="eastAsia" w:eastAsia="仿宋_GB2312"/>
          <w:color w:val="000000"/>
          <w:sz w:val="32"/>
          <w:szCs w:val="32"/>
        </w:rPr>
        <w:t>终点至少</w:t>
      </w:r>
      <w:r>
        <w:rPr>
          <w:rFonts w:eastAsia="仿宋_GB2312"/>
          <w:color w:val="000000"/>
          <w:sz w:val="32"/>
          <w:szCs w:val="32"/>
        </w:rPr>
        <w:t>包括：</w:t>
      </w:r>
      <w:bookmarkStart w:id="6" w:name="OLE_LINK26"/>
      <w:bookmarkStart w:id="7" w:name="OLE_LINK27"/>
      <w:r>
        <w:rPr>
          <w:rFonts w:eastAsia="仿宋_GB2312"/>
          <w:color w:val="000000"/>
          <w:sz w:val="32"/>
          <w:szCs w:val="32"/>
        </w:rPr>
        <w:t>细胞毒性、致敏</w:t>
      </w:r>
      <w:r>
        <w:rPr>
          <w:rFonts w:hint="eastAsia" w:eastAsia="仿宋_GB2312"/>
          <w:color w:val="000000"/>
          <w:sz w:val="32"/>
          <w:szCs w:val="32"/>
        </w:rPr>
        <w:t>反应</w:t>
      </w:r>
      <w:r>
        <w:rPr>
          <w:rFonts w:eastAsia="仿宋_GB2312"/>
          <w:color w:val="000000"/>
          <w:sz w:val="32"/>
          <w:szCs w:val="32"/>
        </w:rPr>
        <w:t>、皮内反应</w:t>
      </w:r>
      <w:r>
        <w:rPr>
          <w:rFonts w:hint="eastAsia" w:eastAsia="仿宋_GB2312"/>
          <w:color w:val="000000"/>
          <w:sz w:val="32"/>
          <w:szCs w:val="32"/>
          <w:lang w:eastAsia="zh-CN"/>
        </w:rPr>
        <w:t>；考虑到可能与非完整黏膜接触，生物学评价终点还应包括</w:t>
      </w:r>
      <w:r>
        <w:rPr>
          <w:rFonts w:hint="eastAsia" w:eastAsia="仿宋_GB2312"/>
          <w:color w:val="000000"/>
          <w:sz w:val="32"/>
          <w:szCs w:val="32"/>
        </w:rPr>
        <w:t>材料介导的致热性、急性全身毒性</w:t>
      </w:r>
      <w:r>
        <w:rPr>
          <w:rFonts w:eastAsia="仿宋_GB2312"/>
          <w:color w:val="000000"/>
          <w:sz w:val="32"/>
          <w:szCs w:val="32"/>
        </w:rPr>
        <w:t>。</w:t>
      </w:r>
      <w:bookmarkEnd w:id="6"/>
      <w:bookmarkEnd w:id="7"/>
    </w:p>
    <w:p w14:paraId="57D8DEBD">
      <w:pPr>
        <w:snapToGrid w:val="0"/>
        <w:spacing w:line="520" w:lineRule="exact"/>
        <w:ind w:firstLine="640" w:firstLineChars="200"/>
        <w:outlineLvl w:val="2"/>
        <w:rPr>
          <w:rFonts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rPr>
        <w:t>.灭菌工艺研究</w:t>
      </w:r>
    </w:p>
    <w:p w14:paraId="11A7D973">
      <w:pPr>
        <w:spacing w:line="520" w:lineRule="exact"/>
        <w:ind w:firstLine="640" w:firstLineChars="200"/>
        <w:rPr>
          <w:rFonts w:hint="eastAsia" w:eastAsia="仿宋_GB2312"/>
          <w:sz w:val="32"/>
          <w:szCs w:val="32"/>
        </w:rPr>
      </w:pPr>
      <w:r>
        <w:rPr>
          <w:rFonts w:hint="eastAsia" w:eastAsia="仿宋_GB2312"/>
          <w:sz w:val="32"/>
          <w:szCs w:val="32"/>
        </w:rPr>
        <w:t>明确产品的灭菌工艺（方法和参数）和无菌保证水平（SAL），</w:t>
      </w:r>
      <w:r>
        <w:rPr>
          <w:rFonts w:hint="eastAsia" w:eastAsia="仿宋_GB2312"/>
          <w:sz w:val="32"/>
          <w:szCs w:val="32"/>
          <w:lang w:eastAsia="zh-CN"/>
        </w:rPr>
        <w:t>先端帽</w:t>
      </w:r>
      <w:r>
        <w:rPr>
          <w:rFonts w:hint="eastAsia" w:eastAsia="仿宋_GB2312"/>
          <w:sz w:val="32"/>
          <w:szCs w:val="32"/>
        </w:rPr>
        <w:t>的无菌保证水平（SAL）需达到10</w:t>
      </w:r>
      <w:r>
        <w:rPr>
          <w:rFonts w:hint="eastAsia" w:eastAsia="仿宋_GB2312"/>
          <w:sz w:val="32"/>
          <w:szCs w:val="32"/>
          <w:vertAlign w:val="superscript"/>
        </w:rPr>
        <w:t>-6</w:t>
      </w:r>
      <w:r>
        <w:rPr>
          <w:rFonts w:hint="eastAsia" w:eastAsia="仿宋_GB2312"/>
          <w:sz w:val="32"/>
          <w:szCs w:val="32"/>
        </w:rPr>
        <w:t>。可参考GB 18279标准、GB 18280系列标准等，提供灭菌研究资料。若灭菌使用的方法容易出现残留，如环氧乙烷灭菌，应当明确残留物信息及采取的具体处理措施，参考GB/T 16886.7等明确残留物（如环氧乙烷、2</w:t>
      </w:r>
      <w:r>
        <w:rPr>
          <w:rFonts w:eastAsia="仿宋_GB2312"/>
          <w:sz w:val="32"/>
          <w:szCs w:val="32"/>
        </w:rPr>
        <w:t>-</w:t>
      </w:r>
      <w:r>
        <w:rPr>
          <w:rFonts w:hint="eastAsia" w:eastAsia="仿宋_GB2312"/>
          <w:sz w:val="32"/>
          <w:szCs w:val="32"/>
        </w:rPr>
        <w:t>氯乙醇）残留量接受标准及其确定依据，并提供环氧乙烷解析的研究资料。</w:t>
      </w:r>
    </w:p>
    <w:p w14:paraId="0F20CC3D">
      <w:pPr>
        <w:spacing w:line="520" w:lineRule="exact"/>
        <w:ind w:firstLine="640" w:firstLineChars="200"/>
        <w:outlineLvl w:val="4"/>
        <w:rPr>
          <w:rFonts w:hint="eastAsia" w:eastAsia="仿宋_GB2312"/>
          <w:sz w:val="32"/>
          <w:szCs w:val="32"/>
        </w:rPr>
      </w:pPr>
      <w:r>
        <w:rPr>
          <w:rFonts w:hint="eastAsia" w:eastAsia="仿宋_GB2312"/>
          <w:sz w:val="32"/>
          <w:szCs w:val="32"/>
          <w:lang w:val="en-US" w:eastAsia="zh-CN"/>
        </w:rPr>
        <w:t>6</w:t>
      </w:r>
      <w:r>
        <w:rPr>
          <w:rFonts w:hint="eastAsia" w:eastAsia="仿宋_GB2312"/>
          <w:sz w:val="32"/>
          <w:szCs w:val="32"/>
        </w:rPr>
        <w:t>.可用性工程研究</w:t>
      </w:r>
    </w:p>
    <w:p w14:paraId="2B3F8AA7">
      <w:pPr>
        <w:spacing w:line="520" w:lineRule="exact"/>
        <w:ind w:firstLine="640" w:firstLineChars="200"/>
        <w:outlineLvl w:val="4"/>
      </w:pPr>
      <w:r>
        <w:rPr>
          <w:rFonts w:hint="eastAsia" w:eastAsia="仿宋_GB2312"/>
          <w:sz w:val="32"/>
          <w:szCs w:val="32"/>
        </w:rPr>
        <w:t>应参照《医疗器械可用性工程注册审查指导原则》提供相应资料。</w:t>
      </w:r>
    </w:p>
    <w:p w14:paraId="75BD0454">
      <w:pPr>
        <w:snapToGrid w:val="0"/>
        <w:spacing w:line="520" w:lineRule="exact"/>
        <w:ind w:firstLine="640" w:firstLineChars="200"/>
        <w:outlineLvl w:val="2"/>
        <w:rPr>
          <w:rFonts w:eastAsia="仿宋_GB2312"/>
          <w:color w:val="000000"/>
          <w:sz w:val="32"/>
          <w:szCs w:val="32"/>
        </w:rPr>
      </w:pPr>
      <w:r>
        <w:rPr>
          <w:rFonts w:hint="eastAsia" w:eastAsia="仿宋_GB2312"/>
          <w:color w:val="000000"/>
          <w:sz w:val="32"/>
          <w:szCs w:val="32"/>
          <w:lang w:val="en-US" w:eastAsia="zh-CN"/>
        </w:rPr>
        <w:t>7</w:t>
      </w:r>
      <w:r>
        <w:rPr>
          <w:rFonts w:hint="eastAsia" w:eastAsia="仿宋_GB2312"/>
          <w:color w:val="000000"/>
          <w:sz w:val="32"/>
          <w:szCs w:val="32"/>
        </w:rPr>
        <w:t>.稳定性研究</w:t>
      </w:r>
    </w:p>
    <w:p w14:paraId="2723C315">
      <w:pPr>
        <w:spacing w:line="520" w:lineRule="exact"/>
        <w:ind w:firstLine="640" w:firstLineChars="200"/>
        <w:rPr>
          <w:rFonts w:eastAsia="仿宋_GB2312"/>
          <w:color w:val="000000"/>
          <w:sz w:val="32"/>
          <w:szCs w:val="32"/>
        </w:rPr>
      </w:pPr>
      <w:r>
        <w:rPr>
          <w:rFonts w:hint="eastAsia" w:eastAsia="仿宋_GB2312"/>
          <w:color w:val="000000"/>
          <w:sz w:val="32"/>
          <w:szCs w:val="32"/>
          <w:lang w:val="en-US" w:eastAsia="zh-CN"/>
        </w:rPr>
        <w:t>7.1</w:t>
      </w:r>
      <w:r>
        <w:rPr>
          <w:rFonts w:hint="eastAsia" w:eastAsia="仿宋_GB2312"/>
          <w:color w:val="000000"/>
          <w:sz w:val="32"/>
          <w:szCs w:val="32"/>
        </w:rPr>
        <w:t>货架有效期</w:t>
      </w:r>
    </w:p>
    <w:p w14:paraId="4CB5A1DB">
      <w:pPr>
        <w:spacing w:line="520" w:lineRule="exact"/>
        <w:ind w:firstLine="640" w:firstLineChars="200"/>
        <w:rPr>
          <w:rFonts w:eastAsia="仿宋_GB2312"/>
          <w:color w:val="000000"/>
          <w:sz w:val="32"/>
          <w:szCs w:val="32"/>
        </w:rPr>
      </w:pPr>
      <w:r>
        <w:rPr>
          <w:rFonts w:hint="eastAsia" w:eastAsia="仿宋_GB2312"/>
          <w:sz w:val="32"/>
          <w:szCs w:val="32"/>
        </w:rPr>
        <w:t>货架有效期包括产品有效期和包装有效期。</w:t>
      </w:r>
      <w:r>
        <w:rPr>
          <w:rFonts w:eastAsia="仿宋_GB2312"/>
          <w:color w:val="000000"/>
          <w:sz w:val="32"/>
          <w:szCs w:val="32"/>
        </w:rPr>
        <w:t>可以提交实时老化结果，也可以提交加速老化结果</w:t>
      </w:r>
      <w:r>
        <w:rPr>
          <w:rFonts w:hint="eastAsia" w:eastAsia="仿宋_GB2312"/>
          <w:color w:val="000000"/>
          <w:sz w:val="32"/>
          <w:szCs w:val="32"/>
        </w:rPr>
        <w:t>。</w:t>
      </w:r>
      <w:r>
        <w:rPr>
          <w:rFonts w:eastAsia="仿宋_GB2312"/>
          <w:color w:val="000000"/>
          <w:sz w:val="32"/>
          <w:szCs w:val="32"/>
        </w:rPr>
        <w:t>加速老化可按YY/T 0681.1要求提交产品及包装的效期验证方案及报告，</w:t>
      </w:r>
      <w:r>
        <w:rPr>
          <w:rFonts w:eastAsia="仿宋_GB2312"/>
          <w:spacing w:val="-4"/>
          <w:sz w:val="32"/>
          <w:szCs w:val="28"/>
        </w:rPr>
        <w:t>其中“室温或环境温度（T</w:t>
      </w:r>
      <w:r>
        <w:rPr>
          <w:rFonts w:eastAsia="仿宋_GB2312"/>
          <w:spacing w:val="-4"/>
          <w:sz w:val="32"/>
          <w:szCs w:val="28"/>
          <w:vertAlign w:val="subscript"/>
        </w:rPr>
        <w:t>RT</w:t>
      </w:r>
      <w:r>
        <w:rPr>
          <w:rFonts w:eastAsia="仿宋_GB2312"/>
          <w:spacing w:val="-4"/>
          <w:sz w:val="32"/>
          <w:szCs w:val="28"/>
        </w:rPr>
        <w:t>）”应选择能代表实际产品储存和使用条件的温度，建议申请人采用保守值设计</w:t>
      </w:r>
      <w:r>
        <w:rPr>
          <w:rFonts w:eastAsia="仿宋_GB2312"/>
          <w:color w:val="000000"/>
          <w:sz w:val="32"/>
          <w:szCs w:val="32"/>
        </w:rPr>
        <w:t>。</w:t>
      </w:r>
      <w:r>
        <w:rPr>
          <w:rFonts w:hint="eastAsia" w:eastAsia="仿宋_GB2312"/>
          <w:sz w:val="32"/>
          <w:szCs w:val="32"/>
        </w:rPr>
        <w:t>有效期验证</w:t>
      </w:r>
      <w:r>
        <w:rPr>
          <w:rFonts w:eastAsia="仿宋_GB2312"/>
          <w:sz w:val="32"/>
          <w:szCs w:val="32"/>
        </w:rPr>
        <w:t>方案中</w:t>
      </w:r>
      <w:r>
        <w:rPr>
          <w:rFonts w:hint="eastAsia" w:eastAsia="仿宋_GB2312"/>
          <w:sz w:val="32"/>
          <w:szCs w:val="32"/>
        </w:rPr>
        <w:t>应</w:t>
      </w:r>
      <w:r>
        <w:rPr>
          <w:rFonts w:eastAsia="仿宋_GB2312"/>
          <w:sz w:val="32"/>
          <w:szCs w:val="32"/>
        </w:rPr>
        <w:t>设定</w:t>
      </w:r>
      <w:r>
        <w:rPr>
          <w:rFonts w:hint="eastAsia" w:eastAsia="仿宋_GB2312"/>
          <w:sz w:val="32"/>
          <w:szCs w:val="32"/>
        </w:rPr>
        <w:t>验证</w:t>
      </w:r>
      <w:r>
        <w:rPr>
          <w:rFonts w:eastAsia="仿宋_GB2312"/>
          <w:sz w:val="32"/>
          <w:szCs w:val="32"/>
        </w:rPr>
        <w:t>项目、</w:t>
      </w:r>
      <w:r>
        <w:rPr>
          <w:rFonts w:hint="eastAsia" w:eastAsia="仿宋_GB2312"/>
          <w:sz w:val="32"/>
          <w:szCs w:val="32"/>
        </w:rPr>
        <w:t>验证</w:t>
      </w:r>
      <w:r>
        <w:rPr>
          <w:rFonts w:eastAsia="仿宋_GB2312"/>
          <w:sz w:val="32"/>
          <w:szCs w:val="32"/>
        </w:rPr>
        <w:t>方法及判定标准。</w:t>
      </w:r>
      <w:r>
        <w:rPr>
          <w:rFonts w:hint="eastAsia" w:eastAsia="仿宋_GB2312"/>
          <w:sz w:val="32"/>
          <w:szCs w:val="32"/>
        </w:rPr>
        <w:t>验证</w:t>
      </w:r>
      <w:r>
        <w:rPr>
          <w:rFonts w:eastAsia="仿宋_GB2312"/>
          <w:sz w:val="32"/>
          <w:szCs w:val="32"/>
        </w:rPr>
        <w:t>项目包括产品自身性能</w:t>
      </w:r>
      <w:r>
        <w:rPr>
          <w:rFonts w:hint="eastAsia" w:eastAsia="仿宋_GB2312"/>
          <w:sz w:val="32"/>
          <w:szCs w:val="32"/>
        </w:rPr>
        <w:t>验证</w:t>
      </w:r>
      <w:r>
        <w:rPr>
          <w:rFonts w:eastAsia="仿宋_GB2312"/>
          <w:sz w:val="32"/>
          <w:szCs w:val="32"/>
        </w:rPr>
        <w:t>和包装系统性能</w:t>
      </w:r>
      <w:r>
        <w:rPr>
          <w:rFonts w:hint="eastAsia" w:eastAsia="仿宋_GB2312"/>
          <w:sz w:val="32"/>
          <w:szCs w:val="32"/>
        </w:rPr>
        <w:t>验证</w:t>
      </w:r>
      <w:r>
        <w:rPr>
          <w:rFonts w:eastAsia="仿宋_GB2312"/>
          <w:sz w:val="32"/>
          <w:szCs w:val="32"/>
        </w:rPr>
        <w:t>两方面。</w:t>
      </w:r>
    </w:p>
    <w:p w14:paraId="72AB7554">
      <w:pPr>
        <w:spacing w:line="520" w:lineRule="exact"/>
        <w:ind w:right="-67" w:rightChars="-32" w:firstLine="640" w:firstLineChars="200"/>
        <w:rPr>
          <w:rFonts w:eastAsia="仿宋_GB2312"/>
          <w:sz w:val="32"/>
          <w:szCs w:val="32"/>
        </w:rPr>
      </w:pPr>
      <w:r>
        <w:rPr>
          <w:rFonts w:hint="eastAsia" w:eastAsia="仿宋_GB2312"/>
          <w:sz w:val="32"/>
          <w:szCs w:val="32"/>
          <w:lang w:val="en-US" w:eastAsia="zh-CN"/>
        </w:rPr>
        <w:t>7.2</w:t>
      </w:r>
      <w:r>
        <w:rPr>
          <w:rFonts w:hint="eastAsia" w:eastAsia="仿宋_GB2312"/>
          <w:sz w:val="32"/>
          <w:szCs w:val="32"/>
        </w:rPr>
        <w:t>包装及</w:t>
      </w:r>
      <w:r>
        <w:rPr>
          <w:rFonts w:eastAsia="仿宋_GB2312"/>
          <w:sz w:val="32"/>
          <w:szCs w:val="32"/>
        </w:rPr>
        <w:t>包装完整性</w:t>
      </w:r>
    </w:p>
    <w:p w14:paraId="3CDADE73">
      <w:pPr>
        <w:spacing w:line="520" w:lineRule="exact"/>
        <w:ind w:firstLine="640" w:firstLineChars="200"/>
        <w:outlineLvl w:val="4"/>
        <w:rPr>
          <w:rFonts w:eastAsia="仿宋_GB2312"/>
          <w:bCs/>
          <w:color w:val="000000"/>
          <w:sz w:val="32"/>
          <w:szCs w:val="32"/>
        </w:rPr>
      </w:pPr>
      <w:r>
        <w:rPr>
          <w:rFonts w:hint="eastAsia" w:eastAsia="仿宋_GB2312"/>
          <w:sz w:val="32"/>
          <w:szCs w:val="32"/>
        </w:rPr>
        <w:t>在宣称的有效期内以及运输（例如：震动、振动、温度和湿度的波动）储存条件下，提供保持包装完整性的依据。企业需提交产品包装验证和运输验证资料。</w:t>
      </w:r>
    </w:p>
    <w:p w14:paraId="45DB129F">
      <w:pPr>
        <w:spacing w:line="560" w:lineRule="exact"/>
        <w:ind w:firstLine="640" w:firstLineChars="200"/>
        <w:rPr>
          <w:rFonts w:eastAsia="仿宋_GB2312"/>
          <w:bCs/>
          <w:color w:val="000000"/>
          <w:sz w:val="32"/>
          <w:szCs w:val="32"/>
        </w:rPr>
      </w:pPr>
      <w:r>
        <w:rPr>
          <w:rFonts w:hint="eastAsia" w:eastAsia="仿宋_GB2312"/>
          <w:bCs/>
          <w:color w:val="000000"/>
          <w:sz w:val="32"/>
          <w:szCs w:val="32"/>
        </w:rPr>
        <w:t>产品包装验证可依据有关标准进行（</w:t>
      </w:r>
      <w:r>
        <w:rPr>
          <w:rFonts w:hint="eastAsia" w:eastAsia="仿宋_GB2312"/>
          <w:bCs/>
          <w:sz w:val="32"/>
          <w:szCs w:val="32"/>
        </w:rPr>
        <w:t>可参考YY/T 0681、GB/T 19633、GB/T 4857等系列标准</w:t>
      </w:r>
      <w:r>
        <w:rPr>
          <w:rFonts w:hint="eastAsia" w:eastAsia="仿宋_GB2312"/>
          <w:bCs/>
          <w:color w:val="000000"/>
          <w:sz w:val="32"/>
          <w:szCs w:val="32"/>
        </w:rPr>
        <w:t>），提交产品的包装验证报告。包装材料的选择应考虑以下因素：包装材料的物理化学性能；包装材料所能提供的物理、化学和微生物屏障保护；包装材料与成型和密封过程的适应性；包装材料与产品的适应性；包装材料与标签系统的适应性；包装材料与贮存运输过程的适合性；包装有效期。包装验证的资料内容应与包装说明中给出的信息相符。</w:t>
      </w:r>
    </w:p>
    <w:p w14:paraId="5090E2E5">
      <w:pPr>
        <w:spacing w:line="560" w:lineRule="exact"/>
        <w:ind w:firstLine="640" w:firstLineChars="200"/>
        <w:rPr>
          <w:rFonts w:eastAsia="仿宋_GB2312"/>
          <w:bCs/>
          <w:sz w:val="32"/>
          <w:szCs w:val="32"/>
        </w:rPr>
      </w:pPr>
      <w:r>
        <w:rPr>
          <w:rFonts w:eastAsia="仿宋_GB2312"/>
          <w:bCs/>
          <w:color w:val="000000"/>
          <w:sz w:val="32"/>
          <w:szCs w:val="32"/>
        </w:rPr>
        <w:t>提供运输稳定性研究资料，证明在生产企业规定的运输条件下，运输过程中的环境条件（例如：震动、振动、温度和湿度的波动）不会对医疗器械的特性和性能，包括完整性和清洁度，造成不利影响。</w:t>
      </w:r>
    </w:p>
    <w:p w14:paraId="6B7442CD">
      <w:pPr>
        <w:spacing w:line="520" w:lineRule="exact"/>
        <w:ind w:left="160" w:leftChars="76" w:firstLine="480" w:firstLineChars="150"/>
        <w:rPr>
          <w:rFonts w:eastAsia="仿宋_GB2312"/>
          <w:color w:val="000000"/>
          <w:sz w:val="32"/>
          <w:szCs w:val="32"/>
        </w:rPr>
      </w:pPr>
      <w:r>
        <w:rPr>
          <w:rFonts w:hint="eastAsia" w:eastAsia="仿宋_GB2312"/>
          <w:color w:val="000000"/>
          <w:sz w:val="32"/>
          <w:szCs w:val="32"/>
          <w:lang w:val="en-US" w:eastAsia="zh-CN"/>
        </w:rPr>
        <w:t>8</w:t>
      </w:r>
      <w:r>
        <w:rPr>
          <w:rFonts w:eastAsia="仿宋_GB2312"/>
          <w:color w:val="000000"/>
          <w:sz w:val="32"/>
          <w:szCs w:val="32"/>
        </w:rPr>
        <w:t>.</w:t>
      </w:r>
      <w:r>
        <w:rPr>
          <w:rFonts w:hint="eastAsia" w:eastAsia="仿宋_GB2312"/>
          <w:color w:val="000000"/>
          <w:sz w:val="32"/>
          <w:szCs w:val="32"/>
        </w:rPr>
        <w:t>其他资料</w:t>
      </w:r>
    </w:p>
    <w:p w14:paraId="0DA9C1BD">
      <w:pPr>
        <w:spacing w:line="520" w:lineRule="exact"/>
        <w:ind w:firstLine="640" w:firstLineChars="200"/>
        <w:rPr>
          <w:rFonts w:eastAsia="仿宋_GB2312"/>
          <w:color w:val="000000"/>
          <w:sz w:val="32"/>
          <w:szCs w:val="32"/>
        </w:rPr>
      </w:pPr>
      <w:r>
        <w:rPr>
          <w:rFonts w:hint="eastAsia" w:eastAsia="仿宋_GB2312" w:cs="仿宋_GB2312"/>
          <w:snapToGrid w:val="0"/>
          <w:sz w:val="32"/>
          <w:szCs w:val="32"/>
          <w:lang w:eastAsia="zh-CN"/>
        </w:rPr>
        <w:t>先端帽</w:t>
      </w:r>
      <w:r>
        <w:rPr>
          <w:rFonts w:hint="eastAsia" w:eastAsia="仿宋_GB2312" w:cs="仿宋_GB2312"/>
          <w:snapToGrid w:val="0"/>
          <w:sz w:val="32"/>
          <w:szCs w:val="32"/>
        </w:rPr>
        <w:t>已列入《免于进行临床评价医疗器械目录》（以下简称《目录》），对于符合《目录》中分类编码为06-16-0</w:t>
      </w:r>
      <w:r>
        <w:rPr>
          <w:rFonts w:hint="eastAsia" w:eastAsia="仿宋_GB2312" w:cs="仿宋_GB2312"/>
          <w:snapToGrid w:val="0"/>
          <w:sz w:val="32"/>
          <w:szCs w:val="32"/>
          <w:lang w:val="en-US" w:eastAsia="zh-CN"/>
        </w:rPr>
        <w:t>5</w:t>
      </w:r>
      <w:r>
        <w:rPr>
          <w:rFonts w:hint="eastAsia" w:eastAsia="仿宋_GB2312" w:cs="仿宋_GB2312"/>
          <w:snapToGrid w:val="0"/>
          <w:sz w:val="32"/>
          <w:szCs w:val="32"/>
        </w:rPr>
        <w:t>的，注册申请人需提交申报产品相关信息与《目录》所述内容的对比资料以及申报产品与已获准境内注册的《目录》中医疗器械的对比表，具体提交资料的要求可参照《列入免于临床评价医疗器械目录产品对比说明技术指导原则》。</w:t>
      </w:r>
    </w:p>
    <w:p w14:paraId="71441D3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1"/>
        <w:rPr>
          <w:rFonts w:hint="eastAsia" w:eastAsia="楷体_GB2312"/>
          <w:bCs/>
          <w:iCs/>
          <w:sz w:val="32"/>
          <w:szCs w:val="28"/>
        </w:rPr>
      </w:pPr>
      <w:r>
        <w:rPr>
          <w:rFonts w:hint="eastAsia" w:eastAsia="楷体_GB2312"/>
          <w:bCs/>
          <w:iCs/>
          <w:sz w:val="32"/>
          <w:szCs w:val="28"/>
        </w:rPr>
        <w:t>（</w:t>
      </w:r>
      <w:r>
        <w:rPr>
          <w:rFonts w:hint="eastAsia" w:eastAsia="楷体_GB2312"/>
          <w:bCs/>
          <w:iCs/>
          <w:sz w:val="32"/>
          <w:szCs w:val="28"/>
          <w:lang w:eastAsia="zh-CN"/>
        </w:rPr>
        <w:t>四</w:t>
      </w:r>
      <w:r>
        <w:rPr>
          <w:rFonts w:hint="eastAsia" w:eastAsia="楷体_GB2312"/>
          <w:bCs/>
          <w:iCs/>
          <w:sz w:val="32"/>
          <w:szCs w:val="28"/>
        </w:rPr>
        <w:t>）临床评价资料</w:t>
      </w:r>
    </w:p>
    <w:p w14:paraId="76EAFD18">
      <w:pPr>
        <w:spacing w:line="520" w:lineRule="exact"/>
        <w:ind w:firstLine="640" w:firstLineChars="200"/>
        <w:rPr>
          <w:rFonts w:hint="eastAsia" w:ascii="Times New Roman" w:hAnsi="Times New Roman" w:eastAsia="仿宋_GB2312" w:cs="仿宋_GB2312"/>
          <w:snapToGrid w:val="0"/>
          <w:kern w:val="2"/>
          <w:sz w:val="32"/>
          <w:szCs w:val="32"/>
          <w:lang w:val="en-US" w:eastAsia="zh-CN" w:bidi="ar-SA"/>
        </w:rPr>
      </w:pPr>
      <w:r>
        <w:rPr>
          <w:rFonts w:hint="eastAsia" w:ascii="Times New Roman" w:hAnsi="Times New Roman" w:eastAsia="仿宋_GB2312" w:cs="仿宋_GB2312"/>
          <w:snapToGrid w:val="0"/>
          <w:kern w:val="2"/>
          <w:sz w:val="32"/>
          <w:szCs w:val="32"/>
          <w:lang w:val="en-US" w:eastAsia="zh-CN" w:bidi="ar-SA"/>
        </w:rPr>
        <w:t>该产品列入《免于进行临床评价医疗器械目录》，申请人无需提交临床评价资料。</w:t>
      </w:r>
    </w:p>
    <w:p w14:paraId="47E50DF1">
      <w:pPr>
        <w:spacing w:line="520" w:lineRule="exact"/>
        <w:ind w:firstLine="640" w:firstLineChars="200"/>
        <w:rPr>
          <w:rFonts w:hint="eastAsia" w:ascii="Times New Roman" w:hAnsi="Times New Roman" w:eastAsia="仿宋_GB2312" w:cs="仿宋_GB2312"/>
          <w:snapToGrid w:val="0"/>
          <w:kern w:val="2"/>
          <w:sz w:val="32"/>
          <w:szCs w:val="32"/>
          <w:lang w:val="en-US" w:eastAsia="zh-CN" w:bidi="ar-SA"/>
        </w:rPr>
      </w:pPr>
      <w:r>
        <w:rPr>
          <w:rFonts w:hint="eastAsia" w:ascii="Times New Roman" w:hAnsi="Times New Roman" w:eastAsia="仿宋_GB2312" w:cs="仿宋_GB2312"/>
          <w:snapToGrid w:val="0"/>
          <w:kern w:val="2"/>
          <w:sz w:val="32"/>
          <w:szCs w:val="32"/>
          <w:lang w:val="en-US" w:eastAsia="zh-CN" w:bidi="ar-SA"/>
        </w:rPr>
        <w:t>若该产品不在《免于进行临床评价医疗器械目录》的产品描述范围之内，或不能证明与已获准境内注册的产品具有基本等同性，应按《医疗器械临床评价技术指导原则》提交临床评价资料。</w:t>
      </w:r>
    </w:p>
    <w:p w14:paraId="074DD919">
      <w:pPr>
        <w:spacing w:line="520" w:lineRule="exact"/>
        <w:ind w:firstLine="640" w:firstLineChars="200"/>
        <w:outlineLvl w:val="1"/>
        <w:rPr>
          <w:rFonts w:eastAsia="楷体_GB2312"/>
          <w:bCs/>
          <w:iCs/>
          <w:sz w:val="32"/>
          <w:szCs w:val="28"/>
        </w:rPr>
      </w:pPr>
      <w:r>
        <w:rPr>
          <w:rFonts w:hint="eastAsia" w:eastAsia="楷体_GB2312"/>
          <w:bCs/>
          <w:iCs/>
          <w:sz w:val="32"/>
          <w:szCs w:val="28"/>
        </w:rPr>
        <w:t>（</w:t>
      </w:r>
      <w:r>
        <w:rPr>
          <w:rFonts w:hint="eastAsia" w:eastAsia="楷体_GB2312"/>
          <w:bCs/>
          <w:iCs/>
          <w:sz w:val="32"/>
          <w:szCs w:val="28"/>
          <w:lang w:eastAsia="zh-CN"/>
        </w:rPr>
        <w:t>五</w:t>
      </w:r>
      <w:r>
        <w:rPr>
          <w:rFonts w:hint="eastAsia" w:eastAsia="楷体_GB2312"/>
          <w:bCs/>
          <w:iCs/>
          <w:sz w:val="32"/>
          <w:szCs w:val="28"/>
        </w:rPr>
        <w:t>）产品说明书和标签样稿</w:t>
      </w:r>
    </w:p>
    <w:p w14:paraId="7E5717AB">
      <w:pPr>
        <w:snapToGrid w:val="0"/>
        <w:spacing w:line="520" w:lineRule="exact"/>
        <w:ind w:firstLine="640" w:firstLineChars="200"/>
        <w:rPr>
          <w:rFonts w:eastAsia="仿宋_GB2312"/>
          <w:sz w:val="32"/>
          <w:szCs w:val="28"/>
        </w:rPr>
      </w:pPr>
      <w:r>
        <w:rPr>
          <w:rFonts w:eastAsia="仿宋_GB2312"/>
          <w:sz w:val="32"/>
          <w:szCs w:val="28"/>
        </w:rPr>
        <w:t>产品说明书和标签的内容应符合《医疗器械说明书和标签管理规定》、</w:t>
      </w:r>
      <w:r>
        <w:rPr>
          <w:rFonts w:eastAsia="仿宋_GB2312"/>
          <w:kern w:val="0"/>
          <w:sz w:val="32"/>
          <w:szCs w:val="28"/>
        </w:rPr>
        <w:t>YY/T 0171</w:t>
      </w:r>
      <w:r>
        <w:rPr>
          <w:rFonts w:eastAsia="仿宋_GB2312"/>
          <w:sz w:val="32"/>
          <w:szCs w:val="28"/>
        </w:rPr>
        <w:t>和YY/T 0466.1的要求。</w:t>
      </w:r>
    </w:p>
    <w:p w14:paraId="4B0920C8">
      <w:pPr>
        <w:snapToGrid w:val="0"/>
        <w:spacing w:line="520" w:lineRule="exact"/>
        <w:ind w:firstLine="640" w:firstLineChars="200"/>
        <w:rPr>
          <w:rFonts w:eastAsia="仿宋_GB2312"/>
          <w:sz w:val="28"/>
          <w:szCs w:val="28"/>
        </w:rPr>
      </w:pPr>
      <w:r>
        <w:rPr>
          <w:rFonts w:eastAsia="仿宋_GB2312"/>
          <w:sz w:val="32"/>
          <w:szCs w:val="28"/>
        </w:rPr>
        <w:t>说明</w:t>
      </w:r>
      <w:r>
        <w:rPr>
          <w:rFonts w:hint="eastAsia" w:eastAsia="仿宋_GB2312"/>
          <w:sz w:val="32"/>
          <w:szCs w:val="28"/>
        </w:rPr>
        <w:t>书</w:t>
      </w:r>
      <w:r>
        <w:rPr>
          <w:rFonts w:eastAsia="仿宋_GB2312"/>
          <w:sz w:val="32"/>
          <w:szCs w:val="28"/>
        </w:rPr>
        <w:t>中应明确产品的性能结构及组成、适用范围、禁忌</w:t>
      </w:r>
      <w:r>
        <w:rPr>
          <w:rFonts w:hint="eastAsia" w:eastAsia="仿宋_GB2312"/>
          <w:sz w:val="32"/>
          <w:szCs w:val="28"/>
        </w:rPr>
        <w:t>证</w:t>
      </w:r>
      <w:r>
        <w:rPr>
          <w:rFonts w:eastAsia="仿宋_GB2312"/>
          <w:sz w:val="32"/>
          <w:szCs w:val="28"/>
        </w:rPr>
        <w:t>、注意事项、警示性及提示性说明。</w:t>
      </w:r>
    </w:p>
    <w:p w14:paraId="72BB5CE7">
      <w:pPr>
        <w:snapToGrid w:val="0"/>
        <w:spacing w:line="520" w:lineRule="exact"/>
        <w:ind w:firstLine="640" w:firstLineChars="200"/>
        <w:rPr>
          <w:rFonts w:eastAsia="仿宋_GB2312"/>
          <w:sz w:val="32"/>
          <w:szCs w:val="28"/>
        </w:rPr>
      </w:pPr>
      <w:r>
        <w:rPr>
          <w:rFonts w:hint="eastAsia" w:eastAsia="仿宋_GB2312"/>
          <w:sz w:val="32"/>
          <w:szCs w:val="32"/>
        </w:rPr>
        <w:t>产品说明书应包括以下内容（不限于此）：</w:t>
      </w:r>
    </w:p>
    <w:p w14:paraId="727C4D0B">
      <w:pPr>
        <w:snapToGrid w:val="0"/>
        <w:spacing w:line="520" w:lineRule="exact"/>
        <w:ind w:firstLine="640" w:firstLineChars="200"/>
        <w:rPr>
          <w:rFonts w:eastAsia="仿宋_GB2312"/>
          <w:kern w:val="0"/>
          <w:sz w:val="32"/>
          <w:szCs w:val="28"/>
        </w:rPr>
      </w:pPr>
      <w:r>
        <w:rPr>
          <w:rFonts w:hint="eastAsia" w:eastAsia="仿宋_GB2312"/>
          <w:kern w:val="0"/>
          <w:sz w:val="32"/>
          <w:szCs w:val="28"/>
          <w:lang w:val="en-US" w:eastAsia="zh-CN"/>
        </w:rPr>
        <w:t>1.</w:t>
      </w:r>
      <w:r>
        <w:rPr>
          <w:rFonts w:eastAsia="仿宋_GB2312"/>
          <w:kern w:val="0"/>
          <w:sz w:val="32"/>
          <w:szCs w:val="28"/>
        </w:rPr>
        <w:t>产品规格选择；</w:t>
      </w:r>
    </w:p>
    <w:p w14:paraId="40F3E465">
      <w:pPr>
        <w:snapToGrid w:val="0"/>
        <w:spacing w:line="520" w:lineRule="exact"/>
        <w:ind w:firstLine="640" w:firstLineChars="200"/>
        <w:rPr>
          <w:rFonts w:hint="eastAsia" w:eastAsia="仿宋_GB2312"/>
          <w:kern w:val="0"/>
          <w:sz w:val="32"/>
          <w:szCs w:val="28"/>
          <w:lang w:val="en-US" w:eastAsia="zh-CN"/>
        </w:rPr>
      </w:pPr>
      <w:r>
        <w:rPr>
          <w:rFonts w:hint="eastAsia" w:eastAsia="仿宋_GB2312"/>
          <w:kern w:val="0"/>
          <w:sz w:val="32"/>
          <w:szCs w:val="28"/>
          <w:lang w:val="en-US" w:eastAsia="zh-CN"/>
        </w:rPr>
        <w:t>2.产品配合内镜直径；</w:t>
      </w:r>
    </w:p>
    <w:p w14:paraId="3DD22B97">
      <w:pPr>
        <w:snapToGrid w:val="0"/>
        <w:spacing w:line="520" w:lineRule="exact"/>
        <w:ind w:firstLine="640" w:firstLineChars="200"/>
        <w:rPr>
          <w:rFonts w:hint="default" w:eastAsia="仿宋_GB2312"/>
          <w:kern w:val="0"/>
          <w:sz w:val="32"/>
          <w:szCs w:val="28"/>
          <w:lang w:val="en-US" w:eastAsia="zh-CN"/>
        </w:rPr>
      </w:pPr>
      <w:r>
        <w:rPr>
          <w:rFonts w:hint="eastAsia" w:eastAsia="仿宋_GB2312"/>
          <w:kern w:val="0"/>
          <w:sz w:val="32"/>
          <w:szCs w:val="28"/>
        </w:rPr>
        <w:t>3.</w:t>
      </w:r>
      <w:r>
        <w:rPr>
          <w:rFonts w:eastAsia="仿宋_GB2312"/>
          <w:kern w:val="0"/>
          <w:sz w:val="32"/>
          <w:szCs w:val="28"/>
        </w:rPr>
        <w:t>开启包装的注意事项；</w:t>
      </w:r>
    </w:p>
    <w:p w14:paraId="3133DCAD">
      <w:pPr>
        <w:snapToGrid w:val="0"/>
        <w:spacing w:line="520" w:lineRule="exact"/>
        <w:ind w:firstLine="640" w:firstLineChars="200"/>
        <w:rPr>
          <w:rFonts w:hint="eastAsia" w:eastAsia="仿宋_GB2312"/>
          <w:kern w:val="0"/>
          <w:sz w:val="32"/>
          <w:szCs w:val="28"/>
        </w:rPr>
      </w:pPr>
      <w:r>
        <w:rPr>
          <w:rFonts w:hint="eastAsia" w:eastAsia="仿宋_GB2312"/>
          <w:kern w:val="0"/>
          <w:sz w:val="32"/>
          <w:szCs w:val="28"/>
        </w:rPr>
        <w:t>4.配合使用器械的要求；</w:t>
      </w:r>
    </w:p>
    <w:p w14:paraId="1A2108C6">
      <w:pPr>
        <w:snapToGrid w:val="0"/>
        <w:spacing w:line="520" w:lineRule="exact"/>
        <w:ind w:firstLine="640" w:firstLineChars="200"/>
        <w:rPr>
          <w:rFonts w:hint="default" w:eastAsia="仿宋_GB2312"/>
          <w:kern w:val="0"/>
          <w:sz w:val="32"/>
          <w:szCs w:val="28"/>
          <w:lang w:val="en-US" w:eastAsia="zh-CN"/>
        </w:rPr>
      </w:pPr>
      <w:r>
        <w:rPr>
          <w:rFonts w:hint="eastAsia" w:eastAsia="仿宋_GB2312"/>
          <w:kern w:val="0"/>
          <w:sz w:val="32"/>
          <w:szCs w:val="28"/>
          <w:lang w:val="en-US" w:eastAsia="zh-CN"/>
        </w:rPr>
        <w:t>5.使用前的准备工作，如安装要求；</w:t>
      </w:r>
    </w:p>
    <w:p w14:paraId="7E005076">
      <w:pPr>
        <w:snapToGrid w:val="0"/>
        <w:spacing w:line="520" w:lineRule="exact"/>
        <w:ind w:firstLine="640" w:firstLineChars="200"/>
        <w:rPr>
          <w:rFonts w:eastAsia="仿宋_GB2312"/>
          <w:kern w:val="0"/>
          <w:sz w:val="32"/>
          <w:szCs w:val="28"/>
        </w:rPr>
      </w:pPr>
      <w:r>
        <w:rPr>
          <w:rFonts w:hint="eastAsia" w:eastAsia="仿宋_GB2312"/>
          <w:kern w:val="0"/>
          <w:sz w:val="32"/>
          <w:szCs w:val="28"/>
          <w:lang w:val="en-US" w:eastAsia="zh-CN"/>
        </w:rPr>
        <w:t>6</w:t>
      </w:r>
      <w:r>
        <w:rPr>
          <w:rFonts w:hint="eastAsia" w:eastAsia="仿宋_GB2312"/>
          <w:kern w:val="0"/>
          <w:sz w:val="32"/>
          <w:szCs w:val="28"/>
        </w:rPr>
        <w:t>.</w:t>
      </w:r>
      <w:r>
        <w:rPr>
          <w:rFonts w:eastAsia="仿宋_GB2312"/>
          <w:kern w:val="0"/>
          <w:sz w:val="32"/>
          <w:szCs w:val="28"/>
        </w:rPr>
        <w:t>使用中的注意事项</w:t>
      </w:r>
      <w:r>
        <w:rPr>
          <w:rFonts w:hint="eastAsia" w:eastAsia="仿宋_GB2312"/>
          <w:kern w:val="0"/>
          <w:sz w:val="32"/>
          <w:szCs w:val="28"/>
        </w:rPr>
        <w:t>，如建议</w:t>
      </w:r>
      <w:r>
        <w:rPr>
          <w:rFonts w:hint="eastAsia" w:eastAsia="仿宋_GB2312"/>
          <w:kern w:val="0"/>
          <w:sz w:val="32"/>
          <w:szCs w:val="28"/>
          <w:lang w:val="en-US" w:eastAsia="zh-CN"/>
        </w:rPr>
        <w:t>本器械随</w:t>
      </w:r>
      <w:r>
        <w:rPr>
          <w:rFonts w:hint="eastAsia" w:eastAsia="仿宋_GB2312"/>
          <w:kern w:val="0"/>
          <w:sz w:val="32"/>
          <w:szCs w:val="28"/>
        </w:rPr>
        <w:t>内窥镜</w:t>
      </w:r>
      <w:r>
        <w:rPr>
          <w:rFonts w:hint="eastAsia" w:eastAsia="仿宋_GB2312"/>
          <w:kern w:val="0"/>
          <w:sz w:val="32"/>
          <w:szCs w:val="28"/>
          <w:lang w:val="en-US" w:eastAsia="zh-CN"/>
        </w:rPr>
        <w:t>缓慢、小心进入目标部位</w:t>
      </w:r>
      <w:r>
        <w:rPr>
          <w:rFonts w:hint="eastAsia" w:eastAsia="仿宋_GB2312"/>
          <w:kern w:val="0"/>
          <w:sz w:val="32"/>
          <w:szCs w:val="28"/>
        </w:rPr>
        <w:t>、取出时请勿暴力牵拉</w:t>
      </w:r>
      <w:r>
        <w:rPr>
          <w:rFonts w:hint="eastAsia" w:eastAsia="仿宋_GB2312"/>
          <w:kern w:val="0"/>
          <w:sz w:val="32"/>
          <w:szCs w:val="28"/>
          <w:lang w:eastAsia="zh-CN"/>
        </w:rPr>
        <w:t>、</w:t>
      </w:r>
      <w:r>
        <w:rPr>
          <w:rFonts w:hint="eastAsia" w:eastAsia="仿宋_GB2312"/>
          <w:kern w:val="0"/>
          <w:sz w:val="32"/>
          <w:szCs w:val="28"/>
          <w:lang w:val="en-US" w:eastAsia="zh-CN"/>
        </w:rPr>
        <w:t>先端帽脱落后应急处理</w:t>
      </w:r>
      <w:r>
        <w:rPr>
          <w:rFonts w:hint="eastAsia" w:eastAsia="仿宋_GB2312"/>
          <w:kern w:val="0"/>
          <w:sz w:val="32"/>
          <w:szCs w:val="28"/>
        </w:rPr>
        <w:t>等</w:t>
      </w:r>
      <w:r>
        <w:rPr>
          <w:rFonts w:eastAsia="仿宋_GB2312"/>
          <w:kern w:val="0"/>
          <w:sz w:val="32"/>
          <w:szCs w:val="28"/>
        </w:rPr>
        <w:t>；</w:t>
      </w:r>
    </w:p>
    <w:p w14:paraId="2AB4B793">
      <w:pPr>
        <w:snapToGrid w:val="0"/>
        <w:spacing w:line="520" w:lineRule="exact"/>
        <w:ind w:firstLine="640" w:firstLineChars="200"/>
        <w:rPr>
          <w:rFonts w:eastAsia="仿宋_GB2312"/>
          <w:kern w:val="0"/>
          <w:sz w:val="32"/>
          <w:szCs w:val="28"/>
        </w:rPr>
      </w:pPr>
      <w:r>
        <w:rPr>
          <w:rFonts w:hint="eastAsia" w:eastAsia="仿宋_GB2312"/>
          <w:kern w:val="0"/>
          <w:sz w:val="32"/>
          <w:szCs w:val="28"/>
          <w:lang w:val="en-US" w:eastAsia="zh-CN"/>
        </w:rPr>
        <w:t>7</w:t>
      </w:r>
      <w:r>
        <w:rPr>
          <w:rFonts w:hint="eastAsia" w:eastAsia="仿宋_GB2312"/>
          <w:kern w:val="0"/>
          <w:sz w:val="32"/>
          <w:szCs w:val="28"/>
        </w:rPr>
        <w:t>.</w:t>
      </w:r>
      <w:r>
        <w:rPr>
          <w:rFonts w:eastAsia="仿宋_GB2312"/>
          <w:kern w:val="0"/>
          <w:sz w:val="32"/>
          <w:szCs w:val="28"/>
        </w:rPr>
        <w:t>依照使用方法操作</w:t>
      </w:r>
      <w:r>
        <w:rPr>
          <w:rFonts w:hint="eastAsia" w:eastAsia="仿宋_GB2312"/>
          <w:kern w:val="0"/>
          <w:sz w:val="32"/>
          <w:szCs w:val="28"/>
        </w:rPr>
        <w:t>；</w:t>
      </w:r>
    </w:p>
    <w:p w14:paraId="5D4FF242">
      <w:pPr>
        <w:snapToGrid w:val="0"/>
        <w:spacing w:line="520" w:lineRule="exact"/>
        <w:ind w:firstLine="640" w:firstLineChars="200"/>
        <w:rPr>
          <w:rFonts w:eastAsia="仿宋_GB2312"/>
          <w:kern w:val="0"/>
          <w:sz w:val="32"/>
          <w:szCs w:val="28"/>
        </w:rPr>
      </w:pPr>
      <w:bookmarkStart w:id="8" w:name="OLE_LINK32"/>
      <w:r>
        <w:rPr>
          <w:rFonts w:hint="eastAsia" w:eastAsia="仿宋_GB2312"/>
          <w:kern w:val="0"/>
          <w:sz w:val="32"/>
          <w:szCs w:val="28"/>
          <w:lang w:val="en-US" w:eastAsia="zh-CN"/>
        </w:rPr>
        <w:t>8</w:t>
      </w:r>
      <w:r>
        <w:rPr>
          <w:rFonts w:hint="eastAsia" w:eastAsia="仿宋_GB2312"/>
          <w:kern w:val="0"/>
          <w:sz w:val="32"/>
          <w:szCs w:val="28"/>
        </w:rPr>
        <w:t>.</w:t>
      </w:r>
      <w:r>
        <w:rPr>
          <w:rFonts w:eastAsia="仿宋_GB2312"/>
          <w:kern w:val="0"/>
          <w:sz w:val="32"/>
          <w:szCs w:val="28"/>
        </w:rPr>
        <w:t>产品为一次性使用医疗器械，不得重复使用；</w:t>
      </w:r>
    </w:p>
    <w:p w14:paraId="79932D96">
      <w:pPr>
        <w:snapToGrid w:val="0"/>
        <w:spacing w:line="520" w:lineRule="exact"/>
        <w:ind w:firstLine="640" w:firstLineChars="200"/>
        <w:rPr>
          <w:rFonts w:eastAsia="仿宋_GB2312"/>
          <w:kern w:val="0"/>
          <w:sz w:val="32"/>
          <w:szCs w:val="28"/>
        </w:rPr>
      </w:pPr>
      <w:r>
        <w:rPr>
          <w:rFonts w:hint="eastAsia" w:eastAsia="仿宋_GB2312"/>
          <w:kern w:val="0"/>
          <w:sz w:val="32"/>
          <w:szCs w:val="28"/>
          <w:lang w:val="en-US" w:eastAsia="zh-CN"/>
        </w:rPr>
        <w:t>9</w:t>
      </w:r>
      <w:r>
        <w:rPr>
          <w:rFonts w:hint="eastAsia" w:eastAsia="仿宋_GB2312"/>
          <w:kern w:val="0"/>
          <w:sz w:val="32"/>
          <w:szCs w:val="28"/>
        </w:rPr>
        <w:t>.</w:t>
      </w:r>
      <w:r>
        <w:rPr>
          <w:rFonts w:eastAsia="仿宋_GB2312"/>
          <w:kern w:val="0"/>
          <w:sz w:val="32"/>
          <w:szCs w:val="28"/>
        </w:rPr>
        <w:t>灭菌内包装如有破损，严禁使用；</w:t>
      </w:r>
    </w:p>
    <w:p w14:paraId="6D7A31D7">
      <w:pPr>
        <w:snapToGrid w:val="0"/>
        <w:spacing w:line="520" w:lineRule="exact"/>
        <w:ind w:firstLine="640" w:firstLineChars="200"/>
        <w:rPr>
          <w:rFonts w:hint="eastAsia" w:eastAsia="仿宋_GB2312"/>
          <w:kern w:val="0"/>
          <w:sz w:val="32"/>
          <w:szCs w:val="28"/>
          <w:lang w:eastAsia="zh-CN"/>
        </w:rPr>
      </w:pPr>
      <w:r>
        <w:rPr>
          <w:rFonts w:hint="eastAsia" w:eastAsia="仿宋_GB2312"/>
          <w:kern w:val="0"/>
          <w:sz w:val="32"/>
          <w:szCs w:val="28"/>
          <w:lang w:val="en-US" w:eastAsia="zh-CN"/>
        </w:rPr>
        <w:t>10</w:t>
      </w:r>
      <w:r>
        <w:rPr>
          <w:rFonts w:hint="eastAsia" w:eastAsia="仿宋_GB2312"/>
          <w:kern w:val="0"/>
          <w:sz w:val="32"/>
          <w:szCs w:val="28"/>
        </w:rPr>
        <w:t>.</w:t>
      </w:r>
      <w:r>
        <w:rPr>
          <w:rFonts w:eastAsia="仿宋_GB2312"/>
          <w:kern w:val="0"/>
          <w:sz w:val="32"/>
          <w:szCs w:val="28"/>
        </w:rPr>
        <w:t>超过</w:t>
      </w:r>
      <w:r>
        <w:rPr>
          <w:rFonts w:hint="eastAsia" w:eastAsia="仿宋_GB2312"/>
          <w:kern w:val="0"/>
          <w:sz w:val="32"/>
          <w:szCs w:val="28"/>
        </w:rPr>
        <w:t>使用期限</w:t>
      </w:r>
      <w:r>
        <w:rPr>
          <w:rFonts w:eastAsia="仿宋_GB2312"/>
          <w:kern w:val="0"/>
          <w:sz w:val="32"/>
          <w:szCs w:val="28"/>
        </w:rPr>
        <w:t>的产品严禁使用</w:t>
      </w:r>
      <w:r>
        <w:rPr>
          <w:rFonts w:hint="eastAsia" w:eastAsia="仿宋_GB2312"/>
          <w:kern w:val="0"/>
          <w:sz w:val="32"/>
          <w:szCs w:val="28"/>
          <w:lang w:eastAsia="zh-CN"/>
        </w:rPr>
        <w:t>。</w:t>
      </w:r>
    </w:p>
    <w:bookmarkEnd w:id="8"/>
    <w:p w14:paraId="21B90743">
      <w:pPr>
        <w:spacing w:line="520" w:lineRule="exact"/>
        <w:ind w:firstLine="640" w:firstLineChars="200"/>
        <w:outlineLvl w:val="1"/>
        <w:rPr>
          <w:rFonts w:eastAsia="楷体_GB2312"/>
          <w:bCs/>
          <w:iCs/>
          <w:sz w:val="32"/>
          <w:szCs w:val="28"/>
        </w:rPr>
      </w:pPr>
      <w:r>
        <w:rPr>
          <w:rFonts w:hint="eastAsia" w:eastAsia="楷体_GB2312"/>
          <w:bCs/>
          <w:iCs/>
          <w:sz w:val="32"/>
          <w:szCs w:val="28"/>
        </w:rPr>
        <w:t>（</w:t>
      </w:r>
      <w:r>
        <w:rPr>
          <w:rFonts w:hint="eastAsia" w:eastAsia="楷体_GB2312"/>
          <w:bCs/>
          <w:iCs/>
          <w:sz w:val="32"/>
          <w:szCs w:val="28"/>
          <w:lang w:eastAsia="zh-CN"/>
        </w:rPr>
        <w:t>六</w:t>
      </w:r>
      <w:r>
        <w:rPr>
          <w:rFonts w:hint="eastAsia" w:eastAsia="楷体_GB2312"/>
          <w:bCs/>
          <w:iCs/>
          <w:sz w:val="32"/>
          <w:szCs w:val="28"/>
        </w:rPr>
        <w:t>）质量管理体系文件</w:t>
      </w:r>
    </w:p>
    <w:p w14:paraId="5F160CE8">
      <w:pPr>
        <w:spacing w:line="520" w:lineRule="exact"/>
        <w:ind w:firstLine="640" w:firstLineChars="200"/>
        <w:rPr>
          <w:rFonts w:eastAsia="仿宋_GB2312"/>
          <w:sz w:val="32"/>
          <w:szCs w:val="32"/>
        </w:rPr>
      </w:pPr>
      <w:r>
        <w:rPr>
          <w:rFonts w:hint="eastAsia" w:eastAsia="仿宋_GB2312"/>
          <w:sz w:val="32"/>
          <w:szCs w:val="32"/>
        </w:rPr>
        <w:t>质量管理体系文件应符合国家药品监督管理局《关于公布医疗器械注册申报资料要求和批准证明文件格式的公告》中对质量管理体系文件的要求。</w:t>
      </w:r>
    </w:p>
    <w:p w14:paraId="570453C2">
      <w:pPr>
        <w:spacing w:line="520" w:lineRule="exact"/>
        <w:ind w:left="640" w:right="-67" w:rightChars="-32"/>
        <w:outlineLvl w:val="0"/>
        <w:rPr>
          <w:rFonts w:eastAsia="黑体"/>
          <w:sz w:val="32"/>
          <w:szCs w:val="32"/>
        </w:rPr>
      </w:pPr>
      <w:r>
        <w:rPr>
          <w:rFonts w:hint="eastAsia" w:eastAsia="黑体"/>
          <w:sz w:val="32"/>
          <w:szCs w:val="32"/>
        </w:rPr>
        <w:t>三、参考文献</w:t>
      </w:r>
    </w:p>
    <w:p w14:paraId="240C4CED">
      <w:pPr>
        <w:spacing w:line="520" w:lineRule="exact"/>
        <w:ind w:right="-67" w:rightChars="-32" w:firstLine="640" w:firstLineChars="200"/>
        <w:rPr>
          <w:rFonts w:eastAsia="仿宋_GB2312"/>
          <w:sz w:val="32"/>
          <w:szCs w:val="32"/>
        </w:rPr>
      </w:pPr>
      <w:r>
        <w:rPr>
          <w:rFonts w:hint="eastAsia" w:eastAsia="仿宋_GB2312"/>
          <w:sz w:val="32"/>
          <w:szCs w:val="32"/>
        </w:rPr>
        <w:t>[1]</w:t>
      </w:r>
      <w:r>
        <w:rPr>
          <w:rFonts w:eastAsia="仿宋_GB2312"/>
          <w:sz w:val="32"/>
          <w:szCs w:val="32"/>
          <w:lang w:val="en"/>
        </w:rPr>
        <w:t>中华人民共和国国务院</w:t>
      </w:r>
      <w:r>
        <w:rPr>
          <w:rFonts w:hint="eastAsia" w:eastAsia="仿宋_GB2312"/>
          <w:sz w:val="32"/>
          <w:szCs w:val="32"/>
          <w:lang w:val="en"/>
        </w:rPr>
        <w:t>.</w:t>
      </w:r>
      <w:r>
        <w:rPr>
          <w:rFonts w:eastAsia="仿宋_GB2312"/>
          <w:sz w:val="32"/>
          <w:szCs w:val="32"/>
        </w:rPr>
        <w:t>医疗器械监督管理条例</w:t>
      </w:r>
      <w:r>
        <w:rPr>
          <w:rFonts w:hint="eastAsia" w:eastAsia="仿宋_GB2312"/>
          <w:sz w:val="32"/>
          <w:szCs w:val="32"/>
        </w:rPr>
        <w:t>:</w:t>
      </w:r>
      <w:r>
        <w:rPr>
          <w:rFonts w:eastAsia="仿宋_GB2312"/>
          <w:sz w:val="32"/>
          <w:szCs w:val="32"/>
          <w:lang w:val="en"/>
        </w:rPr>
        <w:t>中华人民共和国国务院令第739号</w:t>
      </w:r>
      <w:r>
        <w:rPr>
          <w:rFonts w:eastAsia="仿宋_GB2312"/>
          <w:sz w:val="32"/>
          <w:szCs w:val="32"/>
        </w:rPr>
        <w:t>[Z].</w:t>
      </w:r>
    </w:p>
    <w:p w14:paraId="461C9B42">
      <w:pPr>
        <w:spacing w:line="52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国家市场监督管理总局</w:t>
      </w:r>
      <w:r>
        <w:rPr>
          <w:rFonts w:hint="eastAsia" w:eastAsia="仿宋_GB2312"/>
          <w:sz w:val="32"/>
          <w:szCs w:val="32"/>
        </w:rPr>
        <w:t>.</w:t>
      </w:r>
      <w:r>
        <w:rPr>
          <w:rFonts w:eastAsia="仿宋_GB2312"/>
          <w:sz w:val="32"/>
          <w:szCs w:val="32"/>
        </w:rPr>
        <w:t>医疗器械注册与备案管理办法:国家市场监督管理总局令第47号[Z].</w:t>
      </w:r>
    </w:p>
    <w:p w14:paraId="7390A6CA">
      <w:pPr>
        <w:spacing w:line="520" w:lineRule="exact"/>
        <w:ind w:firstLine="640" w:firstLineChars="200"/>
        <w:rPr>
          <w:rFonts w:eastAsia="仿宋_GB2312"/>
          <w:sz w:val="32"/>
          <w:szCs w:val="32"/>
        </w:rPr>
      </w:pPr>
      <w:r>
        <w:rPr>
          <w:rFonts w:hint="eastAsia" w:eastAsia="仿宋_GB2312"/>
          <w:sz w:val="32"/>
          <w:szCs w:val="32"/>
        </w:rPr>
        <w:t>[3]</w:t>
      </w:r>
      <w:r>
        <w:rPr>
          <w:rFonts w:hint="eastAsia" w:eastAsia="仿宋_GB2312"/>
          <w:color w:val="000000"/>
          <w:sz w:val="32"/>
          <w:szCs w:val="32"/>
        </w:rPr>
        <w:t>国家食品药品监督管理总局.</w:t>
      </w:r>
      <w:r>
        <w:rPr>
          <w:rFonts w:hint="eastAsia" w:eastAsia="仿宋_GB2312"/>
          <w:sz w:val="32"/>
          <w:szCs w:val="32"/>
        </w:rPr>
        <w:t>医疗器械说明书和标签管理规定:</w:t>
      </w:r>
      <w:bookmarkStart w:id="9" w:name="OLE_LINK40"/>
      <w:r>
        <w:rPr>
          <w:rFonts w:hint="eastAsia" w:eastAsia="仿宋_GB2312"/>
          <w:sz w:val="32"/>
          <w:szCs w:val="32"/>
        </w:rPr>
        <w:t>国家食品药品监督管理总局令第6号[Z].</w:t>
      </w:r>
    </w:p>
    <w:bookmarkEnd w:id="9"/>
    <w:p w14:paraId="2276FF80">
      <w:pPr>
        <w:spacing w:line="520" w:lineRule="exact"/>
        <w:ind w:right="-67" w:rightChars="-32" w:firstLine="640" w:firstLineChars="200"/>
        <w:rPr>
          <w:rFonts w:eastAsia="仿宋_GB2312"/>
          <w:sz w:val="32"/>
          <w:szCs w:val="32"/>
        </w:rPr>
      </w:pPr>
      <w:r>
        <w:rPr>
          <w:rFonts w:hint="eastAsia" w:eastAsia="仿宋_GB2312"/>
          <w:sz w:val="32"/>
          <w:szCs w:val="32"/>
        </w:rPr>
        <w:t>[4]国家药品监督管理局</w:t>
      </w:r>
      <w:r>
        <w:rPr>
          <w:rFonts w:eastAsia="仿宋_GB2312"/>
          <w:sz w:val="32"/>
          <w:szCs w:val="32"/>
        </w:rPr>
        <w:t>.</w:t>
      </w:r>
      <w:r>
        <w:rPr>
          <w:rFonts w:hint="eastAsia" w:eastAsia="仿宋_GB2312"/>
          <w:sz w:val="32"/>
          <w:szCs w:val="32"/>
        </w:rPr>
        <w:t>医疗器械注册申报资料要求及说明:</w:t>
      </w:r>
      <w:r>
        <w:rPr>
          <w:rFonts w:hint="eastAsia" w:eastAsia="仿宋_GB2312"/>
          <w:color w:val="000000"/>
          <w:sz w:val="32"/>
          <w:szCs w:val="32"/>
        </w:rPr>
        <w:t>国家药监局公告2021年第121号</w:t>
      </w:r>
      <w:r>
        <w:rPr>
          <w:rFonts w:eastAsia="仿宋_GB2312"/>
          <w:sz w:val="32"/>
          <w:szCs w:val="32"/>
        </w:rPr>
        <w:t>[Z].</w:t>
      </w:r>
    </w:p>
    <w:p w14:paraId="0D21D53F">
      <w:pPr>
        <w:spacing w:line="520" w:lineRule="exact"/>
        <w:ind w:right="-67" w:rightChars="-32" w:firstLine="640" w:firstLineChars="200"/>
        <w:rPr>
          <w:rFonts w:eastAsia="仿宋_GB2312"/>
          <w:sz w:val="32"/>
          <w:szCs w:val="32"/>
        </w:rPr>
      </w:pPr>
      <w:r>
        <w:rPr>
          <w:rFonts w:hint="eastAsia" w:eastAsia="仿宋_GB2312"/>
          <w:sz w:val="32"/>
          <w:szCs w:val="32"/>
        </w:rPr>
        <w:t>[5]</w:t>
      </w:r>
      <w:r>
        <w:rPr>
          <w:rFonts w:eastAsia="仿宋_GB2312"/>
          <w:sz w:val="32"/>
          <w:szCs w:val="32"/>
          <w:lang w:val="en"/>
        </w:rPr>
        <w:t>国家食品药品监督管理</w:t>
      </w:r>
      <w:r>
        <w:rPr>
          <w:rFonts w:hint="eastAsia" w:eastAsia="仿宋_GB2312"/>
          <w:sz w:val="32"/>
          <w:szCs w:val="32"/>
          <w:lang w:val="en"/>
        </w:rPr>
        <w:t>总</w:t>
      </w:r>
      <w:r>
        <w:rPr>
          <w:rFonts w:eastAsia="仿宋_GB2312"/>
          <w:sz w:val="32"/>
          <w:szCs w:val="32"/>
          <w:lang w:val="en"/>
        </w:rPr>
        <w:t>局</w:t>
      </w:r>
      <w:r>
        <w:rPr>
          <w:rFonts w:eastAsia="仿宋_GB2312"/>
          <w:sz w:val="32"/>
          <w:szCs w:val="32"/>
        </w:rPr>
        <w:t>.医疗器械分类目录</w:t>
      </w:r>
      <w:r>
        <w:rPr>
          <w:rFonts w:hint="eastAsia" w:eastAsia="仿宋_GB2312"/>
          <w:sz w:val="32"/>
          <w:szCs w:val="32"/>
        </w:rPr>
        <w:t>:</w:t>
      </w:r>
      <w:r>
        <w:rPr>
          <w:rFonts w:eastAsia="仿宋_GB2312"/>
          <w:sz w:val="32"/>
          <w:szCs w:val="32"/>
          <w:lang w:val="en"/>
        </w:rPr>
        <w:t>国家食品药品监督管理总局</w:t>
      </w:r>
      <w:r>
        <w:rPr>
          <w:rFonts w:hint="eastAsia" w:eastAsia="仿宋_GB2312"/>
          <w:sz w:val="32"/>
          <w:szCs w:val="32"/>
          <w:lang w:val="en"/>
        </w:rPr>
        <w:t>公告</w:t>
      </w:r>
      <w:r>
        <w:rPr>
          <w:rFonts w:eastAsia="仿宋_GB2312"/>
          <w:sz w:val="32"/>
          <w:szCs w:val="32"/>
          <w:lang w:val="en"/>
        </w:rPr>
        <w:t>2017年第104号</w:t>
      </w:r>
      <w:r>
        <w:rPr>
          <w:rFonts w:eastAsia="仿宋_GB2312"/>
          <w:sz w:val="32"/>
          <w:szCs w:val="32"/>
        </w:rPr>
        <w:t>[Z].</w:t>
      </w:r>
    </w:p>
    <w:p w14:paraId="5C5B5B2D">
      <w:pPr>
        <w:spacing w:line="520" w:lineRule="exact"/>
        <w:ind w:right="-67" w:rightChars="-32" w:firstLine="640" w:firstLineChars="200"/>
        <w:rPr>
          <w:rFonts w:eastAsia="仿宋_GB2312"/>
          <w:sz w:val="32"/>
          <w:szCs w:val="32"/>
        </w:rPr>
      </w:pPr>
      <w:r>
        <w:rPr>
          <w:rFonts w:hint="eastAsia" w:eastAsia="仿宋_GB2312"/>
          <w:sz w:val="32"/>
          <w:szCs w:val="32"/>
        </w:rPr>
        <w:t>[6]</w:t>
      </w:r>
      <w:r>
        <w:rPr>
          <w:rFonts w:eastAsia="仿宋_GB2312"/>
          <w:sz w:val="32"/>
          <w:szCs w:val="32"/>
          <w:lang w:val="en"/>
        </w:rPr>
        <w:t>国家食品药品监督管理</w:t>
      </w:r>
      <w:r>
        <w:rPr>
          <w:rFonts w:hint="eastAsia" w:eastAsia="仿宋_GB2312"/>
          <w:sz w:val="32"/>
          <w:szCs w:val="32"/>
          <w:lang w:val="en"/>
        </w:rPr>
        <w:t>总</w:t>
      </w:r>
      <w:r>
        <w:rPr>
          <w:rFonts w:eastAsia="仿宋_GB2312"/>
          <w:sz w:val="32"/>
          <w:szCs w:val="32"/>
          <w:lang w:val="en"/>
        </w:rPr>
        <w:t>局</w:t>
      </w:r>
      <w:r>
        <w:rPr>
          <w:rFonts w:eastAsia="仿宋_GB2312"/>
          <w:sz w:val="32"/>
          <w:szCs w:val="32"/>
        </w:rPr>
        <w:t>.医疗器械注册单元划分指导原则</w:t>
      </w:r>
      <w:r>
        <w:rPr>
          <w:rFonts w:hint="eastAsia" w:eastAsia="仿宋_GB2312"/>
          <w:sz w:val="32"/>
          <w:szCs w:val="32"/>
        </w:rPr>
        <w:t>:总局通</w:t>
      </w:r>
      <w:r>
        <w:rPr>
          <w:rFonts w:eastAsia="仿宋_GB2312"/>
          <w:sz w:val="32"/>
          <w:szCs w:val="32"/>
          <w:lang w:val="en"/>
        </w:rPr>
        <w:t>告2017年第187号</w:t>
      </w:r>
      <w:r>
        <w:rPr>
          <w:rFonts w:eastAsia="仿宋_GB2312"/>
          <w:sz w:val="32"/>
          <w:szCs w:val="32"/>
        </w:rPr>
        <w:t>[Z].</w:t>
      </w:r>
    </w:p>
    <w:p w14:paraId="426D70D0">
      <w:pPr>
        <w:spacing w:line="520" w:lineRule="exact"/>
        <w:ind w:right="-67" w:rightChars="-32" w:firstLine="640" w:firstLineChars="200"/>
        <w:rPr>
          <w:rFonts w:eastAsia="仿宋_GB2312"/>
          <w:sz w:val="32"/>
          <w:szCs w:val="32"/>
        </w:rPr>
      </w:pPr>
      <w:r>
        <w:rPr>
          <w:rFonts w:hint="eastAsia" w:eastAsia="仿宋_GB2312"/>
          <w:sz w:val="32"/>
          <w:szCs w:val="32"/>
        </w:rPr>
        <w:t>[7]</w:t>
      </w:r>
      <w:r>
        <w:rPr>
          <w:rFonts w:eastAsia="仿宋_GB2312"/>
          <w:sz w:val="32"/>
          <w:szCs w:val="28"/>
        </w:rPr>
        <w:t>国家食品药品监督管理</w:t>
      </w:r>
      <w:r>
        <w:rPr>
          <w:rFonts w:hint="eastAsia" w:eastAsia="仿宋_GB2312"/>
          <w:sz w:val="32"/>
          <w:szCs w:val="28"/>
        </w:rPr>
        <w:t>总</w:t>
      </w:r>
      <w:r>
        <w:rPr>
          <w:rFonts w:eastAsia="仿宋_GB2312"/>
          <w:sz w:val="32"/>
          <w:szCs w:val="28"/>
        </w:rPr>
        <w:t>局</w:t>
      </w:r>
      <w:r>
        <w:rPr>
          <w:rFonts w:hint="eastAsia" w:eastAsia="仿宋_GB2312"/>
          <w:sz w:val="32"/>
          <w:szCs w:val="32"/>
        </w:rPr>
        <w:t>.</w:t>
      </w:r>
      <w:r>
        <w:rPr>
          <w:rFonts w:eastAsia="仿宋_GB2312"/>
          <w:sz w:val="32"/>
          <w:szCs w:val="32"/>
        </w:rPr>
        <w:t>医疗器械通用名称命名规则</w:t>
      </w:r>
      <w:r>
        <w:rPr>
          <w:rFonts w:hint="eastAsia" w:eastAsia="仿宋_GB2312"/>
          <w:sz w:val="32"/>
          <w:szCs w:val="32"/>
        </w:rPr>
        <w:t>:</w:t>
      </w:r>
      <w:r>
        <w:rPr>
          <w:rFonts w:eastAsia="仿宋_GB2312"/>
          <w:sz w:val="32"/>
          <w:szCs w:val="28"/>
        </w:rPr>
        <w:t>国家食品药品监督管理总局令第19号</w:t>
      </w:r>
      <w:r>
        <w:rPr>
          <w:rFonts w:eastAsia="仿宋_GB2312"/>
          <w:sz w:val="32"/>
          <w:szCs w:val="32"/>
        </w:rPr>
        <w:t>[Z].</w:t>
      </w:r>
    </w:p>
    <w:p w14:paraId="6D4CFE86">
      <w:pPr>
        <w:spacing w:line="520" w:lineRule="exact"/>
        <w:ind w:firstLine="640" w:firstLineChars="200"/>
        <w:rPr>
          <w:rFonts w:eastAsia="仿宋_GB2312"/>
          <w:sz w:val="32"/>
          <w:szCs w:val="32"/>
        </w:rPr>
      </w:pPr>
      <w:r>
        <w:rPr>
          <w:rFonts w:hint="eastAsia" w:eastAsia="仿宋_GB2312"/>
          <w:sz w:val="32"/>
          <w:szCs w:val="32"/>
        </w:rPr>
        <w:t>[8]国家药品监督管理局.</w:t>
      </w:r>
      <w:bookmarkStart w:id="10" w:name="OLE_LINK39"/>
      <w:r>
        <w:rPr>
          <w:rFonts w:eastAsia="仿宋_GB2312"/>
          <w:sz w:val="32"/>
          <w:szCs w:val="32"/>
        </w:rPr>
        <w:t>免于</w:t>
      </w:r>
      <w:r>
        <w:rPr>
          <w:rFonts w:hint="eastAsia" w:eastAsia="仿宋_GB2312"/>
          <w:sz w:val="32"/>
          <w:szCs w:val="32"/>
        </w:rPr>
        <w:t>进行</w:t>
      </w:r>
      <w:r>
        <w:rPr>
          <w:rFonts w:eastAsia="仿宋_GB2312"/>
          <w:sz w:val="32"/>
          <w:szCs w:val="32"/>
        </w:rPr>
        <w:t>临床评价医疗器械目录</w:t>
      </w:r>
      <w:bookmarkEnd w:id="10"/>
      <w:r>
        <w:rPr>
          <w:rFonts w:hint="eastAsia" w:eastAsia="仿宋_GB2312"/>
          <w:sz w:val="32"/>
          <w:szCs w:val="32"/>
        </w:rPr>
        <w:t>:</w:t>
      </w:r>
      <w:r>
        <w:rPr>
          <w:rFonts w:eastAsia="仿宋_GB2312"/>
          <w:sz w:val="32"/>
          <w:szCs w:val="32"/>
          <w:lang w:val="en"/>
        </w:rPr>
        <w:t>国家</w:t>
      </w:r>
      <w:r>
        <w:rPr>
          <w:rFonts w:hint="eastAsia" w:eastAsia="仿宋_GB2312"/>
          <w:sz w:val="32"/>
          <w:szCs w:val="32"/>
          <w:lang w:val="en"/>
        </w:rPr>
        <w:t>药监</w:t>
      </w:r>
      <w:r>
        <w:rPr>
          <w:rFonts w:eastAsia="仿宋_GB2312"/>
          <w:sz w:val="32"/>
          <w:szCs w:val="32"/>
          <w:lang w:val="en"/>
        </w:rPr>
        <w:t>局</w:t>
      </w:r>
      <w:r>
        <w:rPr>
          <w:rFonts w:hint="eastAsia" w:eastAsia="仿宋_GB2312"/>
          <w:sz w:val="32"/>
          <w:szCs w:val="32"/>
          <w:lang w:val="en"/>
        </w:rPr>
        <w:t>通告</w:t>
      </w:r>
      <w:r>
        <w:rPr>
          <w:rFonts w:eastAsia="仿宋_GB2312"/>
          <w:sz w:val="32"/>
          <w:szCs w:val="32"/>
          <w:lang w:val="en"/>
        </w:rPr>
        <w:t>20</w:t>
      </w:r>
      <w:r>
        <w:rPr>
          <w:rFonts w:hint="eastAsia" w:eastAsia="仿宋_GB2312"/>
          <w:sz w:val="32"/>
          <w:szCs w:val="32"/>
          <w:lang w:val="en"/>
        </w:rPr>
        <w:t>25</w:t>
      </w:r>
      <w:r>
        <w:rPr>
          <w:rFonts w:eastAsia="仿宋_GB2312"/>
          <w:sz w:val="32"/>
          <w:szCs w:val="32"/>
          <w:lang w:val="en"/>
        </w:rPr>
        <w:t>年第</w:t>
      </w:r>
      <w:r>
        <w:rPr>
          <w:rFonts w:hint="eastAsia" w:eastAsia="仿宋_GB2312"/>
          <w:sz w:val="32"/>
          <w:szCs w:val="32"/>
          <w:lang w:val="en"/>
        </w:rPr>
        <w:t>19</w:t>
      </w:r>
      <w:r>
        <w:rPr>
          <w:rFonts w:eastAsia="仿宋_GB2312"/>
          <w:sz w:val="32"/>
          <w:szCs w:val="32"/>
          <w:lang w:val="en"/>
        </w:rPr>
        <w:t>号</w:t>
      </w:r>
      <w:r>
        <w:rPr>
          <w:rFonts w:eastAsia="仿宋_GB2312"/>
          <w:sz w:val="32"/>
          <w:szCs w:val="32"/>
        </w:rPr>
        <w:t>[Z].</w:t>
      </w:r>
    </w:p>
    <w:p w14:paraId="16BB428B">
      <w:pPr>
        <w:spacing w:line="520" w:lineRule="exact"/>
        <w:ind w:right="-67" w:rightChars="-32" w:firstLine="640" w:firstLineChars="200"/>
        <w:rPr>
          <w:rFonts w:eastAsia="仿宋_GB2312"/>
          <w:sz w:val="32"/>
          <w:szCs w:val="32"/>
        </w:rPr>
      </w:pPr>
      <w:r>
        <w:rPr>
          <w:rFonts w:hint="eastAsia" w:eastAsia="仿宋_GB2312"/>
          <w:sz w:val="32"/>
          <w:szCs w:val="32"/>
        </w:rPr>
        <w:t>[9]国家药品监督管理局.</w:t>
      </w:r>
      <w:r>
        <w:rPr>
          <w:rFonts w:eastAsia="仿宋_GB2312"/>
          <w:sz w:val="32"/>
          <w:szCs w:val="32"/>
        </w:rPr>
        <w:t>医疗器械产品技术要求编写指导原则</w:t>
      </w:r>
      <w:r>
        <w:rPr>
          <w:rFonts w:hint="eastAsia" w:eastAsia="仿宋_GB2312"/>
          <w:sz w:val="32"/>
          <w:szCs w:val="32"/>
        </w:rPr>
        <w:t>:国家药监局公告2022年第8号</w:t>
      </w:r>
      <w:r>
        <w:rPr>
          <w:rFonts w:eastAsia="仿宋_GB2312"/>
          <w:sz w:val="32"/>
          <w:szCs w:val="32"/>
        </w:rPr>
        <w:t>[Z]</w:t>
      </w:r>
      <w:r>
        <w:rPr>
          <w:rFonts w:hint="eastAsia" w:eastAsia="仿宋_GB2312"/>
          <w:sz w:val="32"/>
          <w:szCs w:val="32"/>
        </w:rPr>
        <w:t>.</w:t>
      </w:r>
    </w:p>
    <w:p w14:paraId="49A1BEA6">
      <w:pPr>
        <w:spacing w:line="520" w:lineRule="exact"/>
        <w:ind w:right="-67" w:rightChars="-32" w:firstLine="640" w:firstLineChars="200"/>
        <w:rPr>
          <w:rFonts w:eastAsia="仿宋_GB2312"/>
          <w:sz w:val="32"/>
          <w:szCs w:val="32"/>
        </w:rPr>
      </w:pPr>
      <w:r>
        <w:rPr>
          <w:rFonts w:hint="eastAsia" w:eastAsia="仿宋_GB2312"/>
          <w:sz w:val="32"/>
          <w:szCs w:val="32"/>
        </w:rPr>
        <w:t>[10]国家药品监督管理局.</w:t>
      </w:r>
      <w:r>
        <w:rPr>
          <w:rFonts w:hint="eastAsia" w:eastAsia="仿宋_GB2312"/>
          <w:bCs/>
          <w:color w:val="000000"/>
          <w:sz w:val="32"/>
          <w:szCs w:val="32"/>
        </w:rPr>
        <w:t>医用成像器械通用名称命名指导原则:国家药监局通告2020年第41号</w:t>
      </w:r>
      <w:r>
        <w:rPr>
          <w:rFonts w:eastAsia="仿宋_GB2312"/>
          <w:sz w:val="32"/>
          <w:szCs w:val="32"/>
        </w:rPr>
        <w:t>[Z].</w:t>
      </w:r>
    </w:p>
    <w:p w14:paraId="7FD9D142">
      <w:pPr>
        <w:spacing w:line="520" w:lineRule="exact"/>
        <w:ind w:right="-67" w:rightChars="-32" w:firstLine="640" w:firstLineChars="200"/>
        <w:rPr>
          <w:rFonts w:eastAsia="仿宋_GB2312"/>
          <w:sz w:val="32"/>
          <w:szCs w:val="32"/>
        </w:rPr>
      </w:pPr>
      <w:r>
        <w:rPr>
          <w:rFonts w:hint="eastAsia" w:eastAsia="仿宋_GB2312"/>
          <w:sz w:val="32"/>
          <w:szCs w:val="32"/>
        </w:rPr>
        <w:t>[11]国家食品药品监督管理局.医疗器械生物学评价和审查指南:国家食品药品监督管理局通知</w:t>
      </w:r>
      <w:r>
        <w:rPr>
          <w:rFonts w:eastAsia="仿宋_GB2312"/>
          <w:sz w:val="32"/>
          <w:szCs w:val="32"/>
          <w:lang w:val="en"/>
        </w:rPr>
        <w:t>20</w:t>
      </w:r>
      <w:r>
        <w:rPr>
          <w:rFonts w:hint="eastAsia" w:eastAsia="仿宋_GB2312"/>
          <w:sz w:val="32"/>
          <w:szCs w:val="32"/>
          <w:lang w:val="en"/>
        </w:rPr>
        <w:t>0</w:t>
      </w:r>
      <w:r>
        <w:rPr>
          <w:rFonts w:eastAsia="仿宋_GB2312"/>
          <w:sz w:val="32"/>
          <w:szCs w:val="32"/>
          <w:lang w:val="en"/>
        </w:rPr>
        <w:t>7年</w:t>
      </w:r>
      <w:r>
        <w:rPr>
          <w:rFonts w:hint="eastAsia" w:eastAsia="仿宋_GB2312"/>
          <w:sz w:val="32"/>
          <w:szCs w:val="32"/>
          <w:lang w:val="en"/>
        </w:rPr>
        <w:t>345</w:t>
      </w:r>
      <w:r>
        <w:rPr>
          <w:rFonts w:eastAsia="仿宋_GB2312"/>
          <w:sz w:val="32"/>
          <w:szCs w:val="32"/>
          <w:lang w:val="en"/>
        </w:rPr>
        <w:t>号</w:t>
      </w:r>
      <w:r>
        <w:rPr>
          <w:rFonts w:eastAsia="仿宋_GB2312"/>
          <w:sz w:val="32"/>
          <w:szCs w:val="32"/>
        </w:rPr>
        <w:t>[Z].</w:t>
      </w:r>
    </w:p>
    <w:p w14:paraId="20D92A99">
      <w:pPr>
        <w:spacing w:line="520" w:lineRule="exact"/>
        <w:ind w:right="-67" w:rightChars="-32" w:firstLine="640" w:firstLineChars="200"/>
        <w:rPr>
          <w:rFonts w:eastAsia="仿宋_GB2312"/>
          <w:sz w:val="32"/>
          <w:szCs w:val="32"/>
        </w:rPr>
      </w:pPr>
      <w:r>
        <w:rPr>
          <w:rFonts w:hint="eastAsia" w:eastAsia="仿宋_GB2312"/>
          <w:sz w:val="32"/>
          <w:szCs w:val="32"/>
        </w:rPr>
        <w:t>[12]GB 18279,</w:t>
      </w:r>
      <w:r>
        <w:rPr>
          <w:rFonts w:hint="default" w:eastAsia="仿宋_GB2312"/>
          <w:sz w:val="32"/>
          <w:szCs w:val="32"/>
        </w:rPr>
        <w:t>医疗保健产品灭菌 环氧乙烷 医疗器械灭菌过程的开发、确认和常规控制要求</w:t>
      </w:r>
      <w:r>
        <w:rPr>
          <w:rFonts w:hint="eastAsia" w:eastAsia="仿宋_GB2312"/>
          <w:sz w:val="32"/>
          <w:szCs w:val="32"/>
        </w:rPr>
        <w:t>[S].</w:t>
      </w:r>
    </w:p>
    <w:p w14:paraId="65784DED">
      <w:pPr>
        <w:spacing w:line="520" w:lineRule="exact"/>
        <w:ind w:right="-67" w:rightChars="-32" w:firstLine="640" w:firstLineChars="200"/>
        <w:rPr>
          <w:rFonts w:eastAsia="仿宋_GB2312"/>
          <w:sz w:val="32"/>
          <w:szCs w:val="32"/>
        </w:rPr>
      </w:pPr>
      <w:r>
        <w:rPr>
          <w:rFonts w:hint="eastAsia" w:eastAsia="仿宋_GB2312"/>
          <w:sz w:val="32"/>
          <w:szCs w:val="32"/>
        </w:rPr>
        <w:t>[13]GB 18280,医疗保健产品灭菌 辐射 系列标准[S].</w:t>
      </w:r>
    </w:p>
    <w:p w14:paraId="3E7ECDCD">
      <w:pPr>
        <w:spacing w:line="520" w:lineRule="exact"/>
        <w:ind w:right="-67" w:rightChars="-32" w:firstLine="640" w:firstLineChars="200"/>
        <w:rPr>
          <w:rFonts w:eastAsia="仿宋_GB2312"/>
          <w:sz w:val="32"/>
          <w:szCs w:val="32"/>
        </w:rPr>
      </w:pPr>
      <w:r>
        <w:rPr>
          <w:rFonts w:hint="eastAsia" w:eastAsia="仿宋_GB2312"/>
          <w:sz w:val="32"/>
          <w:szCs w:val="32"/>
        </w:rPr>
        <w:t>[14]</w:t>
      </w:r>
      <w:r>
        <w:rPr>
          <w:rFonts w:eastAsia="仿宋_GB2312"/>
          <w:sz w:val="32"/>
          <w:szCs w:val="32"/>
        </w:rPr>
        <w:t>GB/T 4857</w:t>
      </w:r>
      <w:r>
        <w:rPr>
          <w:rFonts w:hint="eastAsia" w:eastAsia="仿宋_GB2312"/>
          <w:sz w:val="32"/>
          <w:szCs w:val="32"/>
        </w:rPr>
        <w:t>,</w:t>
      </w:r>
      <w:bookmarkStart w:id="11" w:name="OLE_LINK38"/>
      <w:r>
        <w:rPr>
          <w:rFonts w:eastAsia="仿宋_GB2312"/>
          <w:sz w:val="32"/>
          <w:szCs w:val="32"/>
        </w:rPr>
        <w:t>包装 运输包装件基本试验</w:t>
      </w:r>
      <w:r>
        <w:rPr>
          <w:rFonts w:hint="eastAsia" w:eastAsia="仿宋_GB2312"/>
          <w:sz w:val="32"/>
          <w:szCs w:val="32"/>
        </w:rPr>
        <w:t xml:space="preserve"> 系列标准[S].</w:t>
      </w:r>
    </w:p>
    <w:p w14:paraId="5E6110E0">
      <w:pPr>
        <w:spacing w:line="520" w:lineRule="exact"/>
        <w:ind w:right="-67" w:rightChars="-32" w:firstLine="640" w:firstLineChars="200"/>
        <w:rPr>
          <w:rFonts w:eastAsia="仿宋_GB2312"/>
          <w:sz w:val="32"/>
          <w:szCs w:val="32"/>
        </w:rPr>
      </w:pPr>
      <w:r>
        <w:rPr>
          <w:rFonts w:hint="eastAsia" w:eastAsia="仿宋_GB2312"/>
          <w:sz w:val="32"/>
          <w:szCs w:val="32"/>
        </w:rPr>
        <w:t>[15]GB/T 19633,最终灭菌医</w:t>
      </w:r>
      <w:bookmarkEnd w:id="11"/>
      <w:r>
        <w:rPr>
          <w:rFonts w:hint="eastAsia" w:eastAsia="仿宋_GB2312"/>
          <w:sz w:val="32"/>
          <w:szCs w:val="32"/>
        </w:rPr>
        <w:t>疗器械包装 系列标准[S].</w:t>
      </w:r>
    </w:p>
    <w:p w14:paraId="7BE264C1">
      <w:pPr>
        <w:spacing w:line="520" w:lineRule="exact"/>
        <w:ind w:right="-67" w:rightChars="-32" w:firstLine="640" w:firstLineChars="200"/>
        <w:rPr>
          <w:rFonts w:hint="eastAsia" w:eastAsia="仿宋_GB2312"/>
          <w:sz w:val="32"/>
          <w:szCs w:val="32"/>
        </w:rPr>
      </w:pPr>
      <w:r>
        <w:rPr>
          <w:rFonts w:hint="eastAsia" w:eastAsia="仿宋_GB2312"/>
          <w:sz w:val="32"/>
          <w:szCs w:val="32"/>
        </w:rPr>
        <w:t>[16]GB/T 16886,医疗器械生物学评价 系列标准[S].</w:t>
      </w:r>
    </w:p>
    <w:p w14:paraId="65079C75">
      <w:pPr>
        <w:spacing w:line="520" w:lineRule="exact"/>
        <w:ind w:right="-67" w:rightChars="-32" w:firstLine="640" w:firstLineChars="200"/>
        <w:rPr>
          <w:rFonts w:hint="eastAsia" w:eastAsia="仿宋_GB2312"/>
          <w:sz w:val="32"/>
          <w:szCs w:val="32"/>
        </w:rPr>
      </w:pPr>
      <w:r>
        <w:rPr>
          <w:rFonts w:hint="eastAsia" w:eastAsia="仿宋_GB2312"/>
          <w:sz w:val="32"/>
          <w:szCs w:val="32"/>
        </w:rPr>
        <w:t>[1</w:t>
      </w:r>
      <w:r>
        <w:rPr>
          <w:rFonts w:hint="eastAsia" w:eastAsia="仿宋_GB2312"/>
          <w:sz w:val="32"/>
          <w:szCs w:val="32"/>
          <w:lang w:val="en-US" w:eastAsia="zh-CN"/>
        </w:rPr>
        <w:t>7</w:t>
      </w:r>
      <w:r>
        <w:rPr>
          <w:rFonts w:hint="eastAsia" w:eastAsia="仿宋_GB2312"/>
          <w:sz w:val="32"/>
          <w:szCs w:val="32"/>
        </w:rPr>
        <w:t>]GB/T 1</w:t>
      </w:r>
      <w:r>
        <w:rPr>
          <w:rFonts w:hint="eastAsia" w:eastAsia="仿宋_GB2312"/>
          <w:sz w:val="32"/>
          <w:szCs w:val="32"/>
          <w:lang w:val="en-US" w:eastAsia="zh-CN"/>
        </w:rPr>
        <w:t>4233</w:t>
      </w:r>
      <w:r>
        <w:rPr>
          <w:rFonts w:hint="eastAsia" w:eastAsia="仿宋_GB2312"/>
          <w:sz w:val="32"/>
          <w:szCs w:val="32"/>
        </w:rPr>
        <w:t>,医用输液、输血、注射器具检验方法 系列标准[S].</w:t>
      </w:r>
    </w:p>
    <w:p w14:paraId="3FECB3B2">
      <w:pPr>
        <w:spacing w:line="520" w:lineRule="exact"/>
        <w:ind w:right="-67" w:rightChars="-32" w:firstLine="640" w:firstLineChars="200"/>
        <w:rPr>
          <w:rFonts w:eastAsia="仿宋_GB2312"/>
          <w:sz w:val="32"/>
          <w:szCs w:val="32"/>
        </w:rPr>
      </w:pPr>
      <w:r>
        <w:rPr>
          <w:rFonts w:hint="eastAsia" w:eastAsia="仿宋_GB2312"/>
          <w:sz w:val="32"/>
          <w:szCs w:val="32"/>
        </w:rPr>
        <w:t>[1</w:t>
      </w:r>
      <w:r>
        <w:rPr>
          <w:rFonts w:hint="eastAsia" w:eastAsia="仿宋_GB2312"/>
          <w:sz w:val="32"/>
          <w:szCs w:val="32"/>
          <w:lang w:val="en-US" w:eastAsia="zh-CN"/>
        </w:rPr>
        <w:t>8</w:t>
      </w:r>
      <w:r>
        <w:rPr>
          <w:rFonts w:hint="eastAsia" w:eastAsia="仿宋_GB2312"/>
          <w:sz w:val="32"/>
          <w:szCs w:val="32"/>
        </w:rPr>
        <w:t>]GB/T 42062,</w:t>
      </w:r>
      <w:bookmarkStart w:id="12" w:name="OLE_LINK36"/>
      <w:bookmarkStart w:id="13" w:name="OLE_LINK37"/>
      <w:r>
        <w:rPr>
          <w:rFonts w:hint="eastAsia" w:eastAsia="仿宋_GB2312"/>
          <w:sz w:val="32"/>
          <w:szCs w:val="32"/>
        </w:rPr>
        <w:t>医疗器械 风险管理对医疗器械的应用[S].</w:t>
      </w:r>
    </w:p>
    <w:p w14:paraId="25423560">
      <w:pPr>
        <w:spacing w:line="520" w:lineRule="exact"/>
        <w:ind w:right="-67" w:rightChars="-32" w:firstLine="640" w:firstLineChars="200"/>
        <w:rPr>
          <w:rFonts w:eastAsia="仿宋_GB2312"/>
          <w:sz w:val="32"/>
          <w:szCs w:val="32"/>
        </w:rPr>
      </w:pPr>
      <w:r>
        <w:rPr>
          <w:rFonts w:hint="eastAsia" w:eastAsia="仿宋_GB2312"/>
          <w:sz w:val="32"/>
          <w:szCs w:val="32"/>
        </w:rPr>
        <w:t>[18]YY/T 0171,外科器械 包装、</w:t>
      </w:r>
      <w:bookmarkEnd w:id="12"/>
      <w:bookmarkEnd w:id="13"/>
      <w:r>
        <w:rPr>
          <w:rFonts w:hint="eastAsia" w:eastAsia="仿宋_GB2312"/>
          <w:sz w:val="32"/>
          <w:szCs w:val="32"/>
        </w:rPr>
        <w:t>标志和使用说明书[S].</w:t>
      </w:r>
    </w:p>
    <w:p w14:paraId="56FBF913">
      <w:pPr>
        <w:spacing w:line="520" w:lineRule="exact"/>
        <w:ind w:right="-67" w:rightChars="-32" w:firstLine="640" w:firstLineChars="200"/>
        <w:rPr>
          <w:rFonts w:eastAsia="仿宋_GB2312"/>
          <w:sz w:val="32"/>
          <w:szCs w:val="32"/>
        </w:rPr>
      </w:pPr>
      <w:r>
        <w:rPr>
          <w:rFonts w:hint="eastAsia" w:eastAsia="仿宋_GB2312"/>
          <w:sz w:val="32"/>
          <w:szCs w:val="32"/>
        </w:rPr>
        <w:t>[19]YY/T</w:t>
      </w:r>
      <w:bookmarkStart w:id="14" w:name="OLE_LINK35"/>
      <w:r>
        <w:rPr>
          <w:rFonts w:hint="eastAsia" w:eastAsia="仿宋_GB2312"/>
          <w:sz w:val="32"/>
          <w:szCs w:val="32"/>
        </w:rPr>
        <w:t xml:space="preserve"> 0466.1</w:t>
      </w:r>
      <w:bookmarkEnd w:id="14"/>
      <w:r>
        <w:rPr>
          <w:rFonts w:hint="eastAsia" w:eastAsia="仿宋_GB2312"/>
          <w:sz w:val="32"/>
          <w:szCs w:val="32"/>
        </w:rPr>
        <w:t>,医疗器械 用于制造商提供信息的符号 第1部分</w:t>
      </w:r>
      <w:r>
        <w:rPr>
          <w:rFonts w:hint="eastAsia" w:eastAsia="仿宋_GB2312"/>
          <w:sz w:val="32"/>
          <w:szCs w:val="32"/>
          <w:lang w:eastAsia="zh-CN"/>
        </w:rPr>
        <w:t>:</w:t>
      </w:r>
      <w:r>
        <w:rPr>
          <w:rFonts w:hint="eastAsia" w:eastAsia="仿宋_GB2312"/>
          <w:sz w:val="32"/>
          <w:szCs w:val="32"/>
        </w:rPr>
        <w:t>通用要求[S].</w:t>
      </w:r>
    </w:p>
    <w:p w14:paraId="47FF6250">
      <w:pPr>
        <w:spacing w:line="520" w:lineRule="exact"/>
        <w:ind w:right="-67" w:rightChars="-32" w:firstLine="640" w:firstLineChars="200"/>
        <w:rPr>
          <w:rFonts w:eastAsia="仿宋_GB2312"/>
          <w:sz w:val="32"/>
          <w:szCs w:val="32"/>
        </w:rPr>
      </w:pPr>
      <w:r>
        <w:rPr>
          <w:rFonts w:hint="eastAsia" w:eastAsia="仿宋_GB2312"/>
          <w:sz w:val="32"/>
          <w:szCs w:val="32"/>
        </w:rPr>
        <w:t>[20]YY/T 0681.1,无菌医疗器械包装试验方法 第1部分</w:t>
      </w:r>
      <w:r>
        <w:rPr>
          <w:rFonts w:hint="eastAsia" w:eastAsia="仿宋_GB2312"/>
          <w:sz w:val="32"/>
          <w:szCs w:val="32"/>
          <w:lang w:eastAsia="zh-CN"/>
        </w:rPr>
        <w:t>:</w:t>
      </w:r>
      <w:r>
        <w:rPr>
          <w:rFonts w:hint="eastAsia" w:eastAsia="仿宋_GB2312"/>
          <w:sz w:val="32"/>
          <w:szCs w:val="32"/>
        </w:rPr>
        <w:t>加</w:t>
      </w:r>
      <w:bookmarkStart w:id="15" w:name="OLE_LINK34"/>
      <w:bookmarkStart w:id="16" w:name="OLE_LINK33"/>
      <w:r>
        <w:rPr>
          <w:rFonts w:hint="eastAsia" w:eastAsia="仿宋_GB2312"/>
          <w:sz w:val="32"/>
          <w:szCs w:val="32"/>
        </w:rPr>
        <w:t>速老化试验指南[S].</w:t>
      </w:r>
    </w:p>
    <w:p w14:paraId="3DEC063F">
      <w:pPr>
        <w:spacing w:line="520" w:lineRule="exact"/>
        <w:ind w:right="-67" w:rightChars="-32" w:firstLine="640" w:firstLineChars="200"/>
        <w:rPr>
          <w:rFonts w:eastAsia="仿宋_GB2312"/>
          <w:sz w:val="32"/>
          <w:szCs w:val="32"/>
        </w:rPr>
      </w:pPr>
      <w:r>
        <w:rPr>
          <w:rFonts w:hint="eastAsia" w:eastAsia="仿宋_GB2312"/>
          <w:sz w:val="32"/>
          <w:szCs w:val="32"/>
        </w:rPr>
        <w:t>[21]YY/T 0681.15,无菌医疗器械包装试验方法 第15部分</w:t>
      </w:r>
      <w:r>
        <w:rPr>
          <w:rFonts w:hint="eastAsia" w:eastAsia="仿宋_GB2312"/>
          <w:sz w:val="32"/>
          <w:szCs w:val="32"/>
          <w:lang w:eastAsia="zh-CN"/>
        </w:rPr>
        <w:t>:</w:t>
      </w:r>
      <w:r>
        <w:rPr>
          <w:rFonts w:hint="eastAsia" w:eastAsia="仿宋_GB2312"/>
          <w:sz w:val="32"/>
          <w:szCs w:val="32"/>
        </w:rPr>
        <w:t>运输容器和系统的性能试验[S].</w:t>
      </w:r>
    </w:p>
    <w:bookmarkEnd w:id="15"/>
    <w:bookmarkEnd w:id="16"/>
    <w:p w14:paraId="6827EAE8">
      <w:pPr>
        <w:spacing w:line="520" w:lineRule="exact"/>
        <w:ind w:right="-67" w:rightChars="-32" w:firstLine="640" w:firstLineChars="200"/>
        <w:rPr>
          <w:rFonts w:eastAsia="仿宋_GB2312"/>
          <w:sz w:val="32"/>
          <w:szCs w:val="32"/>
        </w:rPr>
      </w:pPr>
      <w:r>
        <w:rPr>
          <w:rFonts w:hint="eastAsia" w:eastAsia="仿宋_GB2312"/>
          <w:sz w:val="32"/>
          <w:szCs w:val="32"/>
        </w:rPr>
        <w:t>[22]YY/T 1437,医疗器械 GBT 42062应用指南[S].</w:t>
      </w:r>
    </w:p>
    <w:p w14:paraId="0E318375">
      <w:pPr>
        <w:spacing w:line="520" w:lineRule="exact"/>
        <w:ind w:right="-67" w:rightChars="-32" w:firstLine="640" w:firstLineChars="200"/>
        <w:rPr>
          <w:rFonts w:eastAsia="仿宋_GB2312"/>
          <w:color w:val="000000"/>
          <w:sz w:val="32"/>
          <w:szCs w:val="32"/>
        </w:rPr>
      </w:pPr>
      <w:r>
        <w:rPr>
          <w:rFonts w:hint="eastAsia" w:eastAsia="仿宋_GB2312"/>
          <w:sz w:val="32"/>
          <w:szCs w:val="32"/>
        </w:rPr>
        <w:t>[23]中华人民共和国药典[S].</w:t>
      </w:r>
      <w:r>
        <w:rPr>
          <w:rFonts w:eastAsia="仿宋_GB2312"/>
          <w:color w:val="000000"/>
          <w:sz w:val="32"/>
          <w:szCs w:val="32"/>
        </w:rPr>
        <w:br w:type="page"/>
      </w:r>
    </w:p>
    <w:p w14:paraId="35046B86">
      <w:pPr>
        <w:pStyle w:val="2"/>
        <w:spacing w:line="520" w:lineRule="exact"/>
        <w:outlineLvl w:val="0"/>
        <w:rPr>
          <w:rFonts w:ascii="Times New Roman" w:hAnsi="Times New Roman" w:eastAsia="黑体"/>
          <w:kern w:val="2"/>
          <w:sz w:val="32"/>
          <w:szCs w:val="32"/>
        </w:rPr>
      </w:pPr>
      <w:r>
        <w:rPr>
          <w:rFonts w:hint="eastAsia" w:ascii="Times New Roman" w:hAnsi="Times New Roman" w:eastAsia="黑体"/>
          <w:kern w:val="2"/>
          <w:sz w:val="32"/>
          <w:szCs w:val="32"/>
        </w:rPr>
        <w:t>附件</w:t>
      </w:r>
    </w:p>
    <w:p w14:paraId="1D57380F">
      <w:pPr>
        <w:pStyle w:val="2"/>
        <w:spacing w:line="520" w:lineRule="exact"/>
        <w:rPr>
          <w:rFonts w:ascii="Times New Roman" w:hAnsi="Times New Roman" w:eastAsia="黑体"/>
          <w:kern w:val="2"/>
          <w:sz w:val="32"/>
          <w:szCs w:val="32"/>
        </w:rPr>
      </w:pPr>
    </w:p>
    <w:p w14:paraId="3DE9C636">
      <w:pPr>
        <w:spacing w:line="520" w:lineRule="exact"/>
        <w:jc w:val="center"/>
        <w:rPr>
          <w:rFonts w:eastAsia="黑体"/>
          <w:sz w:val="28"/>
          <w:szCs w:val="28"/>
        </w:rPr>
      </w:pPr>
      <w:r>
        <w:rPr>
          <w:rFonts w:hint="eastAsia" w:eastAsia="黑体"/>
          <w:sz w:val="28"/>
          <w:szCs w:val="28"/>
        </w:rPr>
        <w:t>表1</w:t>
      </w:r>
      <w:r>
        <w:rPr>
          <w:rFonts w:eastAsia="黑体"/>
          <w:sz w:val="28"/>
          <w:szCs w:val="28"/>
        </w:rPr>
        <w:t xml:space="preserve"> </w:t>
      </w:r>
      <w:r>
        <w:rPr>
          <w:rFonts w:hint="eastAsia" w:eastAsia="黑体"/>
          <w:sz w:val="28"/>
          <w:szCs w:val="28"/>
        </w:rPr>
        <w:t>产品主要危害</w:t>
      </w:r>
    </w:p>
    <w:tbl>
      <w:tblPr>
        <w:tblStyle w:val="13"/>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2161"/>
        <w:gridCol w:w="3053"/>
        <w:gridCol w:w="2185"/>
      </w:tblGrid>
      <w:tr w14:paraId="633F5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jc w:val="center"/>
        </w:trPr>
        <w:tc>
          <w:tcPr>
            <w:tcW w:w="3573" w:type="dxa"/>
            <w:gridSpan w:val="2"/>
          </w:tcPr>
          <w:p w14:paraId="4A1D59A3">
            <w:pPr>
              <w:spacing w:line="520" w:lineRule="exact"/>
              <w:jc w:val="center"/>
              <w:rPr>
                <w:rFonts w:ascii="黑体" w:hAnsi="黑体" w:eastAsia="黑体" w:cs="黑体"/>
                <w:sz w:val="28"/>
                <w:szCs w:val="28"/>
              </w:rPr>
            </w:pPr>
            <w:r>
              <w:rPr>
                <w:rFonts w:hint="eastAsia" w:ascii="黑体" w:hAnsi="黑体" w:eastAsia="黑体" w:cs="黑体"/>
                <w:sz w:val="28"/>
                <w:szCs w:val="28"/>
              </w:rPr>
              <w:t>危害的分类</w:t>
            </w:r>
          </w:p>
        </w:tc>
        <w:tc>
          <w:tcPr>
            <w:tcW w:w="3053" w:type="dxa"/>
          </w:tcPr>
          <w:p w14:paraId="1E2F871C">
            <w:pPr>
              <w:spacing w:line="520" w:lineRule="exact"/>
              <w:jc w:val="center"/>
              <w:rPr>
                <w:rFonts w:ascii="黑体" w:hAnsi="黑体" w:eastAsia="黑体" w:cs="黑体"/>
                <w:sz w:val="28"/>
                <w:szCs w:val="28"/>
              </w:rPr>
            </w:pPr>
            <w:r>
              <w:rPr>
                <w:rFonts w:hint="eastAsia" w:ascii="黑体" w:hAnsi="黑体" w:eastAsia="黑体" w:cs="黑体"/>
                <w:sz w:val="28"/>
                <w:szCs w:val="28"/>
              </w:rPr>
              <w:t>危害的形成因素</w:t>
            </w:r>
          </w:p>
        </w:tc>
        <w:tc>
          <w:tcPr>
            <w:tcW w:w="2185" w:type="dxa"/>
          </w:tcPr>
          <w:p w14:paraId="18A71BA9">
            <w:pPr>
              <w:spacing w:line="520" w:lineRule="exact"/>
              <w:jc w:val="center"/>
              <w:rPr>
                <w:rFonts w:ascii="黑体" w:hAnsi="黑体" w:eastAsia="黑体" w:cs="黑体"/>
                <w:sz w:val="28"/>
                <w:szCs w:val="28"/>
              </w:rPr>
            </w:pPr>
            <w:r>
              <w:rPr>
                <w:rFonts w:hint="eastAsia" w:ascii="黑体" w:hAnsi="黑体" w:eastAsia="黑体" w:cs="黑体"/>
                <w:sz w:val="28"/>
                <w:szCs w:val="28"/>
              </w:rPr>
              <w:t>可能的后果</w:t>
            </w:r>
          </w:p>
        </w:tc>
      </w:tr>
      <w:tr w14:paraId="548E8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412" w:type="dxa"/>
            <w:vMerge w:val="restart"/>
            <w:vAlign w:val="center"/>
          </w:tcPr>
          <w:p w14:paraId="2274781F">
            <w:pPr>
              <w:spacing w:line="520" w:lineRule="exact"/>
              <w:jc w:val="center"/>
              <w:rPr>
                <w:rFonts w:eastAsia="仿宋_GB2312"/>
                <w:sz w:val="28"/>
                <w:szCs w:val="28"/>
              </w:rPr>
            </w:pPr>
            <w:r>
              <w:rPr>
                <w:rFonts w:hint="eastAsia" w:eastAsia="仿宋_GB2312"/>
                <w:sz w:val="28"/>
                <w:szCs w:val="28"/>
              </w:rPr>
              <w:t>生物和化学危险</w:t>
            </w:r>
          </w:p>
        </w:tc>
        <w:tc>
          <w:tcPr>
            <w:tcW w:w="2161" w:type="dxa"/>
          </w:tcPr>
          <w:p w14:paraId="439DF25A">
            <w:pPr>
              <w:spacing w:line="520" w:lineRule="exact"/>
              <w:jc w:val="center"/>
              <w:rPr>
                <w:rFonts w:eastAsia="仿宋_GB2312"/>
                <w:sz w:val="28"/>
                <w:szCs w:val="28"/>
              </w:rPr>
            </w:pPr>
            <w:r>
              <w:rPr>
                <w:rFonts w:hint="eastAsia" w:eastAsia="仿宋_GB2312"/>
                <w:sz w:val="28"/>
                <w:szCs w:val="28"/>
              </w:rPr>
              <w:t>生物污染</w:t>
            </w:r>
          </w:p>
        </w:tc>
        <w:tc>
          <w:tcPr>
            <w:tcW w:w="3053" w:type="dxa"/>
          </w:tcPr>
          <w:p w14:paraId="6AC1224E">
            <w:pPr>
              <w:spacing w:line="520" w:lineRule="exact"/>
              <w:jc w:val="center"/>
              <w:rPr>
                <w:rFonts w:eastAsia="仿宋_GB2312"/>
                <w:sz w:val="28"/>
                <w:szCs w:val="28"/>
              </w:rPr>
            </w:pPr>
            <w:r>
              <w:rPr>
                <w:rFonts w:hint="eastAsia" w:eastAsia="仿宋_GB2312"/>
                <w:sz w:val="28"/>
                <w:szCs w:val="28"/>
              </w:rPr>
              <w:t>生产环境控制不好。灭菌操作不严格。包装破损。使用时操作不正规。</w:t>
            </w:r>
          </w:p>
        </w:tc>
        <w:tc>
          <w:tcPr>
            <w:tcW w:w="2185" w:type="dxa"/>
          </w:tcPr>
          <w:p w14:paraId="621CA0E1">
            <w:pPr>
              <w:spacing w:line="520" w:lineRule="exact"/>
              <w:jc w:val="center"/>
              <w:rPr>
                <w:rFonts w:eastAsia="仿宋_GB2312"/>
                <w:sz w:val="28"/>
                <w:szCs w:val="28"/>
              </w:rPr>
            </w:pPr>
            <w:r>
              <w:rPr>
                <w:rFonts w:hint="eastAsia" w:eastAsia="仿宋_GB2312"/>
                <w:sz w:val="28"/>
                <w:szCs w:val="28"/>
              </w:rPr>
              <w:t>产品带菌，引起患者感染。</w:t>
            </w:r>
          </w:p>
        </w:tc>
      </w:tr>
      <w:tr w14:paraId="6996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2" w:type="dxa"/>
            <w:vMerge w:val="continue"/>
          </w:tcPr>
          <w:p w14:paraId="5943A5A7">
            <w:pPr>
              <w:spacing w:line="520" w:lineRule="exact"/>
              <w:jc w:val="center"/>
              <w:rPr>
                <w:rFonts w:eastAsia="仿宋_GB2312"/>
                <w:sz w:val="28"/>
                <w:szCs w:val="28"/>
              </w:rPr>
            </w:pPr>
          </w:p>
        </w:tc>
        <w:tc>
          <w:tcPr>
            <w:tcW w:w="2161" w:type="dxa"/>
          </w:tcPr>
          <w:p w14:paraId="5FE882D1">
            <w:pPr>
              <w:spacing w:line="520" w:lineRule="exact"/>
              <w:jc w:val="center"/>
              <w:rPr>
                <w:rFonts w:eastAsia="仿宋_GB2312"/>
                <w:sz w:val="28"/>
                <w:szCs w:val="28"/>
              </w:rPr>
            </w:pPr>
            <w:r>
              <w:rPr>
                <w:rFonts w:hint="eastAsia" w:eastAsia="仿宋_GB2312"/>
                <w:sz w:val="28"/>
                <w:szCs w:val="28"/>
              </w:rPr>
              <w:t>不正确的配方（化学成分）</w:t>
            </w:r>
          </w:p>
        </w:tc>
        <w:tc>
          <w:tcPr>
            <w:tcW w:w="3053" w:type="dxa"/>
          </w:tcPr>
          <w:p w14:paraId="29ED88AE">
            <w:pPr>
              <w:spacing w:line="520" w:lineRule="exact"/>
              <w:jc w:val="center"/>
              <w:rPr>
                <w:rFonts w:eastAsia="仿宋_GB2312"/>
                <w:sz w:val="28"/>
                <w:szCs w:val="28"/>
              </w:rPr>
            </w:pPr>
            <w:r>
              <w:rPr>
                <w:rFonts w:hint="eastAsia" w:eastAsia="仿宋_GB2312"/>
                <w:sz w:val="28"/>
                <w:szCs w:val="28"/>
              </w:rPr>
              <w:t>未按照设计要求选择适宜材料。小分子物质残留量过大。</w:t>
            </w:r>
          </w:p>
        </w:tc>
        <w:tc>
          <w:tcPr>
            <w:tcW w:w="2185" w:type="dxa"/>
          </w:tcPr>
          <w:p w14:paraId="7C35ADD7">
            <w:pPr>
              <w:spacing w:line="520" w:lineRule="exact"/>
              <w:jc w:val="center"/>
              <w:rPr>
                <w:rFonts w:eastAsia="仿宋_GB2312"/>
                <w:sz w:val="28"/>
                <w:szCs w:val="28"/>
              </w:rPr>
            </w:pPr>
            <w:r>
              <w:rPr>
                <w:rFonts w:hint="eastAsia" w:eastAsia="仿宋_GB2312"/>
                <w:sz w:val="28"/>
                <w:szCs w:val="28"/>
              </w:rPr>
              <w:t>造成毒性危害。</w:t>
            </w:r>
          </w:p>
        </w:tc>
      </w:tr>
      <w:tr w14:paraId="34EC5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1" w:hRule="atLeast"/>
          <w:jc w:val="center"/>
        </w:trPr>
        <w:tc>
          <w:tcPr>
            <w:tcW w:w="1412" w:type="dxa"/>
            <w:vMerge w:val="continue"/>
          </w:tcPr>
          <w:p w14:paraId="7BCE6696">
            <w:pPr>
              <w:spacing w:line="520" w:lineRule="exact"/>
              <w:jc w:val="center"/>
              <w:rPr>
                <w:rFonts w:eastAsia="仿宋_GB2312"/>
                <w:sz w:val="28"/>
                <w:szCs w:val="28"/>
              </w:rPr>
            </w:pPr>
          </w:p>
        </w:tc>
        <w:tc>
          <w:tcPr>
            <w:tcW w:w="2161" w:type="dxa"/>
          </w:tcPr>
          <w:p w14:paraId="1B6AED4F">
            <w:pPr>
              <w:spacing w:line="520" w:lineRule="exact"/>
              <w:jc w:val="center"/>
              <w:rPr>
                <w:rFonts w:eastAsia="仿宋_GB2312"/>
                <w:sz w:val="28"/>
                <w:szCs w:val="28"/>
              </w:rPr>
            </w:pPr>
            <w:r>
              <w:rPr>
                <w:rFonts w:hint="eastAsia" w:eastAsia="仿宋_GB2312"/>
                <w:sz w:val="28"/>
                <w:szCs w:val="28"/>
              </w:rPr>
              <w:t>加工工艺</w:t>
            </w:r>
          </w:p>
        </w:tc>
        <w:tc>
          <w:tcPr>
            <w:tcW w:w="3053" w:type="dxa"/>
          </w:tcPr>
          <w:p w14:paraId="4022D044">
            <w:pPr>
              <w:spacing w:line="520" w:lineRule="exact"/>
              <w:jc w:val="center"/>
              <w:rPr>
                <w:rFonts w:eastAsia="仿宋_GB2312"/>
                <w:sz w:val="28"/>
                <w:szCs w:val="28"/>
              </w:rPr>
            </w:pPr>
            <w:r>
              <w:rPr>
                <w:rFonts w:hint="eastAsia" w:eastAsia="仿宋_GB2312"/>
                <w:sz w:val="28"/>
                <w:szCs w:val="28"/>
              </w:rPr>
              <w:t>加工工艺控制不严格，后处理工艺控制不严格，加工过程中引入了外来有害物质而未被有效去除。</w:t>
            </w:r>
          </w:p>
        </w:tc>
        <w:tc>
          <w:tcPr>
            <w:tcW w:w="2185" w:type="dxa"/>
            <w:tcBorders>
              <w:bottom w:val="single" w:color="auto" w:sz="4" w:space="0"/>
            </w:tcBorders>
          </w:tcPr>
          <w:p w14:paraId="689B698B">
            <w:pPr>
              <w:spacing w:line="520" w:lineRule="exact"/>
              <w:jc w:val="center"/>
              <w:rPr>
                <w:rFonts w:eastAsia="仿宋_GB2312"/>
                <w:sz w:val="28"/>
                <w:szCs w:val="28"/>
              </w:rPr>
            </w:pPr>
            <w:r>
              <w:rPr>
                <w:rFonts w:hint="eastAsia" w:eastAsia="仿宋_GB2312"/>
                <w:sz w:val="28"/>
                <w:szCs w:val="28"/>
              </w:rPr>
              <w:t>引入有害物质，引起患者感染或造成毒性危害。</w:t>
            </w:r>
          </w:p>
        </w:tc>
      </w:tr>
      <w:tr w14:paraId="7CE3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412" w:type="dxa"/>
            <w:vMerge w:val="continue"/>
          </w:tcPr>
          <w:p w14:paraId="454995FA">
            <w:pPr>
              <w:spacing w:line="520" w:lineRule="exact"/>
              <w:jc w:val="center"/>
              <w:rPr>
                <w:rFonts w:eastAsia="仿宋_GB2312"/>
                <w:sz w:val="28"/>
                <w:szCs w:val="28"/>
              </w:rPr>
            </w:pPr>
          </w:p>
        </w:tc>
        <w:tc>
          <w:tcPr>
            <w:tcW w:w="2161" w:type="dxa"/>
          </w:tcPr>
          <w:p w14:paraId="6E695D26">
            <w:pPr>
              <w:spacing w:line="520" w:lineRule="exact"/>
              <w:jc w:val="center"/>
              <w:rPr>
                <w:rFonts w:eastAsia="仿宋_GB2312"/>
                <w:sz w:val="28"/>
                <w:szCs w:val="28"/>
              </w:rPr>
            </w:pPr>
            <w:r>
              <w:rPr>
                <w:rFonts w:hint="eastAsia" w:eastAsia="仿宋_GB2312"/>
                <w:sz w:val="28"/>
                <w:szCs w:val="28"/>
              </w:rPr>
              <w:t>再感染和/或交叉感染</w:t>
            </w:r>
          </w:p>
        </w:tc>
        <w:tc>
          <w:tcPr>
            <w:tcW w:w="3053" w:type="dxa"/>
          </w:tcPr>
          <w:p w14:paraId="331D3926">
            <w:pPr>
              <w:spacing w:line="520" w:lineRule="exact"/>
              <w:jc w:val="center"/>
              <w:rPr>
                <w:rFonts w:eastAsia="仿宋_GB2312"/>
                <w:sz w:val="28"/>
                <w:szCs w:val="28"/>
              </w:rPr>
            </w:pPr>
            <w:r>
              <w:rPr>
                <w:rFonts w:hint="eastAsia" w:eastAsia="仿宋_GB2312"/>
                <w:sz w:val="28"/>
                <w:szCs w:val="28"/>
              </w:rPr>
              <w:t>使用不当、标识不清。</w:t>
            </w:r>
          </w:p>
        </w:tc>
        <w:tc>
          <w:tcPr>
            <w:tcW w:w="2185" w:type="dxa"/>
          </w:tcPr>
          <w:p w14:paraId="72ACDC4C">
            <w:pPr>
              <w:spacing w:line="520" w:lineRule="exact"/>
              <w:jc w:val="center"/>
              <w:rPr>
                <w:rFonts w:eastAsia="仿宋_GB2312"/>
                <w:sz w:val="28"/>
                <w:szCs w:val="28"/>
              </w:rPr>
            </w:pPr>
            <w:r>
              <w:rPr>
                <w:rFonts w:hint="eastAsia" w:eastAsia="仿宋_GB2312"/>
                <w:sz w:val="28"/>
                <w:szCs w:val="28"/>
              </w:rPr>
              <w:t>引起交叉感染。</w:t>
            </w:r>
          </w:p>
        </w:tc>
      </w:tr>
      <w:tr w14:paraId="2473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restart"/>
            <w:vAlign w:val="center"/>
          </w:tcPr>
          <w:p w14:paraId="67F56B0B">
            <w:pPr>
              <w:spacing w:line="520" w:lineRule="exact"/>
              <w:jc w:val="center"/>
              <w:rPr>
                <w:rFonts w:eastAsia="仿宋_GB2312"/>
                <w:sz w:val="28"/>
                <w:szCs w:val="28"/>
              </w:rPr>
            </w:pPr>
            <w:r>
              <w:rPr>
                <w:rFonts w:hint="eastAsia" w:eastAsia="仿宋_GB2312"/>
                <w:sz w:val="28"/>
                <w:szCs w:val="28"/>
              </w:rPr>
              <w:t>环境因素</w:t>
            </w:r>
          </w:p>
        </w:tc>
        <w:tc>
          <w:tcPr>
            <w:tcW w:w="2161" w:type="dxa"/>
          </w:tcPr>
          <w:p w14:paraId="4D67E3EB">
            <w:pPr>
              <w:spacing w:line="520" w:lineRule="exact"/>
              <w:jc w:val="center"/>
              <w:rPr>
                <w:rFonts w:eastAsia="仿宋_GB2312"/>
                <w:sz w:val="28"/>
                <w:szCs w:val="28"/>
              </w:rPr>
            </w:pPr>
            <w:r>
              <w:rPr>
                <w:rFonts w:hint="eastAsia" w:eastAsia="仿宋_GB2312"/>
                <w:sz w:val="28"/>
                <w:szCs w:val="28"/>
              </w:rPr>
              <w:t>储存或运行偏离预定的环境条件</w:t>
            </w:r>
          </w:p>
        </w:tc>
        <w:tc>
          <w:tcPr>
            <w:tcW w:w="3053" w:type="dxa"/>
          </w:tcPr>
          <w:p w14:paraId="34E43349">
            <w:pPr>
              <w:spacing w:line="520" w:lineRule="exact"/>
              <w:jc w:val="center"/>
              <w:rPr>
                <w:rFonts w:eastAsia="仿宋_GB2312"/>
                <w:sz w:val="28"/>
                <w:szCs w:val="28"/>
              </w:rPr>
            </w:pPr>
            <w:r>
              <w:rPr>
                <w:rFonts w:hint="eastAsia" w:eastAsia="仿宋_GB2312"/>
                <w:sz w:val="28"/>
                <w:szCs w:val="28"/>
              </w:rPr>
              <w:t>储运条件（如温度、湿度）不符合要求。</w:t>
            </w:r>
          </w:p>
        </w:tc>
        <w:tc>
          <w:tcPr>
            <w:tcW w:w="2185" w:type="dxa"/>
          </w:tcPr>
          <w:p w14:paraId="61247BFB">
            <w:pPr>
              <w:spacing w:line="520" w:lineRule="exact"/>
              <w:jc w:val="center"/>
              <w:rPr>
                <w:rFonts w:eastAsia="仿宋_GB2312"/>
                <w:sz w:val="28"/>
                <w:szCs w:val="28"/>
              </w:rPr>
            </w:pPr>
            <w:r>
              <w:rPr>
                <w:rFonts w:hint="eastAsia" w:eastAsia="仿宋_GB2312"/>
                <w:sz w:val="28"/>
                <w:szCs w:val="28"/>
              </w:rPr>
              <w:t>产品老化。</w:t>
            </w:r>
          </w:p>
          <w:p w14:paraId="467F7A60">
            <w:pPr>
              <w:spacing w:line="520" w:lineRule="exact"/>
              <w:jc w:val="center"/>
              <w:rPr>
                <w:rFonts w:eastAsia="仿宋_GB2312"/>
                <w:sz w:val="28"/>
                <w:szCs w:val="28"/>
              </w:rPr>
            </w:pPr>
            <w:r>
              <w:rPr>
                <w:rFonts w:hint="eastAsia" w:eastAsia="仿宋_GB2312"/>
                <w:sz w:val="28"/>
                <w:szCs w:val="28"/>
              </w:rPr>
              <w:t>无菌有效期缩短。</w:t>
            </w:r>
          </w:p>
        </w:tc>
      </w:tr>
      <w:tr w14:paraId="274D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22B60E1D">
            <w:pPr>
              <w:spacing w:line="520" w:lineRule="exact"/>
              <w:jc w:val="center"/>
              <w:rPr>
                <w:rFonts w:eastAsia="仿宋_GB2312"/>
                <w:sz w:val="28"/>
                <w:szCs w:val="28"/>
              </w:rPr>
            </w:pPr>
          </w:p>
        </w:tc>
        <w:tc>
          <w:tcPr>
            <w:tcW w:w="2161" w:type="dxa"/>
          </w:tcPr>
          <w:p w14:paraId="282862F8">
            <w:pPr>
              <w:spacing w:line="520" w:lineRule="exact"/>
              <w:jc w:val="center"/>
              <w:rPr>
                <w:rFonts w:eastAsia="仿宋_GB2312"/>
                <w:sz w:val="28"/>
                <w:szCs w:val="28"/>
              </w:rPr>
            </w:pPr>
            <w:r>
              <w:rPr>
                <w:rFonts w:hint="eastAsia" w:eastAsia="仿宋_GB2312"/>
                <w:sz w:val="28"/>
                <w:szCs w:val="28"/>
              </w:rPr>
              <w:t>意外的机械破坏</w:t>
            </w:r>
          </w:p>
        </w:tc>
        <w:tc>
          <w:tcPr>
            <w:tcW w:w="3053" w:type="dxa"/>
          </w:tcPr>
          <w:p w14:paraId="7E469652">
            <w:pPr>
              <w:spacing w:line="520" w:lineRule="exact"/>
              <w:jc w:val="center"/>
              <w:rPr>
                <w:rFonts w:eastAsia="仿宋_GB2312"/>
                <w:sz w:val="28"/>
                <w:szCs w:val="28"/>
              </w:rPr>
            </w:pPr>
            <w:r>
              <w:rPr>
                <w:rFonts w:hint="eastAsia" w:eastAsia="仿宋_GB2312"/>
                <w:sz w:val="28"/>
                <w:szCs w:val="28"/>
              </w:rPr>
              <w:t>储运、使用过程中发生意外的机械性破坏。</w:t>
            </w:r>
          </w:p>
        </w:tc>
        <w:tc>
          <w:tcPr>
            <w:tcW w:w="2185" w:type="dxa"/>
          </w:tcPr>
          <w:p w14:paraId="4CEB633D">
            <w:pPr>
              <w:spacing w:line="520" w:lineRule="exact"/>
              <w:jc w:val="center"/>
              <w:rPr>
                <w:rFonts w:eastAsia="仿宋_GB2312"/>
                <w:sz w:val="28"/>
                <w:szCs w:val="28"/>
              </w:rPr>
            </w:pPr>
            <w:r>
              <w:rPr>
                <w:rFonts w:hint="eastAsia" w:eastAsia="仿宋_GB2312"/>
                <w:sz w:val="28"/>
                <w:szCs w:val="28"/>
              </w:rPr>
              <w:t>产品使用性能无法得到保证。</w:t>
            </w:r>
          </w:p>
        </w:tc>
      </w:tr>
      <w:tr w14:paraId="546F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5C2CB061">
            <w:pPr>
              <w:spacing w:line="520" w:lineRule="exact"/>
              <w:jc w:val="center"/>
              <w:rPr>
                <w:rFonts w:eastAsia="仿宋_GB2312"/>
                <w:sz w:val="28"/>
                <w:szCs w:val="28"/>
              </w:rPr>
            </w:pPr>
          </w:p>
        </w:tc>
        <w:tc>
          <w:tcPr>
            <w:tcW w:w="2161" w:type="dxa"/>
          </w:tcPr>
          <w:p w14:paraId="12E4EFD7">
            <w:pPr>
              <w:spacing w:line="520" w:lineRule="exact"/>
              <w:jc w:val="center"/>
              <w:rPr>
                <w:rFonts w:eastAsia="仿宋_GB2312"/>
                <w:sz w:val="28"/>
                <w:szCs w:val="28"/>
              </w:rPr>
            </w:pPr>
            <w:r>
              <w:rPr>
                <w:rFonts w:hint="eastAsia" w:eastAsia="仿宋_GB2312"/>
                <w:sz w:val="28"/>
                <w:szCs w:val="28"/>
              </w:rPr>
              <w:t>由于废物和/或医疗器械处置的污染</w:t>
            </w:r>
          </w:p>
        </w:tc>
        <w:tc>
          <w:tcPr>
            <w:tcW w:w="3053" w:type="dxa"/>
          </w:tcPr>
          <w:p w14:paraId="7364CDD9">
            <w:pPr>
              <w:spacing w:line="520" w:lineRule="exact"/>
              <w:jc w:val="center"/>
              <w:rPr>
                <w:rFonts w:eastAsia="仿宋_GB2312"/>
                <w:sz w:val="28"/>
                <w:szCs w:val="28"/>
              </w:rPr>
            </w:pPr>
            <w:r>
              <w:rPr>
                <w:rFonts w:hint="eastAsia" w:eastAsia="仿宋_GB2312"/>
                <w:sz w:val="28"/>
                <w:szCs w:val="28"/>
              </w:rPr>
              <w:t>使用后的产品没有按照要求集中销毁。</w:t>
            </w:r>
          </w:p>
        </w:tc>
        <w:tc>
          <w:tcPr>
            <w:tcW w:w="2185" w:type="dxa"/>
          </w:tcPr>
          <w:p w14:paraId="4B0B544B">
            <w:pPr>
              <w:spacing w:line="520" w:lineRule="exact"/>
              <w:jc w:val="center"/>
              <w:rPr>
                <w:rFonts w:eastAsia="仿宋_GB2312"/>
                <w:sz w:val="28"/>
                <w:szCs w:val="28"/>
              </w:rPr>
            </w:pPr>
            <w:r>
              <w:rPr>
                <w:rFonts w:hint="eastAsia" w:eastAsia="仿宋_GB2312"/>
                <w:sz w:val="28"/>
                <w:szCs w:val="28"/>
              </w:rPr>
              <w:t>造成环境污染或者接触人员的感染。</w:t>
            </w:r>
          </w:p>
        </w:tc>
      </w:tr>
      <w:tr w14:paraId="545B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1" w:hRule="atLeast"/>
          <w:jc w:val="center"/>
        </w:trPr>
        <w:tc>
          <w:tcPr>
            <w:tcW w:w="1412" w:type="dxa"/>
            <w:vMerge w:val="restart"/>
            <w:vAlign w:val="center"/>
          </w:tcPr>
          <w:p w14:paraId="23CB1641">
            <w:pPr>
              <w:spacing w:line="520" w:lineRule="exact"/>
              <w:jc w:val="center"/>
              <w:rPr>
                <w:rFonts w:eastAsia="仿宋_GB2312"/>
                <w:sz w:val="28"/>
                <w:szCs w:val="28"/>
              </w:rPr>
            </w:pPr>
            <w:r>
              <w:rPr>
                <w:rFonts w:hint="eastAsia" w:eastAsia="仿宋_GB2312"/>
                <w:sz w:val="28"/>
                <w:szCs w:val="28"/>
              </w:rPr>
              <w:t>可用性</w:t>
            </w:r>
          </w:p>
        </w:tc>
        <w:tc>
          <w:tcPr>
            <w:tcW w:w="2161" w:type="dxa"/>
          </w:tcPr>
          <w:p w14:paraId="4B5C30B7">
            <w:pPr>
              <w:spacing w:line="520" w:lineRule="exact"/>
              <w:jc w:val="center"/>
              <w:rPr>
                <w:rFonts w:eastAsia="仿宋_GB2312"/>
                <w:sz w:val="28"/>
                <w:szCs w:val="28"/>
              </w:rPr>
            </w:pPr>
            <w:r>
              <w:rPr>
                <w:rFonts w:hint="eastAsia" w:eastAsia="仿宋_GB2312"/>
                <w:sz w:val="28"/>
                <w:szCs w:val="28"/>
              </w:rPr>
              <w:t>不适当的标记</w:t>
            </w:r>
          </w:p>
        </w:tc>
        <w:tc>
          <w:tcPr>
            <w:tcW w:w="3053" w:type="dxa"/>
          </w:tcPr>
          <w:p w14:paraId="07612800">
            <w:pPr>
              <w:spacing w:line="520" w:lineRule="exact"/>
              <w:jc w:val="center"/>
              <w:rPr>
                <w:rFonts w:eastAsia="仿宋_GB2312"/>
                <w:sz w:val="28"/>
                <w:szCs w:val="28"/>
              </w:rPr>
            </w:pPr>
            <w:r>
              <w:rPr>
                <w:rFonts w:hint="eastAsia" w:eastAsia="仿宋_GB2312"/>
                <w:sz w:val="28"/>
                <w:szCs w:val="28"/>
              </w:rPr>
              <w:t>标记不清晰、错误、</w:t>
            </w:r>
          </w:p>
          <w:p w14:paraId="5136CE68">
            <w:pPr>
              <w:spacing w:line="520" w:lineRule="exact"/>
              <w:jc w:val="center"/>
              <w:rPr>
                <w:rFonts w:eastAsia="仿宋_GB2312"/>
                <w:sz w:val="28"/>
                <w:szCs w:val="28"/>
              </w:rPr>
            </w:pPr>
            <w:r>
              <w:rPr>
                <w:rFonts w:hint="eastAsia" w:eastAsia="仿宋_GB2312"/>
                <w:sz w:val="28"/>
                <w:szCs w:val="28"/>
              </w:rPr>
              <w:t>没有按照要求进行标记。</w:t>
            </w:r>
          </w:p>
        </w:tc>
        <w:tc>
          <w:tcPr>
            <w:tcW w:w="2185" w:type="dxa"/>
          </w:tcPr>
          <w:p w14:paraId="647B0204">
            <w:pPr>
              <w:spacing w:line="520" w:lineRule="exact"/>
              <w:jc w:val="center"/>
              <w:rPr>
                <w:rFonts w:eastAsia="仿宋_GB2312"/>
                <w:sz w:val="28"/>
                <w:szCs w:val="28"/>
              </w:rPr>
            </w:pPr>
            <w:r>
              <w:rPr>
                <w:rFonts w:hint="eastAsia" w:eastAsia="仿宋_GB2312"/>
                <w:sz w:val="28"/>
                <w:szCs w:val="28"/>
              </w:rPr>
              <w:t>错误使用。</w:t>
            </w:r>
          </w:p>
          <w:p w14:paraId="03999C7D">
            <w:pPr>
              <w:spacing w:line="520" w:lineRule="exact"/>
              <w:jc w:val="center"/>
              <w:rPr>
                <w:rFonts w:eastAsia="仿宋_GB2312"/>
                <w:sz w:val="28"/>
                <w:szCs w:val="28"/>
              </w:rPr>
            </w:pPr>
            <w:r>
              <w:rPr>
                <w:rFonts w:hint="eastAsia" w:eastAsia="仿宋_GB2312"/>
                <w:sz w:val="28"/>
                <w:szCs w:val="28"/>
              </w:rPr>
              <w:t>储存错误。</w:t>
            </w:r>
          </w:p>
          <w:p w14:paraId="12AC9EC1">
            <w:pPr>
              <w:spacing w:line="520" w:lineRule="exact"/>
              <w:jc w:val="center"/>
              <w:rPr>
                <w:rFonts w:eastAsia="仿宋_GB2312"/>
                <w:sz w:val="28"/>
                <w:szCs w:val="28"/>
              </w:rPr>
            </w:pPr>
            <w:r>
              <w:rPr>
                <w:rFonts w:hint="eastAsia" w:eastAsia="仿宋_GB2312"/>
                <w:sz w:val="28"/>
                <w:szCs w:val="28"/>
              </w:rPr>
              <w:t>产品辨别错误。</w:t>
            </w:r>
          </w:p>
        </w:tc>
      </w:tr>
      <w:tr w14:paraId="5274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25709C18">
            <w:pPr>
              <w:spacing w:line="520" w:lineRule="exact"/>
              <w:jc w:val="center"/>
              <w:rPr>
                <w:rFonts w:eastAsia="仿宋_GB2312"/>
                <w:sz w:val="28"/>
                <w:szCs w:val="28"/>
              </w:rPr>
            </w:pPr>
          </w:p>
        </w:tc>
        <w:tc>
          <w:tcPr>
            <w:tcW w:w="2161" w:type="dxa"/>
          </w:tcPr>
          <w:p w14:paraId="15D58981">
            <w:pPr>
              <w:spacing w:line="520" w:lineRule="exact"/>
              <w:jc w:val="center"/>
              <w:rPr>
                <w:rFonts w:eastAsia="仿宋_GB2312"/>
                <w:sz w:val="28"/>
                <w:szCs w:val="28"/>
              </w:rPr>
            </w:pPr>
            <w:r>
              <w:rPr>
                <w:rFonts w:hint="eastAsia" w:eastAsia="仿宋_GB2312"/>
                <w:sz w:val="28"/>
                <w:szCs w:val="28"/>
              </w:rPr>
              <w:t>不适当的操作说明，如</w:t>
            </w:r>
            <w:bookmarkStart w:id="17" w:name="_GoBack"/>
            <w:r>
              <w:rPr>
                <w:rFonts w:hint="eastAsia" w:eastAsia="仿宋_GB2312"/>
                <w:sz w:val="28"/>
                <w:szCs w:val="28"/>
              </w:rPr>
              <w:t>：</w:t>
            </w:r>
            <w:bookmarkEnd w:id="17"/>
          </w:p>
          <w:p w14:paraId="75476C9B">
            <w:pPr>
              <w:spacing w:line="520" w:lineRule="exact"/>
              <w:jc w:val="center"/>
              <w:rPr>
                <w:rFonts w:eastAsia="仿宋_GB2312"/>
                <w:sz w:val="28"/>
                <w:szCs w:val="28"/>
              </w:rPr>
            </w:pPr>
            <w:r>
              <w:rPr>
                <w:rFonts w:hint="eastAsia" w:eastAsia="仿宋_GB2312"/>
                <w:sz w:val="28"/>
                <w:szCs w:val="28"/>
              </w:rPr>
              <w:t>偏离使用说明；说明书关于使用说明不全面</w:t>
            </w:r>
          </w:p>
        </w:tc>
        <w:tc>
          <w:tcPr>
            <w:tcW w:w="3053" w:type="dxa"/>
          </w:tcPr>
          <w:p w14:paraId="1EE0D722">
            <w:pPr>
              <w:spacing w:line="520" w:lineRule="exact"/>
              <w:jc w:val="center"/>
              <w:rPr>
                <w:rFonts w:eastAsia="仿宋_GB2312"/>
                <w:sz w:val="28"/>
                <w:szCs w:val="28"/>
              </w:rPr>
            </w:pPr>
            <w:r>
              <w:rPr>
                <w:rFonts w:hint="eastAsia" w:eastAsia="仿宋_GB2312"/>
                <w:sz w:val="28"/>
                <w:szCs w:val="28"/>
              </w:rPr>
              <w:t>包装破损无法识别。</w:t>
            </w:r>
          </w:p>
          <w:p w14:paraId="424A26C2">
            <w:pPr>
              <w:spacing w:line="520" w:lineRule="exact"/>
              <w:jc w:val="center"/>
              <w:rPr>
                <w:rFonts w:eastAsia="仿宋_GB2312"/>
                <w:sz w:val="28"/>
                <w:szCs w:val="28"/>
              </w:rPr>
            </w:pPr>
            <w:r>
              <w:rPr>
                <w:rFonts w:hint="eastAsia" w:eastAsia="仿宋_GB2312"/>
                <w:sz w:val="28"/>
                <w:szCs w:val="28"/>
              </w:rPr>
              <w:t>操作要点不突出。</w:t>
            </w:r>
          </w:p>
        </w:tc>
        <w:tc>
          <w:tcPr>
            <w:tcW w:w="2185" w:type="dxa"/>
          </w:tcPr>
          <w:p w14:paraId="0B219CAC">
            <w:pPr>
              <w:spacing w:line="520" w:lineRule="exact"/>
              <w:jc w:val="center"/>
              <w:rPr>
                <w:rFonts w:eastAsia="仿宋_GB2312"/>
                <w:sz w:val="28"/>
                <w:szCs w:val="28"/>
              </w:rPr>
            </w:pPr>
            <w:r>
              <w:rPr>
                <w:rFonts w:hint="eastAsia" w:eastAsia="仿宋_GB2312"/>
                <w:sz w:val="28"/>
                <w:szCs w:val="28"/>
              </w:rPr>
              <w:t>无法保证使用安全性。</w:t>
            </w:r>
          </w:p>
          <w:p w14:paraId="1DB6AA29">
            <w:pPr>
              <w:spacing w:line="520" w:lineRule="exact"/>
              <w:jc w:val="center"/>
              <w:rPr>
                <w:rFonts w:eastAsia="仿宋_GB2312"/>
                <w:sz w:val="28"/>
                <w:szCs w:val="28"/>
              </w:rPr>
            </w:pPr>
            <w:r>
              <w:rPr>
                <w:rFonts w:hint="eastAsia" w:eastAsia="仿宋_GB2312"/>
                <w:sz w:val="28"/>
                <w:szCs w:val="28"/>
              </w:rPr>
              <w:t>导致操作失误。</w:t>
            </w:r>
          </w:p>
        </w:tc>
      </w:tr>
      <w:tr w14:paraId="60A7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42045176">
            <w:pPr>
              <w:spacing w:line="520" w:lineRule="exact"/>
              <w:jc w:val="center"/>
              <w:rPr>
                <w:rFonts w:eastAsia="仿宋_GB2312"/>
                <w:sz w:val="28"/>
                <w:szCs w:val="28"/>
              </w:rPr>
            </w:pPr>
          </w:p>
        </w:tc>
        <w:tc>
          <w:tcPr>
            <w:tcW w:w="2161" w:type="dxa"/>
          </w:tcPr>
          <w:p w14:paraId="7C40EA69">
            <w:pPr>
              <w:spacing w:line="520" w:lineRule="exact"/>
              <w:jc w:val="center"/>
              <w:rPr>
                <w:rFonts w:eastAsia="仿宋_GB2312"/>
                <w:sz w:val="28"/>
                <w:szCs w:val="28"/>
              </w:rPr>
            </w:pPr>
            <w:r>
              <w:rPr>
                <w:rFonts w:hint="eastAsia" w:eastAsia="仿宋_GB2312"/>
                <w:sz w:val="28"/>
                <w:szCs w:val="28"/>
              </w:rPr>
              <w:t>由不熟练/未经培训的人员使用</w:t>
            </w:r>
          </w:p>
        </w:tc>
        <w:tc>
          <w:tcPr>
            <w:tcW w:w="3053" w:type="dxa"/>
          </w:tcPr>
          <w:p w14:paraId="6EA1259B">
            <w:pPr>
              <w:spacing w:line="520" w:lineRule="exact"/>
              <w:jc w:val="center"/>
              <w:rPr>
                <w:rFonts w:eastAsia="仿宋_GB2312"/>
                <w:sz w:val="28"/>
                <w:szCs w:val="28"/>
              </w:rPr>
            </w:pPr>
            <w:r>
              <w:rPr>
                <w:rFonts w:hint="eastAsia" w:eastAsia="仿宋_GB2312"/>
                <w:sz w:val="28"/>
                <w:szCs w:val="28"/>
              </w:rPr>
              <w:t>操作不熟练、操作失误。</w:t>
            </w:r>
          </w:p>
        </w:tc>
        <w:tc>
          <w:tcPr>
            <w:tcW w:w="2185" w:type="dxa"/>
          </w:tcPr>
          <w:p w14:paraId="1D98DBE5">
            <w:pPr>
              <w:spacing w:line="520" w:lineRule="exact"/>
              <w:jc w:val="center"/>
              <w:rPr>
                <w:rFonts w:eastAsia="仿宋_GB2312"/>
                <w:sz w:val="28"/>
                <w:szCs w:val="28"/>
              </w:rPr>
            </w:pPr>
            <w:r>
              <w:rPr>
                <w:rFonts w:hint="eastAsia" w:eastAsia="仿宋_GB2312"/>
                <w:sz w:val="28"/>
                <w:szCs w:val="28"/>
              </w:rPr>
              <w:t>导致延误或不正确治疗。</w:t>
            </w:r>
          </w:p>
        </w:tc>
      </w:tr>
      <w:tr w14:paraId="204F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715C3E20">
            <w:pPr>
              <w:spacing w:line="520" w:lineRule="exact"/>
              <w:jc w:val="center"/>
              <w:rPr>
                <w:rFonts w:eastAsia="仿宋_GB2312"/>
                <w:sz w:val="28"/>
                <w:szCs w:val="28"/>
              </w:rPr>
            </w:pPr>
          </w:p>
        </w:tc>
        <w:tc>
          <w:tcPr>
            <w:tcW w:w="2161" w:type="dxa"/>
          </w:tcPr>
          <w:p w14:paraId="4C8DE5ED">
            <w:pPr>
              <w:spacing w:line="520" w:lineRule="exact"/>
              <w:jc w:val="center"/>
              <w:rPr>
                <w:rFonts w:eastAsia="仿宋_GB2312"/>
                <w:sz w:val="28"/>
                <w:szCs w:val="28"/>
              </w:rPr>
            </w:pPr>
            <w:r>
              <w:rPr>
                <w:rFonts w:hint="eastAsia" w:eastAsia="仿宋_GB2312"/>
                <w:sz w:val="28"/>
                <w:szCs w:val="28"/>
              </w:rPr>
              <w:t>合理可预见的误用</w:t>
            </w:r>
          </w:p>
        </w:tc>
        <w:tc>
          <w:tcPr>
            <w:tcW w:w="3053" w:type="dxa"/>
          </w:tcPr>
          <w:p w14:paraId="24F04351">
            <w:pPr>
              <w:spacing w:line="520" w:lineRule="exact"/>
              <w:jc w:val="center"/>
              <w:rPr>
                <w:rFonts w:eastAsia="仿宋_GB2312"/>
                <w:sz w:val="28"/>
                <w:szCs w:val="28"/>
              </w:rPr>
            </w:pPr>
            <w:r>
              <w:rPr>
                <w:rFonts w:hint="eastAsia" w:eastAsia="仿宋_GB2312"/>
                <w:sz w:val="28"/>
                <w:szCs w:val="28"/>
              </w:rPr>
              <w:t>型号规格选用错误。</w:t>
            </w:r>
          </w:p>
        </w:tc>
        <w:tc>
          <w:tcPr>
            <w:tcW w:w="2185" w:type="dxa"/>
          </w:tcPr>
          <w:p w14:paraId="4822C897">
            <w:pPr>
              <w:spacing w:line="520" w:lineRule="exact"/>
              <w:jc w:val="center"/>
              <w:rPr>
                <w:rFonts w:eastAsia="仿宋_GB2312"/>
                <w:sz w:val="28"/>
                <w:szCs w:val="28"/>
              </w:rPr>
            </w:pPr>
            <w:r>
              <w:rPr>
                <w:rFonts w:hint="eastAsia" w:eastAsia="仿宋_GB2312"/>
                <w:sz w:val="28"/>
                <w:szCs w:val="28"/>
              </w:rPr>
              <w:t>导致</w:t>
            </w:r>
            <w:r>
              <w:rPr>
                <w:rFonts w:hint="eastAsia" w:eastAsia="仿宋_GB2312"/>
                <w:sz w:val="28"/>
                <w:szCs w:val="28"/>
                <w:lang w:val="en-US" w:eastAsia="zh-CN"/>
              </w:rPr>
              <w:t>产品无法适配内窥镜尺寸，无法时限预期用途</w:t>
            </w:r>
            <w:r>
              <w:rPr>
                <w:rFonts w:hint="eastAsia" w:eastAsia="仿宋_GB2312"/>
                <w:sz w:val="28"/>
                <w:szCs w:val="28"/>
              </w:rPr>
              <w:t>。</w:t>
            </w:r>
          </w:p>
        </w:tc>
      </w:tr>
      <w:tr w14:paraId="3F8C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0" w:hRule="atLeast"/>
          <w:jc w:val="center"/>
        </w:trPr>
        <w:tc>
          <w:tcPr>
            <w:tcW w:w="1412" w:type="dxa"/>
            <w:vMerge w:val="continue"/>
          </w:tcPr>
          <w:p w14:paraId="4F076E0C">
            <w:pPr>
              <w:spacing w:line="520" w:lineRule="exact"/>
              <w:jc w:val="center"/>
              <w:rPr>
                <w:rFonts w:eastAsia="仿宋_GB2312"/>
                <w:sz w:val="28"/>
                <w:szCs w:val="28"/>
              </w:rPr>
            </w:pPr>
          </w:p>
        </w:tc>
        <w:tc>
          <w:tcPr>
            <w:tcW w:w="2161" w:type="dxa"/>
          </w:tcPr>
          <w:p w14:paraId="1C4CC9A4">
            <w:pPr>
              <w:spacing w:line="520" w:lineRule="exact"/>
              <w:jc w:val="center"/>
              <w:rPr>
                <w:rFonts w:eastAsia="仿宋_GB2312"/>
                <w:sz w:val="28"/>
                <w:szCs w:val="28"/>
              </w:rPr>
            </w:pPr>
            <w:r>
              <w:rPr>
                <w:rFonts w:hint="eastAsia" w:eastAsia="仿宋_GB2312"/>
                <w:sz w:val="28"/>
                <w:szCs w:val="28"/>
              </w:rPr>
              <w:t>对一次性使用医疗器械很可能再次使用的危险（源）警告不适当</w:t>
            </w:r>
          </w:p>
        </w:tc>
        <w:tc>
          <w:tcPr>
            <w:tcW w:w="3053" w:type="dxa"/>
          </w:tcPr>
          <w:p w14:paraId="252C875B">
            <w:pPr>
              <w:spacing w:line="520" w:lineRule="exact"/>
              <w:jc w:val="center"/>
              <w:rPr>
                <w:rFonts w:eastAsia="仿宋_GB2312"/>
                <w:sz w:val="28"/>
                <w:szCs w:val="28"/>
              </w:rPr>
            </w:pPr>
            <w:r>
              <w:rPr>
                <w:rFonts w:hint="eastAsia" w:eastAsia="仿宋_GB2312"/>
                <w:sz w:val="28"/>
                <w:szCs w:val="28"/>
              </w:rPr>
              <w:t>造成重复使用。</w:t>
            </w:r>
          </w:p>
        </w:tc>
        <w:tc>
          <w:tcPr>
            <w:tcW w:w="2185" w:type="dxa"/>
          </w:tcPr>
          <w:p w14:paraId="6CD70726">
            <w:pPr>
              <w:spacing w:line="520" w:lineRule="exact"/>
              <w:jc w:val="center"/>
              <w:rPr>
                <w:rFonts w:eastAsia="仿宋_GB2312"/>
                <w:sz w:val="28"/>
                <w:szCs w:val="28"/>
              </w:rPr>
            </w:pPr>
            <w:r>
              <w:rPr>
                <w:rFonts w:hint="eastAsia" w:eastAsia="仿宋_GB2312"/>
                <w:sz w:val="28"/>
                <w:szCs w:val="28"/>
              </w:rPr>
              <w:t>交叉感染。</w:t>
            </w:r>
          </w:p>
        </w:tc>
      </w:tr>
      <w:tr w14:paraId="48A87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6" w:hRule="atLeast"/>
          <w:jc w:val="center"/>
        </w:trPr>
        <w:tc>
          <w:tcPr>
            <w:tcW w:w="1412" w:type="dxa"/>
            <w:vMerge w:val="continue"/>
          </w:tcPr>
          <w:p w14:paraId="4CAC86DD">
            <w:pPr>
              <w:spacing w:line="520" w:lineRule="exact"/>
              <w:jc w:val="center"/>
              <w:rPr>
                <w:rFonts w:eastAsia="仿宋_GB2312"/>
                <w:sz w:val="28"/>
                <w:szCs w:val="28"/>
              </w:rPr>
            </w:pPr>
          </w:p>
        </w:tc>
        <w:tc>
          <w:tcPr>
            <w:tcW w:w="2161" w:type="dxa"/>
            <w:tcBorders>
              <w:top w:val="nil"/>
            </w:tcBorders>
          </w:tcPr>
          <w:p w14:paraId="24FB6452">
            <w:pPr>
              <w:spacing w:line="520" w:lineRule="exact"/>
              <w:jc w:val="center"/>
              <w:rPr>
                <w:rFonts w:eastAsia="仿宋_GB2312"/>
                <w:sz w:val="28"/>
                <w:szCs w:val="28"/>
              </w:rPr>
            </w:pPr>
            <w:r>
              <w:rPr>
                <w:rFonts w:hint="eastAsia" w:eastAsia="仿宋_GB2312"/>
                <w:sz w:val="28"/>
                <w:szCs w:val="28"/>
              </w:rPr>
              <w:t>违反或缩减说明书、程序等</w:t>
            </w:r>
          </w:p>
        </w:tc>
        <w:tc>
          <w:tcPr>
            <w:tcW w:w="3053" w:type="dxa"/>
          </w:tcPr>
          <w:p w14:paraId="1EC26744">
            <w:pPr>
              <w:spacing w:line="520" w:lineRule="exact"/>
              <w:jc w:val="center"/>
              <w:rPr>
                <w:rFonts w:eastAsia="仿宋_GB2312"/>
                <w:sz w:val="28"/>
                <w:szCs w:val="28"/>
              </w:rPr>
            </w:pPr>
            <w:r>
              <w:rPr>
                <w:rFonts w:hint="eastAsia" w:eastAsia="仿宋_GB2312"/>
                <w:sz w:val="28"/>
                <w:szCs w:val="28"/>
              </w:rPr>
              <w:t>操作方法、注意事项、储存方法、警示事项等表述不清。</w:t>
            </w:r>
          </w:p>
        </w:tc>
        <w:tc>
          <w:tcPr>
            <w:tcW w:w="2185" w:type="dxa"/>
          </w:tcPr>
          <w:p w14:paraId="7DA7BAC2">
            <w:pPr>
              <w:spacing w:line="520" w:lineRule="exact"/>
              <w:jc w:val="center"/>
              <w:rPr>
                <w:rFonts w:eastAsia="仿宋_GB2312"/>
                <w:sz w:val="28"/>
                <w:szCs w:val="28"/>
              </w:rPr>
            </w:pPr>
            <w:r>
              <w:rPr>
                <w:rFonts w:hint="eastAsia" w:eastAsia="仿宋_GB2312"/>
                <w:sz w:val="28"/>
                <w:szCs w:val="28"/>
              </w:rPr>
              <w:t>重复使用引起感染。</w:t>
            </w:r>
          </w:p>
          <w:p w14:paraId="355EAE2D">
            <w:pPr>
              <w:spacing w:line="520" w:lineRule="exact"/>
              <w:jc w:val="center"/>
              <w:rPr>
                <w:rFonts w:eastAsia="仿宋_GB2312"/>
                <w:sz w:val="28"/>
                <w:szCs w:val="28"/>
              </w:rPr>
            </w:pPr>
            <w:r>
              <w:rPr>
                <w:rFonts w:hint="eastAsia" w:eastAsia="仿宋_GB2312"/>
                <w:sz w:val="28"/>
                <w:szCs w:val="28"/>
              </w:rPr>
              <w:t>没有集中销毁造成环境污染等。</w:t>
            </w:r>
          </w:p>
        </w:tc>
      </w:tr>
      <w:tr w14:paraId="129D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restart"/>
            <w:vAlign w:val="center"/>
          </w:tcPr>
          <w:p w14:paraId="6F0D6073">
            <w:pPr>
              <w:spacing w:line="520" w:lineRule="exact"/>
              <w:jc w:val="center"/>
              <w:rPr>
                <w:rFonts w:eastAsia="仿宋_GB2312"/>
                <w:sz w:val="28"/>
                <w:szCs w:val="28"/>
              </w:rPr>
            </w:pPr>
            <w:r>
              <w:rPr>
                <w:rFonts w:hint="eastAsia" w:eastAsia="仿宋_GB2312"/>
                <w:sz w:val="28"/>
                <w:szCs w:val="28"/>
              </w:rPr>
              <w:t>功能性</w:t>
            </w:r>
          </w:p>
        </w:tc>
        <w:tc>
          <w:tcPr>
            <w:tcW w:w="2161" w:type="dxa"/>
          </w:tcPr>
          <w:p w14:paraId="54750F86">
            <w:pPr>
              <w:spacing w:line="520" w:lineRule="exact"/>
              <w:jc w:val="center"/>
              <w:rPr>
                <w:rFonts w:eastAsia="仿宋_GB2312"/>
                <w:sz w:val="28"/>
                <w:szCs w:val="28"/>
              </w:rPr>
            </w:pPr>
            <w:r>
              <w:rPr>
                <w:rFonts w:hint="eastAsia" w:eastAsia="仿宋_GB2312"/>
                <w:sz w:val="28"/>
                <w:szCs w:val="28"/>
              </w:rPr>
              <w:t>对医疗器械寿命终止缺少适当的决定</w:t>
            </w:r>
          </w:p>
        </w:tc>
        <w:tc>
          <w:tcPr>
            <w:tcW w:w="3053" w:type="dxa"/>
          </w:tcPr>
          <w:p w14:paraId="060362A4">
            <w:pPr>
              <w:spacing w:line="520" w:lineRule="exact"/>
              <w:jc w:val="center"/>
              <w:rPr>
                <w:rFonts w:eastAsia="仿宋_GB2312"/>
                <w:sz w:val="28"/>
                <w:szCs w:val="28"/>
              </w:rPr>
            </w:pPr>
            <w:r>
              <w:rPr>
                <w:rFonts w:hint="eastAsia" w:eastAsia="仿宋_GB2312"/>
                <w:sz w:val="28"/>
                <w:szCs w:val="28"/>
              </w:rPr>
              <w:t>没有标识产品有效期。</w:t>
            </w:r>
          </w:p>
        </w:tc>
        <w:tc>
          <w:tcPr>
            <w:tcW w:w="2185" w:type="dxa"/>
          </w:tcPr>
          <w:p w14:paraId="2A6FBB36">
            <w:pPr>
              <w:spacing w:line="520" w:lineRule="exact"/>
              <w:jc w:val="center"/>
              <w:rPr>
                <w:rFonts w:eastAsia="仿宋_GB2312"/>
                <w:sz w:val="28"/>
                <w:szCs w:val="28"/>
              </w:rPr>
            </w:pPr>
            <w:r>
              <w:rPr>
                <w:rFonts w:hint="eastAsia" w:eastAsia="仿宋_GB2312"/>
                <w:sz w:val="28"/>
                <w:szCs w:val="28"/>
              </w:rPr>
              <w:t>超出灭菌有效期的产品被使用，造成细菌感染。</w:t>
            </w:r>
          </w:p>
        </w:tc>
      </w:tr>
      <w:tr w14:paraId="401A4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75DE5DE5">
            <w:pPr>
              <w:spacing w:line="520" w:lineRule="exact"/>
              <w:jc w:val="center"/>
              <w:rPr>
                <w:rFonts w:eastAsia="仿宋_GB2312"/>
                <w:sz w:val="28"/>
                <w:szCs w:val="28"/>
              </w:rPr>
            </w:pPr>
          </w:p>
        </w:tc>
        <w:tc>
          <w:tcPr>
            <w:tcW w:w="2161" w:type="dxa"/>
          </w:tcPr>
          <w:p w14:paraId="09011C13">
            <w:pPr>
              <w:spacing w:line="520" w:lineRule="exact"/>
              <w:jc w:val="center"/>
              <w:rPr>
                <w:rFonts w:eastAsia="仿宋_GB2312"/>
                <w:sz w:val="28"/>
                <w:szCs w:val="28"/>
              </w:rPr>
            </w:pPr>
            <w:r>
              <w:rPr>
                <w:rFonts w:hint="eastAsia" w:eastAsia="仿宋_GB2312"/>
                <w:sz w:val="28"/>
                <w:szCs w:val="28"/>
              </w:rPr>
              <w:t>不适当的包装（医疗器械的污染和/或变质）</w:t>
            </w:r>
          </w:p>
        </w:tc>
        <w:tc>
          <w:tcPr>
            <w:tcW w:w="3053" w:type="dxa"/>
          </w:tcPr>
          <w:p w14:paraId="532D0691">
            <w:pPr>
              <w:spacing w:line="520" w:lineRule="exact"/>
              <w:jc w:val="center"/>
              <w:rPr>
                <w:rFonts w:eastAsia="仿宋_GB2312"/>
                <w:sz w:val="28"/>
                <w:szCs w:val="28"/>
              </w:rPr>
            </w:pPr>
            <w:r>
              <w:rPr>
                <w:rFonts w:hint="eastAsia" w:eastAsia="仿宋_GB2312"/>
                <w:sz w:val="28"/>
                <w:szCs w:val="28"/>
              </w:rPr>
              <w:t>没有进行包装确认。</w:t>
            </w:r>
          </w:p>
        </w:tc>
        <w:tc>
          <w:tcPr>
            <w:tcW w:w="2185" w:type="dxa"/>
          </w:tcPr>
          <w:p w14:paraId="426B05EE">
            <w:pPr>
              <w:spacing w:line="520" w:lineRule="exact"/>
              <w:jc w:val="center"/>
              <w:rPr>
                <w:rFonts w:eastAsia="仿宋_GB2312"/>
                <w:sz w:val="28"/>
                <w:szCs w:val="28"/>
              </w:rPr>
            </w:pPr>
            <w:r>
              <w:rPr>
                <w:rFonts w:hint="eastAsia" w:eastAsia="仿宋_GB2312"/>
                <w:sz w:val="28"/>
                <w:szCs w:val="28"/>
              </w:rPr>
              <w:t>不能确保产品无菌，从而导致出现细菌感染。</w:t>
            </w:r>
          </w:p>
        </w:tc>
      </w:tr>
      <w:tr w14:paraId="0EE4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45E872AF">
            <w:pPr>
              <w:spacing w:line="520" w:lineRule="exact"/>
              <w:jc w:val="center"/>
              <w:rPr>
                <w:rFonts w:eastAsia="仿宋_GB2312"/>
                <w:sz w:val="28"/>
                <w:szCs w:val="28"/>
              </w:rPr>
            </w:pPr>
          </w:p>
        </w:tc>
        <w:tc>
          <w:tcPr>
            <w:tcW w:w="2161" w:type="dxa"/>
          </w:tcPr>
          <w:p w14:paraId="04B3A258">
            <w:pPr>
              <w:spacing w:line="520" w:lineRule="exact"/>
              <w:jc w:val="center"/>
              <w:rPr>
                <w:rFonts w:eastAsia="仿宋_GB2312"/>
                <w:sz w:val="28"/>
                <w:szCs w:val="28"/>
              </w:rPr>
            </w:pPr>
            <w:r>
              <w:rPr>
                <w:rFonts w:hint="eastAsia" w:eastAsia="仿宋_GB2312"/>
                <w:sz w:val="28"/>
                <w:szCs w:val="28"/>
              </w:rPr>
              <w:t>再次使用和/或不适当的再次使用</w:t>
            </w:r>
          </w:p>
        </w:tc>
        <w:tc>
          <w:tcPr>
            <w:tcW w:w="3053" w:type="dxa"/>
          </w:tcPr>
          <w:p w14:paraId="21454975">
            <w:pPr>
              <w:spacing w:line="520" w:lineRule="exact"/>
              <w:jc w:val="center"/>
              <w:rPr>
                <w:rFonts w:eastAsia="仿宋_GB2312"/>
                <w:sz w:val="28"/>
                <w:szCs w:val="28"/>
              </w:rPr>
            </w:pPr>
            <w:r>
              <w:rPr>
                <w:rFonts w:hint="eastAsia" w:eastAsia="仿宋_GB2312"/>
                <w:sz w:val="28"/>
                <w:szCs w:val="28"/>
              </w:rPr>
              <w:t>产品标识没有明确只限一次性使用。</w:t>
            </w:r>
          </w:p>
        </w:tc>
        <w:tc>
          <w:tcPr>
            <w:tcW w:w="2185" w:type="dxa"/>
          </w:tcPr>
          <w:p w14:paraId="35013CEE">
            <w:pPr>
              <w:spacing w:line="520" w:lineRule="exact"/>
              <w:jc w:val="center"/>
              <w:rPr>
                <w:rFonts w:eastAsia="仿宋_GB2312"/>
                <w:sz w:val="28"/>
                <w:szCs w:val="28"/>
              </w:rPr>
            </w:pPr>
            <w:r>
              <w:rPr>
                <w:rFonts w:hint="eastAsia" w:eastAsia="仿宋_GB2312"/>
                <w:sz w:val="28"/>
                <w:szCs w:val="28"/>
              </w:rPr>
              <w:t>出现细菌感染、交叉感染等现象。</w:t>
            </w:r>
          </w:p>
        </w:tc>
      </w:tr>
      <w:tr w14:paraId="463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043AABCF">
            <w:pPr>
              <w:spacing w:line="520" w:lineRule="exact"/>
              <w:jc w:val="center"/>
              <w:rPr>
                <w:rFonts w:eastAsia="仿宋_GB2312"/>
                <w:sz w:val="28"/>
                <w:szCs w:val="28"/>
              </w:rPr>
            </w:pPr>
          </w:p>
        </w:tc>
        <w:tc>
          <w:tcPr>
            <w:tcW w:w="2161" w:type="dxa"/>
          </w:tcPr>
          <w:p w14:paraId="1A73FBA0">
            <w:pPr>
              <w:spacing w:line="520" w:lineRule="exact"/>
              <w:jc w:val="center"/>
              <w:rPr>
                <w:rFonts w:eastAsia="仿宋_GB2312"/>
                <w:sz w:val="28"/>
                <w:szCs w:val="28"/>
              </w:rPr>
            </w:pPr>
            <w:r>
              <w:rPr>
                <w:rFonts w:hint="eastAsia" w:eastAsia="仿宋_GB2312"/>
                <w:sz w:val="28"/>
                <w:szCs w:val="28"/>
              </w:rPr>
              <w:t>性能缺陷</w:t>
            </w:r>
          </w:p>
        </w:tc>
        <w:tc>
          <w:tcPr>
            <w:tcW w:w="3053" w:type="dxa"/>
          </w:tcPr>
          <w:p w14:paraId="5D452219">
            <w:pPr>
              <w:pStyle w:val="2"/>
              <w:spacing w:line="520" w:lineRule="exact"/>
              <w:jc w:val="center"/>
              <w:rPr>
                <w:rFonts w:ascii="仿宋_GB2312" w:eastAsia="仿宋_GB2312"/>
                <w:color w:val="000000"/>
                <w:sz w:val="28"/>
                <w:szCs w:val="28"/>
              </w:rPr>
            </w:pPr>
            <w:r>
              <w:rPr>
                <w:rFonts w:hint="eastAsia" w:ascii="仿宋_GB2312" w:eastAsia="仿宋_GB2312"/>
                <w:color w:val="000000"/>
                <w:sz w:val="28"/>
                <w:szCs w:val="28"/>
              </w:rPr>
              <w:t>产品表面粗糙、</w:t>
            </w:r>
            <w:r>
              <w:rPr>
                <w:rFonts w:hint="eastAsia" w:ascii="仿宋_GB2312" w:eastAsia="仿宋_GB2312"/>
                <w:color w:val="000000"/>
                <w:sz w:val="28"/>
                <w:szCs w:val="28"/>
                <w:lang w:val="en-US" w:eastAsia="zh-CN"/>
              </w:rPr>
              <w:t>变形、</w:t>
            </w:r>
            <w:r>
              <w:rPr>
                <w:rFonts w:hint="eastAsia" w:ascii="仿宋_GB2312" w:eastAsia="仿宋_GB2312"/>
                <w:color w:val="000000"/>
                <w:sz w:val="28"/>
                <w:szCs w:val="28"/>
              </w:rPr>
              <w:t>有毛刺；</w:t>
            </w:r>
          </w:p>
          <w:p w14:paraId="3DC8C1E4">
            <w:pPr>
              <w:spacing w:line="520" w:lineRule="exact"/>
              <w:jc w:val="center"/>
            </w:pPr>
            <w:r>
              <w:rPr>
                <w:rFonts w:hint="eastAsia" w:ascii="仿宋_GB2312" w:eastAsia="仿宋_GB2312"/>
                <w:color w:val="000000"/>
                <w:sz w:val="28"/>
                <w:szCs w:val="28"/>
              </w:rPr>
              <w:t>产品连接部位强度不足；</w:t>
            </w:r>
            <w:r>
              <w:rPr>
                <w:rFonts w:hint="eastAsia" w:ascii="仿宋_GB2312" w:eastAsia="仿宋_GB2312"/>
                <w:color w:val="000000"/>
                <w:sz w:val="28"/>
                <w:szCs w:val="28"/>
                <w:lang w:val="en-US" w:eastAsia="zh-CN"/>
              </w:rPr>
              <w:t>先端帽脱落；</w:t>
            </w:r>
            <w:r>
              <w:rPr>
                <w:rFonts w:hint="eastAsia" w:ascii="仿宋_GB2312" w:eastAsia="仿宋_GB2312"/>
                <w:color w:val="000000"/>
                <w:sz w:val="28"/>
                <w:szCs w:val="28"/>
              </w:rPr>
              <w:t>从患者体内</w:t>
            </w:r>
            <w:r>
              <w:rPr>
                <w:rFonts w:hint="eastAsia" w:ascii="仿宋_GB2312" w:eastAsia="仿宋_GB2312"/>
                <w:color w:val="000000"/>
                <w:sz w:val="28"/>
                <w:szCs w:val="28"/>
                <w:lang w:val="en-US" w:eastAsia="zh-CN"/>
              </w:rPr>
              <w:t>撤</w:t>
            </w:r>
            <w:r>
              <w:rPr>
                <w:rFonts w:hint="eastAsia" w:ascii="仿宋_GB2312" w:eastAsia="仿宋_GB2312"/>
                <w:color w:val="000000"/>
                <w:sz w:val="28"/>
                <w:szCs w:val="28"/>
              </w:rPr>
              <w:t>出时，</w:t>
            </w:r>
            <w:r>
              <w:rPr>
                <w:rFonts w:hint="eastAsia" w:ascii="仿宋_GB2312" w:eastAsia="仿宋_GB2312"/>
                <w:color w:val="000000"/>
                <w:sz w:val="28"/>
                <w:szCs w:val="28"/>
                <w:lang w:val="en-US" w:eastAsia="zh-CN"/>
              </w:rPr>
              <w:t>有明显阻力</w:t>
            </w:r>
            <w:r>
              <w:rPr>
                <w:rFonts w:hint="eastAsia" w:ascii="仿宋_GB2312" w:eastAsia="仿宋_GB2312"/>
                <w:color w:val="000000"/>
                <w:sz w:val="28"/>
                <w:szCs w:val="28"/>
              </w:rPr>
              <w:t>；机械系统设计不当</w:t>
            </w:r>
            <w:r>
              <w:rPr>
                <w:rFonts w:hint="eastAsia" w:ascii="仿宋_GB2312" w:eastAsia="仿宋_GB2312"/>
                <w:color w:val="000000"/>
                <w:sz w:val="28"/>
                <w:szCs w:val="28"/>
                <w:lang w:val="en-US" w:eastAsia="zh-CN"/>
              </w:rPr>
              <w:t>等</w:t>
            </w:r>
            <w:r>
              <w:rPr>
                <w:rFonts w:hint="eastAsia" w:ascii="仿宋_GB2312" w:eastAsia="仿宋_GB2312"/>
                <w:color w:val="000000"/>
                <w:sz w:val="28"/>
                <w:szCs w:val="28"/>
              </w:rPr>
              <w:t>。</w:t>
            </w:r>
          </w:p>
        </w:tc>
        <w:tc>
          <w:tcPr>
            <w:tcW w:w="2185" w:type="dxa"/>
          </w:tcPr>
          <w:p w14:paraId="58CC5C01">
            <w:pPr>
              <w:spacing w:line="520" w:lineRule="exact"/>
              <w:jc w:val="center"/>
              <w:rPr>
                <w:rFonts w:eastAsia="仿宋_GB2312"/>
                <w:sz w:val="28"/>
                <w:szCs w:val="28"/>
              </w:rPr>
            </w:pPr>
            <w:r>
              <w:rPr>
                <w:rFonts w:hint="eastAsia" w:eastAsia="仿宋_GB2312"/>
                <w:sz w:val="28"/>
                <w:szCs w:val="28"/>
              </w:rPr>
              <w:t>操作失败、损伤患者组织</w:t>
            </w:r>
            <w:r>
              <w:rPr>
                <w:rFonts w:hint="eastAsia" w:eastAsia="仿宋_GB2312"/>
                <w:sz w:val="28"/>
                <w:szCs w:val="28"/>
                <w:lang w:val="en-US" w:eastAsia="zh-CN"/>
              </w:rPr>
              <w:t>或内窥镜</w:t>
            </w:r>
            <w:r>
              <w:rPr>
                <w:rFonts w:hint="eastAsia" w:eastAsia="仿宋_GB2312"/>
                <w:sz w:val="28"/>
                <w:szCs w:val="28"/>
              </w:rPr>
              <w:t>、导致治疗延误。</w:t>
            </w:r>
          </w:p>
        </w:tc>
      </w:tr>
    </w:tbl>
    <w:p w14:paraId="679597CB">
      <w:pPr>
        <w:spacing w:line="360" w:lineRule="auto"/>
        <w:jc w:val="center"/>
      </w:pPr>
    </w:p>
    <w:sectPr>
      <w:footerReference r:id="rId3" w:type="default"/>
      <w:footerReference r:id="rId4" w:type="even"/>
      <w:pgSz w:w="11906" w:h="16838"/>
      <w:pgMar w:top="1440" w:right="1803" w:bottom="1440" w:left="1803" w:header="720" w:footer="1474" w:gutter="0"/>
      <w:lnNumType w:countBy="1" w:restart="continuous"/>
      <w:pgNumType w:fmt="decimal"/>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HiddenHorzOCR-Identity-H">
    <w:altName w:val="微软雅黑"/>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D84CD">
    <w:pPr>
      <w:pStyle w:val="9"/>
      <w:ind w:right="360" w:firstLine="360"/>
      <w:jc w:val="center"/>
      <w:rPr>
        <w:rFonts w:ascii="方正仿宋_GBK" w:eastAsia="方正仿宋_GBK"/>
        <w:b/>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146050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CDBBA8">
                          <w:pPr>
                            <w:pStyle w:val="9"/>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1.5pt;height:144pt;width:144pt;mso-position-horizontal:outside;mso-position-horizontal-relative:margin;mso-wrap-style:none;z-index:251659264;mso-width-relative:page;mso-height-relative:page;" filled="f" stroked="f" coordsize="21600,21600" o:gfxdata="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B75s1AAAAAcBAAAPAAAAAAAAAAEAIAAAACIAAABkcnMvZG93bnJldi54bWxQSwEC&#10;FAAUAAAACACHTuJAa4X5+zECAABhBAAADgAAAAAAAAABACAAAAAjAQAAZHJzL2Uyb0RvYy54bWxQ&#10;SwUGAAAAAAYABgBZAQAAxgUAAAAA&#10;">
              <v:fill on="f" focussize="0,0"/>
              <v:stroke on="f" weight="0.5pt"/>
              <v:imagedata o:title=""/>
              <o:lock v:ext="edit" aspectratio="f"/>
              <v:textbox inset="0mm,0mm,0mm,0mm" style="mso-fit-shape-to-text:t;">
                <w:txbxContent>
                  <w:p w14:paraId="24CDBBA8">
                    <w:pPr>
                      <w:pStyle w:val="9"/>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r>
                      <w:rPr>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04B0C">
    <w:pPr>
      <w:pStyle w:val="9"/>
      <w:framePr w:wrap="around" w:vAnchor="text" w:hAnchor="margin" w:xAlign="outside" w:y="1"/>
      <w:rPr>
        <w:rStyle w:val="15"/>
      </w:rPr>
    </w:pPr>
    <w:r>
      <w:fldChar w:fldCharType="begin"/>
    </w:r>
    <w:r>
      <w:rPr>
        <w:rStyle w:val="15"/>
      </w:rPr>
      <w:instrText xml:space="preserve">PAGE  </w:instrText>
    </w:r>
    <w:r>
      <w:fldChar w:fldCharType="separate"/>
    </w:r>
    <w:r>
      <w:rPr>
        <w:rStyle w:val="15"/>
      </w:rPr>
      <w:t>2</w:t>
    </w:r>
    <w:r>
      <w:fldChar w:fldCharType="end"/>
    </w:r>
  </w:p>
  <w:p w14:paraId="500505C4">
    <w:pPr>
      <w:pStyle w:val="9"/>
      <w:ind w:right="360" w:firstLine="360"/>
      <w:jc w:val="center"/>
      <w:rPr>
        <w:rFonts w:ascii="方正仿宋_GBK" w:eastAsia="方正仿宋_GBK"/>
        <w:sz w:val="24"/>
        <w:szCs w:val="24"/>
      </w:rPr>
    </w:pPr>
    <w:r>
      <w:rPr>
        <w:rStyle w:val="15"/>
        <w:rFonts w:hint="eastAsia" w:ascii="方正仿宋_GBK" w:eastAsia="方正仿宋_GBK"/>
        <w:sz w:val="24"/>
        <w:szCs w:val="24"/>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31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NTllZTE1M2VlMTk2NzE5ZTYxMWI4ZGRhMjIwNTEifQ=="/>
  </w:docVars>
  <w:rsids>
    <w:rsidRoot w:val="00172A27"/>
    <w:rsid w:val="00011096"/>
    <w:rsid w:val="000127D8"/>
    <w:rsid w:val="00021B17"/>
    <w:rsid w:val="000244E8"/>
    <w:rsid w:val="000278C1"/>
    <w:rsid w:val="00035934"/>
    <w:rsid w:val="000440B5"/>
    <w:rsid w:val="0006392C"/>
    <w:rsid w:val="00097420"/>
    <w:rsid w:val="00097957"/>
    <w:rsid w:val="000E18FB"/>
    <w:rsid w:val="00104224"/>
    <w:rsid w:val="00107D5C"/>
    <w:rsid w:val="00112F47"/>
    <w:rsid w:val="00117B4D"/>
    <w:rsid w:val="00131491"/>
    <w:rsid w:val="0013579B"/>
    <w:rsid w:val="00140EEA"/>
    <w:rsid w:val="00141056"/>
    <w:rsid w:val="001506A8"/>
    <w:rsid w:val="00162196"/>
    <w:rsid w:val="0017243A"/>
    <w:rsid w:val="001752EA"/>
    <w:rsid w:val="00180409"/>
    <w:rsid w:val="001B2ED7"/>
    <w:rsid w:val="001D0026"/>
    <w:rsid w:val="001D30A4"/>
    <w:rsid w:val="001D58E7"/>
    <w:rsid w:val="001E0537"/>
    <w:rsid w:val="001E3EB7"/>
    <w:rsid w:val="001E6879"/>
    <w:rsid w:val="001F27A6"/>
    <w:rsid w:val="001F48C5"/>
    <w:rsid w:val="00201202"/>
    <w:rsid w:val="00201994"/>
    <w:rsid w:val="002109AF"/>
    <w:rsid w:val="00225DEC"/>
    <w:rsid w:val="002439DC"/>
    <w:rsid w:val="00250DFA"/>
    <w:rsid w:val="00251BC5"/>
    <w:rsid w:val="002638D6"/>
    <w:rsid w:val="002777C0"/>
    <w:rsid w:val="002808A6"/>
    <w:rsid w:val="0028117C"/>
    <w:rsid w:val="00282189"/>
    <w:rsid w:val="00290B4D"/>
    <w:rsid w:val="002B265F"/>
    <w:rsid w:val="002C5CB3"/>
    <w:rsid w:val="00314564"/>
    <w:rsid w:val="003210E9"/>
    <w:rsid w:val="00325601"/>
    <w:rsid w:val="00330ABB"/>
    <w:rsid w:val="00330C73"/>
    <w:rsid w:val="003431CA"/>
    <w:rsid w:val="00347574"/>
    <w:rsid w:val="00353E30"/>
    <w:rsid w:val="003676BF"/>
    <w:rsid w:val="0037288B"/>
    <w:rsid w:val="003A4F71"/>
    <w:rsid w:val="003A59D6"/>
    <w:rsid w:val="003D6D6A"/>
    <w:rsid w:val="003F59DF"/>
    <w:rsid w:val="00412FB1"/>
    <w:rsid w:val="00414B3F"/>
    <w:rsid w:val="0041700A"/>
    <w:rsid w:val="0042336A"/>
    <w:rsid w:val="00427E1D"/>
    <w:rsid w:val="00432C4E"/>
    <w:rsid w:val="004434E3"/>
    <w:rsid w:val="0045386E"/>
    <w:rsid w:val="00472739"/>
    <w:rsid w:val="004A4F99"/>
    <w:rsid w:val="004D0C45"/>
    <w:rsid w:val="005074C3"/>
    <w:rsid w:val="00511607"/>
    <w:rsid w:val="005116E9"/>
    <w:rsid w:val="005162F4"/>
    <w:rsid w:val="00553258"/>
    <w:rsid w:val="00555DF4"/>
    <w:rsid w:val="005A1D52"/>
    <w:rsid w:val="005C09D0"/>
    <w:rsid w:val="005C752B"/>
    <w:rsid w:val="005D0947"/>
    <w:rsid w:val="005D0BA4"/>
    <w:rsid w:val="005E68D5"/>
    <w:rsid w:val="006049DC"/>
    <w:rsid w:val="006240DC"/>
    <w:rsid w:val="006273B6"/>
    <w:rsid w:val="00634C2A"/>
    <w:rsid w:val="00641D80"/>
    <w:rsid w:val="006551FA"/>
    <w:rsid w:val="006617F5"/>
    <w:rsid w:val="00664E6A"/>
    <w:rsid w:val="006835D0"/>
    <w:rsid w:val="00696B20"/>
    <w:rsid w:val="006B5F11"/>
    <w:rsid w:val="006C5E80"/>
    <w:rsid w:val="006E7D8D"/>
    <w:rsid w:val="00703073"/>
    <w:rsid w:val="00705550"/>
    <w:rsid w:val="007172D6"/>
    <w:rsid w:val="007229B1"/>
    <w:rsid w:val="00741AAE"/>
    <w:rsid w:val="00752774"/>
    <w:rsid w:val="00771F9F"/>
    <w:rsid w:val="00773E7A"/>
    <w:rsid w:val="0079472E"/>
    <w:rsid w:val="007A3D9D"/>
    <w:rsid w:val="007C33EE"/>
    <w:rsid w:val="007D6F41"/>
    <w:rsid w:val="007E1BF6"/>
    <w:rsid w:val="007E1E8A"/>
    <w:rsid w:val="007F75C6"/>
    <w:rsid w:val="00804999"/>
    <w:rsid w:val="00821266"/>
    <w:rsid w:val="00821DBF"/>
    <w:rsid w:val="00824B8F"/>
    <w:rsid w:val="00826EAF"/>
    <w:rsid w:val="00833E00"/>
    <w:rsid w:val="00836257"/>
    <w:rsid w:val="008409D1"/>
    <w:rsid w:val="008439EA"/>
    <w:rsid w:val="00855D12"/>
    <w:rsid w:val="00862155"/>
    <w:rsid w:val="008739B8"/>
    <w:rsid w:val="00881F85"/>
    <w:rsid w:val="008B0745"/>
    <w:rsid w:val="008B1B15"/>
    <w:rsid w:val="008B439E"/>
    <w:rsid w:val="008B7E82"/>
    <w:rsid w:val="008D16C7"/>
    <w:rsid w:val="008D3E74"/>
    <w:rsid w:val="008D6FCB"/>
    <w:rsid w:val="008E1C58"/>
    <w:rsid w:val="008F0CD3"/>
    <w:rsid w:val="008F230E"/>
    <w:rsid w:val="008F380F"/>
    <w:rsid w:val="00903B15"/>
    <w:rsid w:val="00910579"/>
    <w:rsid w:val="00926800"/>
    <w:rsid w:val="00927C7A"/>
    <w:rsid w:val="009411DF"/>
    <w:rsid w:val="0094305C"/>
    <w:rsid w:val="00962130"/>
    <w:rsid w:val="009763D6"/>
    <w:rsid w:val="00980931"/>
    <w:rsid w:val="0098625D"/>
    <w:rsid w:val="009A5DAF"/>
    <w:rsid w:val="009A65DE"/>
    <w:rsid w:val="009A7CEE"/>
    <w:rsid w:val="009A7D08"/>
    <w:rsid w:val="009B22EF"/>
    <w:rsid w:val="009C353B"/>
    <w:rsid w:val="009D3B2A"/>
    <w:rsid w:val="009F4BE6"/>
    <w:rsid w:val="00A049AC"/>
    <w:rsid w:val="00A12D92"/>
    <w:rsid w:val="00A13AED"/>
    <w:rsid w:val="00A16183"/>
    <w:rsid w:val="00A44DB2"/>
    <w:rsid w:val="00A45B07"/>
    <w:rsid w:val="00A47495"/>
    <w:rsid w:val="00A61A54"/>
    <w:rsid w:val="00A838F7"/>
    <w:rsid w:val="00AA545A"/>
    <w:rsid w:val="00AA5BD4"/>
    <w:rsid w:val="00AC4A06"/>
    <w:rsid w:val="00AE2B23"/>
    <w:rsid w:val="00AE56B5"/>
    <w:rsid w:val="00AF5746"/>
    <w:rsid w:val="00B152CE"/>
    <w:rsid w:val="00B238C8"/>
    <w:rsid w:val="00B667E7"/>
    <w:rsid w:val="00B7407D"/>
    <w:rsid w:val="00B801A9"/>
    <w:rsid w:val="00B91E4F"/>
    <w:rsid w:val="00B92FCE"/>
    <w:rsid w:val="00BB456B"/>
    <w:rsid w:val="00BE1ED7"/>
    <w:rsid w:val="00BE3538"/>
    <w:rsid w:val="00BF592B"/>
    <w:rsid w:val="00C162A9"/>
    <w:rsid w:val="00C35C3F"/>
    <w:rsid w:val="00C62434"/>
    <w:rsid w:val="00C7085A"/>
    <w:rsid w:val="00C70F56"/>
    <w:rsid w:val="00C71AB1"/>
    <w:rsid w:val="00CB1153"/>
    <w:rsid w:val="00CD5016"/>
    <w:rsid w:val="00CE5293"/>
    <w:rsid w:val="00CF1166"/>
    <w:rsid w:val="00D01D9F"/>
    <w:rsid w:val="00D33247"/>
    <w:rsid w:val="00D35569"/>
    <w:rsid w:val="00D42431"/>
    <w:rsid w:val="00D4260E"/>
    <w:rsid w:val="00D51FB3"/>
    <w:rsid w:val="00D66EDF"/>
    <w:rsid w:val="00D84342"/>
    <w:rsid w:val="00DA2753"/>
    <w:rsid w:val="00DB7EC5"/>
    <w:rsid w:val="00DD12E6"/>
    <w:rsid w:val="00DE451F"/>
    <w:rsid w:val="00DE4E94"/>
    <w:rsid w:val="00DE532F"/>
    <w:rsid w:val="00E03FE0"/>
    <w:rsid w:val="00E0503F"/>
    <w:rsid w:val="00E07A9D"/>
    <w:rsid w:val="00E10001"/>
    <w:rsid w:val="00E3729B"/>
    <w:rsid w:val="00E660AB"/>
    <w:rsid w:val="00E72758"/>
    <w:rsid w:val="00EA26E0"/>
    <w:rsid w:val="00EA2DE2"/>
    <w:rsid w:val="00EB5174"/>
    <w:rsid w:val="00EB7A11"/>
    <w:rsid w:val="00ED2C06"/>
    <w:rsid w:val="00ED6433"/>
    <w:rsid w:val="00EE56E2"/>
    <w:rsid w:val="00EF051D"/>
    <w:rsid w:val="00EF31E9"/>
    <w:rsid w:val="00F23E8D"/>
    <w:rsid w:val="00F3123F"/>
    <w:rsid w:val="00F31E91"/>
    <w:rsid w:val="00F419F2"/>
    <w:rsid w:val="00F4693E"/>
    <w:rsid w:val="00F53485"/>
    <w:rsid w:val="00F62751"/>
    <w:rsid w:val="00F66E20"/>
    <w:rsid w:val="00F73420"/>
    <w:rsid w:val="00F85D8B"/>
    <w:rsid w:val="00FD6AA1"/>
    <w:rsid w:val="00FF5151"/>
    <w:rsid w:val="052A38FA"/>
    <w:rsid w:val="078B1486"/>
    <w:rsid w:val="1A7249BD"/>
    <w:rsid w:val="1CE10668"/>
    <w:rsid w:val="210F0931"/>
    <w:rsid w:val="22F50CE3"/>
    <w:rsid w:val="24F276E3"/>
    <w:rsid w:val="25220D62"/>
    <w:rsid w:val="25741056"/>
    <w:rsid w:val="25B24134"/>
    <w:rsid w:val="289C7B0E"/>
    <w:rsid w:val="29B05CA0"/>
    <w:rsid w:val="2D6F2F8B"/>
    <w:rsid w:val="2DD7773E"/>
    <w:rsid w:val="2F0F64BF"/>
    <w:rsid w:val="2F2E1F99"/>
    <w:rsid w:val="306B4E9C"/>
    <w:rsid w:val="3B9308FD"/>
    <w:rsid w:val="3DF5B651"/>
    <w:rsid w:val="3EF74A3A"/>
    <w:rsid w:val="3F1365FE"/>
    <w:rsid w:val="40C15040"/>
    <w:rsid w:val="43F524A6"/>
    <w:rsid w:val="48232FBC"/>
    <w:rsid w:val="4E942B4B"/>
    <w:rsid w:val="55FA0D59"/>
    <w:rsid w:val="58ED38EB"/>
    <w:rsid w:val="5A743171"/>
    <w:rsid w:val="5BBC65B0"/>
    <w:rsid w:val="5BEF03FF"/>
    <w:rsid w:val="62E20013"/>
    <w:rsid w:val="63150D09"/>
    <w:rsid w:val="64995E54"/>
    <w:rsid w:val="66D81F22"/>
    <w:rsid w:val="71B04B2F"/>
    <w:rsid w:val="7AFA58AC"/>
    <w:rsid w:val="7F3F67E2"/>
    <w:rsid w:val="9BFBBA10"/>
    <w:rsid w:val="9EFF76DA"/>
    <w:rsid w:val="DB7F5D1E"/>
    <w:rsid w:val="DF3B8188"/>
    <w:rsid w:val="ECEE4E66"/>
    <w:rsid w:val="EF79B21B"/>
    <w:rsid w:val="EFF7D4B0"/>
    <w:rsid w:val="F9FF5C32"/>
    <w:rsid w:val="FFFEF31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3"/>
    <w:basedOn w:val="1"/>
    <w:next w:val="1"/>
    <w:link w:val="25"/>
    <w:unhideWhenUsed/>
    <w:qFormat/>
    <w:uiPriority w:val="9"/>
    <w:pPr>
      <w:autoSpaceDE w:val="0"/>
      <w:autoSpaceDN w:val="0"/>
      <w:spacing w:line="520" w:lineRule="exact"/>
      <w:ind w:left="300" w:leftChars="300"/>
      <w:jc w:val="left"/>
      <w:outlineLvl w:val="2"/>
    </w:pPr>
    <w:rPr>
      <w:rFonts w:hint="eastAsia" w:ascii="宋体" w:hAnsi="宋体" w:eastAsia="仿宋"/>
      <w:kern w:val="0"/>
      <w:sz w:val="32"/>
      <w:szCs w:val="27"/>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1"/>
    <w:pPr>
      <w:adjustRightInd w:val="0"/>
      <w:snapToGrid w:val="0"/>
    </w:pPr>
    <w:rPr>
      <w:rFonts w:ascii="Tahoma" w:hAnsi="Tahoma" w:eastAsia="微软雅黑" w:cs="Times New Roman"/>
      <w:sz w:val="22"/>
      <w:szCs w:val="22"/>
      <w:lang w:val="en-US" w:eastAsia="zh-CN" w:bidi="ar-SA"/>
    </w:rPr>
  </w:style>
  <w:style w:type="paragraph" w:styleId="5">
    <w:name w:val="Normal Indent"/>
    <w:basedOn w:val="1"/>
    <w:qFormat/>
    <w:uiPriority w:val="99"/>
    <w:pPr>
      <w:adjustRightInd w:val="0"/>
      <w:spacing w:line="312" w:lineRule="atLeast"/>
      <w:ind w:firstLine="420"/>
      <w:textAlignment w:val="baseline"/>
    </w:pPr>
    <w:rPr>
      <w:kern w:val="0"/>
      <w:szCs w:val="20"/>
    </w:rPr>
  </w:style>
  <w:style w:type="paragraph" w:styleId="6">
    <w:name w:val="caption"/>
    <w:basedOn w:val="1"/>
    <w:next w:val="5"/>
    <w:qFormat/>
    <w:uiPriority w:val="99"/>
    <w:pPr>
      <w:spacing w:before="152" w:after="160"/>
      <w:jc w:val="center"/>
    </w:pPr>
    <w:rPr>
      <w:rFonts w:ascii="Arial" w:hAnsi="Arial" w:eastAsia="黑体" w:cs="Arial"/>
      <w:sz w:val="20"/>
      <w:szCs w:val="20"/>
    </w:rPr>
  </w:style>
  <w:style w:type="paragraph" w:styleId="7">
    <w:name w:val="annotation text"/>
    <w:basedOn w:val="1"/>
    <w:link w:val="19"/>
    <w:qFormat/>
    <w:uiPriority w:val="99"/>
    <w:pPr>
      <w:jc w:val="left"/>
    </w:pPr>
  </w:style>
  <w:style w:type="paragraph" w:styleId="8">
    <w:name w:val="Balloon Text"/>
    <w:basedOn w:val="1"/>
    <w:link w:val="23"/>
    <w:semiHidden/>
    <w:unhideWhenUsed/>
    <w:qFormat/>
    <w:uiPriority w:val="99"/>
    <w:rPr>
      <w:sz w:val="18"/>
      <w:szCs w:val="18"/>
    </w:rPr>
  </w:style>
  <w:style w:type="paragraph" w:styleId="9">
    <w:name w:val="footer"/>
    <w:basedOn w:val="1"/>
    <w:link w:val="21"/>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qFormat/>
    <w:uiPriority w:val="10"/>
    <w:pPr>
      <w:spacing w:before="240" w:after="60"/>
      <w:jc w:val="center"/>
      <w:outlineLvl w:val="0"/>
    </w:pPr>
    <w:rPr>
      <w:rFonts w:ascii="Arial" w:hAnsi="Arial"/>
      <w:b/>
      <w:sz w:val="32"/>
    </w:rPr>
  </w:style>
  <w:style w:type="paragraph" w:styleId="12">
    <w:name w:val="annotation subject"/>
    <w:basedOn w:val="7"/>
    <w:next w:val="7"/>
    <w:link w:val="24"/>
    <w:semiHidden/>
    <w:unhideWhenUsed/>
    <w:qFormat/>
    <w:uiPriority w:val="99"/>
    <w:rPr>
      <w:b/>
      <w:bCs/>
    </w:rPr>
  </w:style>
  <w:style w:type="character" w:styleId="15">
    <w:name w:val="page number"/>
    <w:qFormat/>
    <w:uiPriority w:val="0"/>
  </w:style>
  <w:style w:type="character" w:styleId="16">
    <w:name w:val="line number"/>
    <w:basedOn w:val="14"/>
    <w:semiHidden/>
    <w:unhideWhenUsed/>
    <w:qFormat/>
    <w:uiPriority w:val="99"/>
  </w:style>
  <w:style w:type="character" w:styleId="17">
    <w:name w:val="annotation reference"/>
    <w:basedOn w:val="14"/>
    <w:semiHidden/>
    <w:unhideWhenUsed/>
    <w:qFormat/>
    <w:uiPriority w:val="99"/>
    <w:rPr>
      <w:sz w:val="21"/>
      <w:szCs w:val="21"/>
    </w:rPr>
  </w:style>
  <w:style w:type="character" w:customStyle="1" w:styleId="18">
    <w:name w:val="批注文字 Char"/>
    <w:basedOn w:val="14"/>
    <w:semiHidden/>
    <w:qFormat/>
    <w:uiPriority w:val="99"/>
    <w:rPr>
      <w:rFonts w:ascii="Times New Roman" w:hAnsi="Times New Roman" w:eastAsia="宋体" w:cs="Times New Roman"/>
      <w:szCs w:val="24"/>
    </w:rPr>
  </w:style>
  <w:style w:type="character" w:customStyle="1" w:styleId="19">
    <w:name w:val="批注文字 字符"/>
    <w:link w:val="7"/>
    <w:qFormat/>
    <w:uiPriority w:val="99"/>
    <w:rPr>
      <w:rFonts w:ascii="Times New Roman" w:hAnsi="Times New Roman" w:eastAsia="宋体" w:cs="Times New Roman"/>
      <w:szCs w:val="24"/>
    </w:rPr>
  </w:style>
  <w:style w:type="character" w:customStyle="1" w:styleId="20">
    <w:name w:val="页脚 Char"/>
    <w:basedOn w:val="14"/>
    <w:semiHidden/>
    <w:qFormat/>
    <w:uiPriority w:val="99"/>
    <w:rPr>
      <w:rFonts w:ascii="Times New Roman" w:hAnsi="Times New Roman" w:eastAsia="宋体" w:cs="Times New Roman"/>
      <w:sz w:val="18"/>
      <w:szCs w:val="18"/>
    </w:rPr>
  </w:style>
  <w:style w:type="character" w:customStyle="1" w:styleId="21">
    <w:name w:val="页脚 字符"/>
    <w:link w:val="9"/>
    <w:qFormat/>
    <w:uiPriority w:val="99"/>
    <w:rPr>
      <w:rFonts w:ascii="Times New Roman" w:hAnsi="Times New Roman" w:eastAsia="宋体" w:cs="Times New Roman"/>
      <w:sz w:val="18"/>
      <w:szCs w:val="18"/>
    </w:rPr>
  </w:style>
  <w:style w:type="character" w:customStyle="1" w:styleId="22">
    <w:name w:val="页眉 字符"/>
    <w:basedOn w:val="14"/>
    <w:link w:val="10"/>
    <w:qFormat/>
    <w:uiPriority w:val="99"/>
    <w:rPr>
      <w:rFonts w:ascii="Times New Roman" w:hAnsi="Times New Roman" w:eastAsia="宋体" w:cs="Times New Roman"/>
      <w:sz w:val="18"/>
      <w:szCs w:val="18"/>
    </w:rPr>
  </w:style>
  <w:style w:type="character" w:customStyle="1" w:styleId="23">
    <w:name w:val="批注框文本 字符"/>
    <w:basedOn w:val="14"/>
    <w:link w:val="8"/>
    <w:semiHidden/>
    <w:qFormat/>
    <w:uiPriority w:val="99"/>
    <w:rPr>
      <w:rFonts w:ascii="Times New Roman" w:hAnsi="Times New Roman" w:eastAsia="宋体" w:cs="Times New Roman"/>
      <w:sz w:val="18"/>
      <w:szCs w:val="18"/>
    </w:rPr>
  </w:style>
  <w:style w:type="character" w:customStyle="1" w:styleId="24">
    <w:name w:val="批注主题 字符"/>
    <w:basedOn w:val="19"/>
    <w:link w:val="12"/>
    <w:semiHidden/>
    <w:qFormat/>
    <w:uiPriority w:val="99"/>
    <w:rPr>
      <w:rFonts w:ascii="Times New Roman" w:hAnsi="Times New Roman" w:eastAsia="宋体" w:cs="Times New Roman"/>
      <w:b/>
      <w:bCs/>
      <w:szCs w:val="24"/>
    </w:rPr>
  </w:style>
  <w:style w:type="character" w:customStyle="1" w:styleId="25">
    <w:name w:val="标题 3 字符"/>
    <w:basedOn w:val="14"/>
    <w:link w:val="4"/>
    <w:qFormat/>
    <w:uiPriority w:val="9"/>
    <w:rPr>
      <w:rFonts w:ascii="宋体" w:hAnsi="宋体" w:eastAsia="仿宋" w:cs="Times New Roman"/>
      <w:kern w:val="0"/>
      <w:sz w:val="32"/>
      <w:szCs w:val="27"/>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customStyle="1" w:styleId="27">
    <w:name w:val="Default"/>
    <w:unhideWhenUsed/>
    <w:qFormat/>
    <w:uiPriority w:val="99"/>
    <w:pPr>
      <w:widowControl w:val="0"/>
      <w:autoSpaceDE w:val="0"/>
      <w:autoSpaceDN w:val="0"/>
      <w:adjustRightInd w:val="0"/>
    </w:pPr>
    <w:rPr>
      <w:rFonts w:hint="eastAsia" w:ascii="Calibri" w:hAnsi="Calibri" w:eastAsia="Times New Roman" w:cs="Times New Roman"/>
      <w:color w:val="000000"/>
      <w:sz w:val="24"/>
      <w:lang w:val="en-US" w:eastAsia="zh-CN" w:bidi="ar-SA"/>
    </w:rPr>
  </w:style>
  <w:style w:type="character" w:customStyle="1" w:styleId="28">
    <w:name w:val="fontstyle01"/>
    <w:qFormat/>
    <w:uiPriority w:val="0"/>
    <w:rPr>
      <w:rFonts w:hint="default" w:ascii="HiddenHorzOCR-Identity-H" w:hAnsi="HiddenHorzOCR-Identity-H"/>
      <w:color w:val="000000"/>
      <w:sz w:val="72"/>
      <w:szCs w:val="72"/>
    </w:rPr>
  </w:style>
  <w:style w:type="paragraph" w:customStyle="1" w:styleId="29">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16</Pages>
  <Words>6476</Words>
  <Characters>6988</Characters>
  <Lines>60</Lines>
  <Paragraphs>16</Paragraphs>
  <TotalTime>2</TotalTime>
  <ScaleCrop>false</ScaleCrop>
  <LinksUpToDate>false</LinksUpToDate>
  <CharactersWithSpaces>7045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2025-06-02T16:10:00Z</dcterms:created>
  <dc:creator>Administrator</dc:creator>
  <cp:lastModifiedBy>@&amp;%£€₩:-@</cp:lastModifiedBy>
  <cp:lastPrinted>2024-07-25T13:10:00Z</cp:lastPrinted>
  <dcterms:modified xsi:type="dcterms:W3CDTF">2026-07-29T18:03:21Z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AC466A45DBD048E5BAC2DD6870AED920_13</vt:lpwstr>
  </property>
  <property fmtid="{D5CDD505-2E9C-101B-9397-08002B2CF9AE}" pid="4" name="KSOTemplateDocerSaveRecord">
    <vt:lpwstr>eyJoZGlkIjoiODA3MTk1NWExMWM5MWZiMzljMmE2NDQyMmI0N2U1ZjIiLCJ1c2VySWQiOiIyMjczMTI0NjgifQ==</vt:lpwstr>
  </property>
</Properties>
</file>