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B14B624">
      <w:pPr>
        <w:spacing w:line="520" w:lineRule="exact"/>
        <w:ind w:right="-67" w:rightChars="-32"/>
        <w:jc w:val="center"/>
        <w:rPr>
          <w:rFonts w:hint="eastAsia" w:ascii="Times New Roman" w:hAnsi="Times New Roman" w:eastAsia="方正小标宋简体" w:cs="Times New Roman"/>
          <w:color w:val="000000"/>
          <w:sz w:val="44"/>
          <w:szCs w:val="44"/>
        </w:rPr>
      </w:pPr>
      <w:r>
        <w:rPr>
          <w:rFonts w:hint="eastAsia" w:ascii="Times New Roman" w:hAnsi="Times New Roman" w:eastAsia="方正小标宋简体" w:cs="Times New Roman"/>
          <w:color w:val="000000"/>
          <w:sz w:val="44"/>
          <w:szCs w:val="44"/>
        </w:rPr>
        <w:t>糖化血红蛋白层析柱注册审查指导原则</w:t>
      </w:r>
    </w:p>
    <w:p w14:paraId="56D97957">
      <w:pPr>
        <w:spacing w:line="520" w:lineRule="exact"/>
        <w:ind w:right="-67" w:rightChars="-32"/>
        <w:jc w:val="center"/>
        <w:rPr>
          <w:rFonts w:hint="eastAsia" w:ascii="Times New Roman" w:hAnsi="Times New Roman" w:eastAsia="方正小标宋简体" w:cs="Times New Roman"/>
          <w:color w:val="000000"/>
          <w:sz w:val="44"/>
          <w:szCs w:val="44"/>
          <w:lang w:val="en-US" w:eastAsia="zh-CN"/>
        </w:rPr>
      </w:pPr>
      <w:r>
        <w:rPr>
          <w:rFonts w:hint="eastAsia" w:ascii="Times New Roman" w:hAnsi="Times New Roman" w:eastAsia="方正小标宋简体" w:cs="Times New Roman"/>
          <w:color w:val="000000"/>
          <w:sz w:val="44"/>
          <w:szCs w:val="44"/>
          <w:lang w:eastAsia="zh-CN"/>
        </w:rPr>
        <w:t>（</w:t>
      </w:r>
      <w:r>
        <w:rPr>
          <w:rFonts w:hint="eastAsia" w:ascii="Times New Roman" w:hAnsi="Times New Roman" w:eastAsia="方正小标宋简体" w:cs="Times New Roman"/>
          <w:color w:val="000000"/>
          <w:sz w:val="44"/>
          <w:szCs w:val="44"/>
          <w:lang w:val="en-US" w:eastAsia="zh-CN"/>
        </w:rPr>
        <w:t>征求意见稿）</w:t>
      </w:r>
    </w:p>
    <w:p w14:paraId="2D7EB8CA">
      <w:pPr>
        <w:spacing w:line="520" w:lineRule="exact"/>
        <w:ind w:right="-67" w:rightChars="-32"/>
        <w:jc w:val="center"/>
        <w:rPr>
          <w:rFonts w:hint="eastAsia" w:ascii="Times New Roman" w:hAnsi="Times New Roman" w:eastAsia="方正小标宋简体" w:cs="Times New Roman"/>
          <w:color w:val="000000"/>
          <w:sz w:val="44"/>
          <w:szCs w:val="44"/>
          <w:lang w:val="en-US" w:eastAsia="zh-CN"/>
        </w:rPr>
      </w:pPr>
      <w:bookmarkStart w:id="0" w:name="_GoBack"/>
      <w:bookmarkEnd w:id="0"/>
    </w:p>
    <w:p w14:paraId="664372B8">
      <w:pPr>
        <w:spacing w:line="520" w:lineRule="exact"/>
        <w:ind w:firstLine="640" w:firstLineChars="200"/>
        <w:jc w:val="left"/>
        <w:rPr>
          <w:rFonts w:hint="eastAsia" w:ascii="Times New Roman" w:hAnsi="Times New Roman" w:eastAsia="仿宋_GB2312" w:cs="Times New Roman"/>
          <w:color w:val="000000"/>
          <w:sz w:val="32"/>
          <w:szCs w:val="32"/>
        </w:rPr>
      </w:pPr>
      <w:r>
        <w:rPr>
          <w:rFonts w:hint="eastAsia" w:ascii="Times New Roman" w:hAnsi="Times New Roman" w:eastAsia="仿宋_GB2312" w:cs="Times New Roman"/>
          <w:color w:val="000000"/>
          <w:sz w:val="32"/>
          <w:szCs w:val="32"/>
        </w:rPr>
        <w:t>本指导原则旨在指导注册申请人对糖化血红蛋白层析柱产品注册申报资料的准备及撰写，同时也为技术审评部门对注册申报资料的审评提供技术参考。</w:t>
      </w:r>
    </w:p>
    <w:p w14:paraId="60570BB6">
      <w:pPr>
        <w:spacing w:line="520" w:lineRule="exact"/>
        <w:ind w:firstLine="640" w:firstLineChars="200"/>
        <w:jc w:val="left"/>
        <w:rPr>
          <w:rFonts w:hint="eastAsia" w:ascii="Times New Roman" w:hAnsi="Times New Roman" w:eastAsia="仿宋_GB2312" w:cs="Times New Roman"/>
          <w:color w:val="000000"/>
          <w:sz w:val="32"/>
          <w:szCs w:val="32"/>
        </w:rPr>
      </w:pPr>
      <w:r>
        <w:rPr>
          <w:rFonts w:hint="eastAsia" w:ascii="Times New Roman" w:hAnsi="Times New Roman" w:eastAsia="仿宋_GB2312" w:cs="Times New Roman"/>
          <w:color w:val="000000"/>
          <w:sz w:val="32"/>
          <w:szCs w:val="32"/>
        </w:rPr>
        <w:t>本指导原则是对糖化血红蛋白层析柱注册申报资料的一般要求，注册申请人需依据产品的具体特性确定其中内容是否适用。若不适用，需具体阐述理由及相应的科学依据，并依据产品的具体特性对注册申报资料的内容进行充实和细化。</w:t>
      </w:r>
    </w:p>
    <w:p w14:paraId="14B7BEAD">
      <w:pPr>
        <w:spacing w:line="520" w:lineRule="exact"/>
        <w:ind w:firstLine="640" w:firstLineChars="200"/>
        <w:jc w:val="left"/>
        <w:rPr>
          <w:rFonts w:hint="eastAsia" w:ascii="Times New Roman" w:hAnsi="Times New Roman" w:eastAsia="仿宋_GB2312" w:cs="Times New Roman"/>
          <w:color w:val="000000"/>
          <w:sz w:val="32"/>
          <w:szCs w:val="32"/>
        </w:rPr>
      </w:pPr>
      <w:r>
        <w:rPr>
          <w:rFonts w:hint="eastAsia" w:ascii="Times New Roman" w:hAnsi="Times New Roman" w:eastAsia="仿宋_GB2312" w:cs="Times New Roman"/>
          <w:color w:val="000000"/>
          <w:sz w:val="32"/>
          <w:szCs w:val="32"/>
        </w:rPr>
        <w:t>本指导原则是供注册申请人和技术审评人员的指导性文件，但不包括注册审批所涉及的行政事项，亦不作为法规强制执行，需在遵循相关法规和强制性标准的前提下使用本指导原则。如果有能够满足相关法规要求的其他方法，也可以采用，但是需要提供详细的研究资料和验证资料。</w:t>
      </w:r>
    </w:p>
    <w:p w14:paraId="7325B86C">
      <w:pPr>
        <w:spacing w:line="520" w:lineRule="exact"/>
        <w:ind w:firstLine="640" w:firstLineChars="200"/>
        <w:jc w:val="left"/>
        <w:rPr>
          <w:rFonts w:hint="eastAsia"/>
        </w:rPr>
      </w:pPr>
      <w:r>
        <w:rPr>
          <w:rFonts w:hint="eastAsia" w:ascii="Times New Roman" w:hAnsi="Times New Roman" w:eastAsia="仿宋_GB2312" w:cs="Times New Roman"/>
          <w:color w:val="000000"/>
          <w:sz w:val="32"/>
          <w:szCs w:val="32"/>
        </w:rPr>
        <w:t>本指导原则是在现行法规和标准体系以及当前认知水平下制定的，随着法规和标准的不断完善，以及科学技术的不断发展，本指导原则相关内容也将进行适时的调整。</w:t>
      </w:r>
    </w:p>
    <w:p w14:paraId="7C17D64C">
      <w:pPr>
        <w:spacing w:line="520" w:lineRule="exact"/>
        <w:ind w:right="-67" w:rightChars="-32" w:firstLine="640" w:firstLineChars="200"/>
        <w:rPr>
          <w:rFonts w:hint="eastAsia" w:ascii="Times New Roman" w:hAnsi="Times New Roman" w:eastAsia="黑体" w:cs="Times New Roman"/>
          <w:color w:val="000000"/>
          <w:sz w:val="32"/>
          <w:szCs w:val="32"/>
        </w:rPr>
      </w:pPr>
      <w:r>
        <w:rPr>
          <w:rFonts w:hint="eastAsia" w:ascii="Times New Roman" w:hAnsi="Times New Roman" w:eastAsia="黑体" w:cs="Times New Roman"/>
          <w:color w:val="000000"/>
          <w:sz w:val="32"/>
          <w:szCs w:val="32"/>
        </w:rPr>
        <w:t>一、适用范围</w:t>
      </w:r>
    </w:p>
    <w:p w14:paraId="4D47022E">
      <w:pPr>
        <w:spacing w:line="520" w:lineRule="exact"/>
        <w:ind w:firstLine="640" w:firstLineChars="200"/>
        <w:jc w:val="left"/>
        <w:rPr>
          <w:rFonts w:hint="eastAsia" w:ascii="Times New Roman" w:hAnsi="Times New Roman" w:eastAsia="仿宋_GB2312" w:cs="Times New Roman"/>
          <w:color w:val="000000"/>
          <w:sz w:val="32"/>
          <w:szCs w:val="32"/>
          <w:lang w:eastAsia="zh-CN"/>
        </w:rPr>
      </w:pPr>
      <w:r>
        <w:rPr>
          <w:rFonts w:hint="eastAsia" w:ascii="Times New Roman" w:hAnsi="Times New Roman" w:eastAsia="仿宋_GB2312" w:cs="Times New Roman"/>
          <w:color w:val="000000"/>
          <w:sz w:val="32"/>
          <w:szCs w:val="32"/>
        </w:rPr>
        <w:t>本指导原则适用于</w:t>
      </w:r>
      <w:r>
        <w:rPr>
          <w:rFonts w:hint="eastAsia" w:ascii="Times New Roman" w:hAnsi="Times New Roman" w:eastAsia="仿宋_GB2312" w:cs="Times New Roman"/>
          <w:color w:val="000000"/>
          <w:sz w:val="32"/>
          <w:szCs w:val="32"/>
          <w:lang w:val="en-US" w:eastAsia="zh-CN"/>
        </w:rPr>
        <w:t>基于</w:t>
      </w:r>
      <w:r>
        <w:rPr>
          <w:rFonts w:hint="eastAsia" w:ascii="Times New Roman" w:hAnsi="Times New Roman" w:eastAsia="仿宋_GB2312" w:cs="Times New Roman"/>
          <w:color w:val="000000"/>
          <w:spacing w:val="-1"/>
          <w:sz w:val="32"/>
          <w:szCs w:val="32"/>
        </w:rPr>
        <w:t>亲和层析色谱法</w:t>
      </w:r>
      <w:r>
        <w:rPr>
          <w:rFonts w:hint="eastAsia" w:ascii="Times New Roman" w:hAnsi="Times New Roman" w:eastAsia="仿宋_GB2312" w:cs="Times New Roman"/>
          <w:color w:val="000000"/>
          <w:sz w:val="32"/>
          <w:szCs w:val="32"/>
          <w:lang w:val="en-US" w:eastAsia="zh-CN"/>
        </w:rPr>
        <w:t>、</w:t>
      </w:r>
      <w:r>
        <w:rPr>
          <w:rFonts w:hint="eastAsia" w:ascii="Times New Roman" w:hAnsi="Times New Roman" w:eastAsia="仿宋_GB2312" w:cs="Times New Roman"/>
          <w:color w:val="000000"/>
          <w:spacing w:val="-1"/>
          <w:sz w:val="32"/>
          <w:szCs w:val="32"/>
        </w:rPr>
        <w:t>阳离子交换色谱法</w:t>
      </w:r>
      <w:r>
        <w:rPr>
          <w:rFonts w:hint="eastAsia" w:ascii="Times New Roman" w:hAnsi="Times New Roman" w:eastAsia="仿宋_GB2312" w:cs="Times New Roman"/>
          <w:color w:val="000000"/>
          <w:spacing w:val="-1"/>
          <w:sz w:val="32"/>
          <w:szCs w:val="32"/>
          <w:lang w:eastAsia="zh-CN"/>
        </w:rPr>
        <w:t>的</w:t>
      </w:r>
      <w:r>
        <w:rPr>
          <w:rFonts w:hint="eastAsia" w:ascii="Times New Roman" w:hAnsi="Times New Roman" w:eastAsia="仿宋_GB2312" w:cs="Times New Roman"/>
          <w:color w:val="000000"/>
          <w:sz w:val="32"/>
          <w:szCs w:val="32"/>
        </w:rPr>
        <w:t>糖化血红蛋白层析柱</w:t>
      </w:r>
      <w:r>
        <w:rPr>
          <w:rFonts w:hint="eastAsia" w:ascii="Times New Roman" w:hAnsi="Times New Roman" w:eastAsia="仿宋_GB2312" w:cs="Times New Roman"/>
          <w:color w:val="000000"/>
          <w:sz w:val="32"/>
          <w:szCs w:val="32"/>
          <w:lang w:eastAsia="zh-CN"/>
        </w:rPr>
        <w:t>，</w:t>
      </w:r>
      <w:r>
        <w:rPr>
          <w:rFonts w:eastAsia="仿宋_GB2312"/>
          <w:color w:val="000000"/>
          <w:sz w:val="32"/>
          <w:szCs w:val="32"/>
        </w:rPr>
        <w:t>根据《医疗器械分类目录》，</w:t>
      </w:r>
      <w:r>
        <w:rPr>
          <w:rFonts w:hint="eastAsia" w:ascii="Times New Roman" w:hAnsi="Times New Roman" w:eastAsia="仿宋_GB2312" w:cs="Times New Roman"/>
          <w:color w:val="000000"/>
          <w:sz w:val="32"/>
          <w:szCs w:val="32"/>
        </w:rPr>
        <w:t>糖化血红蛋白层析柱</w:t>
      </w:r>
      <w:r>
        <w:rPr>
          <w:rFonts w:eastAsia="仿宋_GB2312"/>
          <w:color w:val="000000"/>
          <w:sz w:val="32"/>
          <w:szCs w:val="32"/>
        </w:rPr>
        <w:t>的管理类别为Ⅱ类，分类编码为</w:t>
      </w:r>
      <w:r>
        <w:rPr>
          <w:rFonts w:hint="eastAsia" w:ascii="Times New Roman" w:hAnsi="Times New Roman" w:eastAsia="仿宋_GB2312" w:cs="Times New Roman"/>
          <w:color w:val="000000"/>
          <w:sz w:val="32"/>
          <w:szCs w:val="32"/>
        </w:rPr>
        <w:t>22-</w:t>
      </w:r>
      <w:r>
        <w:rPr>
          <w:rFonts w:hint="eastAsia" w:ascii="Times New Roman" w:hAnsi="Times New Roman" w:eastAsia="仿宋_GB2312" w:cs="Times New Roman"/>
          <w:color w:val="000000"/>
          <w:sz w:val="32"/>
          <w:szCs w:val="32"/>
          <w:lang w:val="en-US" w:eastAsia="zh-CN"/>
        </w:rPr>
        <w:t>10</w:t>
      </w:r>
      <w:r>
        <w:rPr>
          <w:rFonts w:hint="eastAsia" w:ascii="Times New Roman" w:hAnsi="Times New Roman" w:eastAsia="仿宋_GB2312" w:cs="Times New Roman"/>
          <w:color w:val="000000"/>
          <w:sz w:val="32"/>
          <w:szCs w:val="32"/>
        </w:rPr>
        <w:t>-0</w:t>
      </w:r>
      <w:r>
        <w:rPr>
          <w:rFonts w:hint="eastAsia" w:ascii="Times New Roman" w:hAnsi="Times New Roman" w:eastAsia="仿宋_GB2312" w:cs="Times New Roman"/>
          <w:color w:val="000000"/>
          <w:sz w:val="32"/>
          <w:szCs w:val="32"/>
          <w:lang w:val="en-US" w:eastAsia="zh-CN"/>
        </w:rPr>
        <w:t>5</w:t>
      </w:r>
      <w:r>
        <w:rPr>
          <w:rFonts w:hint="eastAsia" w:ascii="Times New Roman" w:hAnsi="Times New Roman" w:eastAsia="仿宋_GB2312" w:cs="Times New Roman"/>
          <w:color w:val="000000"/>
          <w:sz w:val="32"/>
          <w:szCs w:val="32"/>
          <w:lang w:eastAsia="zh-CN"/>
        </w:rPr>
        <w:t>（</w:t>
      </w:r>
      <w:r>
        <w:rPr>
          <w:rFonts w:eastAsia="仿宋_GB2312"/>
          <w:color w:val="000000"/>
          <w:sz w:val="32"/>
          <w:szCs w:val="32"/>
        </w:rPr>
        <w:t>22临床检验器械-</w:t>
      </w:r>
      <w:r>
        <w:rPr>
          <w:rFonts w:hint="eastAsia" w:eastAsia="仿宋_GB2312"/>
          <w:color w:val="000000"/>
          <w:sz w:val="32"/>
          <w:szCs w:val="32"/>
          <w:lang w:val="en-US" w:eastAsia="zh-CN"/>
        </w:rPr>
        <w:t>10</w:t>
      </w:r>
      <w:r>
        <w:rPr>
          <w:rFonts w:hint="eastAsia" w:eastAsia="仿宋_GB2312"/>
          <w:color w:val="000000"/>
          <w:sz w:val="32"/>
          <w:szCs w:val="32"/>
        </w:rPr>
        <w:t>其他医用分析设备</w:t>
      </w:r>
      <w:r>
        <w:rPr>
          <w:rFonts w:eastAsia="仿宋_GB2312"/>
          <w:color w:val="000000"/>
          <w:sz w:val="32"/>
          <w:szCs w:val="32"/>
        </w:rPr>
        <w:t>-0</w:t>
      </w:r>
      <w:r>
        <w:rPr>
          <w:rFonts w:hint="eastAsia" w:eastAsia="仿宋_GB2312"/>
          <w:color w:val="000000"/>
          <w:sz w:val="32"/>
          <w:szCs w:val="32"/>
          <w:lang w:val="en-US" w:eastAsia="zh-CN"/>
        </w:rPr>
        <w:t>5</w:t>
      </w:r>
      <w:r>
        <w:rPr>
          <w:rFonts w:hint="eastAsia" w:eastAsia="仿宋_GB2312"/>
          <w:color w:val="000000"/>
          <w:sz w:val="32"/>
          <w:szCs w:val="32"/>
        </w:rPr>
        <w:t>色谱柱</w:t>
      </w:r>
      <w:r>
        <w:rPr>
          <w:rFonts w:hint="eastAsia" w:ascii="Times New Roman" w:hAnsi="Times New Roman" w:eastAsia="仿宋_GB2312" w:cs="Times New Roman"/>
          <w:color w:val="000000"/>
          <w:sz w:val="32"/>
          <w:szCs w:val="32"/>
          <w:lang w:eastAsia="zh-CN"/>
        </w:rPr>
        <w:t>）。</w:t>
      </w:r>
    </w:p>
    <w:p w14:paraId="7986162F">
      <w:pPr>
        <w:spacing w:line="520" w:lineRule="exact"/>
        <w:ind w:firstLine="640" w:firstLineChars="200"/>
        <w:jc w:val="left"/>
        <w:rPr>
          <w:rFonts w:hint="eastAsia" w:ascii="Times New Roman" w:hAnsi="Times New Roman" w:eastAsia="仿宋_GB2312" w:cs="Times New Roman"/>
          <w:color w:val="000000"/>
          <w:sz w:val="32"/>
          <w:szCs w:val="32"/>
        </w:rPr>
      </w:pPr>
      <w:r>
        <w:rPr>
          <w:rFonts w:hint="eastAsia" w:ascii="Times New Roman" w:hAnsi="Times New Roman" w:eastAsia="仿宋_GB2312" w:cs="Times New Roman"/>
          <w:color w:val="000000"/>
          <w:sz w:val="32"/>
          <w:szCs w:val="32"/>
          <w:lang w:val="en-US" w:eastAsia="zh-CN"/>
        </w:rPr>
        <w:t>作为仪器组件/耗材的糖化血红蛋白层析柱适用于本指导原则。其他方法学原理的糖化血红蛋白层析柱注册可参照本指导原则，但应根据产品的具体特性确定其中内容是否适用。本指导原则不适用于分离目标物为非糖化血红蛋白的色谱柱。</w:t>
      </w:r>
    </w:p>
    <w:p w14:paraId="61A853EB">
      <w:pPr>
        <w:spacing w:line="520" w:lineRule="exact"/>
        <w:ind w:right="-67" w:rightChars="-32" w:firstLine="640" w:firstLineChars="200"/>
        <w:rPr>
          <w:rFonts w:hint="eastAsia" w:ascii="Times New Roman" w:hAnsi="Times New Roman" w:eastAsia="黑体" w:cs="Times New Roman"/>
          <w:color w:val="000000"/>
          <w:sz w:val="32"/>
          <w:szCs w:val="32"/>
        </w:rPr>
      </w:pPr>
      <w:r>
        <w:rPr>
          <w:rFonts w:hint="eastAsia" w:ascii="Times New Roman" w:hAnsi="Times New Roman" w:eastAsia="黑体" w:cs="Times New Roman"/>
          <w:color w:val="000000"/>
          <w:sz w:val="32"/>
          <w:szCs w:val="32"/>
        </w:rPr>
        <w:t>二、注册审查要点</w:t>
      </w:r>
    </w:p>
    <w:p w14:paraId="4E00DAC3">
      <w:pPr>
        <w:spacing w:line="520" w:lineRule="exact"/>
        <w:ind w:right="-67" w:rightChars="-32" w:firstLine="640" w:firstLineChars="200"/>
        <w:rPr>
          <w:rFonts w:hint="eastAsia" w:ascii="Times New Roman" w:hAnsi="Times New Roman" w:eastAsia="楷体_GB2312" w:cs="Times New Roman"/>
          <w:color w:val="000000"/>
          <w:sz w:val="32"/>
          <w:szCs w:val="32"/>
        </w:rPr>
      </w:pPr>
      <w:r>
        <w:rPr>
          <w:rFonts w:hint="eastAsia" w:ascii="Times New Roman" w:hAnsi="Times New Roman" w:eastAsia="楷体_GB2312" w:cs="Times New Roman"/>
          <w:color w:val="000000"/>
          <w:sz w:val="32"/>
          <w:szCs w:val="32"/>
        </w:rPr>
        <w:t>（一）监管信息</w:t>
      </w:r>
    </w:p>
    <w:p w14:paraId="69BDD4B8">
      <w:pPr>
        <w:spacing w:line="520" w:lineRule="exact"/>
        <w:ind w:firstLine="636" w:firstLineChars="200"/>
        <w:rPr>
          <w:rFonts w:hint="eastAsia" w:ascii="Times New Roman" w:hAnsi="Times New Roman" w:eastAsia="仿宋_GB2312" w:cs="Times New Roman"/>
          <w:color w:val="000000"/>
          <w:spacing w:val="-1"/>
          <w:sz w:val="32"/>
          <w:szCs w:val="32"/>
          <w:lang w:val="en-US" w:eastAsia="zh-CN"/>
        </w:rPr>
      </w:pPr>
      <w:r>
        <w:rPr>
          <w:rFonts w:hint="eastAsia" w:ascii="Times New Roman" w:hAnsi="Times New Roman" w:eastAsia="仿宋_GB2312" w:cs="Times New Roman"/>
          <w:color w:val="000000"/>
          <w:spacing w:val="-1"/>
          <w:sz w:val="32"/>
          <w:szCs w:val="32"/>
          <w:lang w:val="en-US" w:eastAsia="zh-CN"/>
        </w:rPr>
        <w:t>包括申请表、术语、缩写词列表、产品列表、关联文件、申报前与监管机构的联系情况和沟通记录、符合性声明等文件，重点关注以下内容。</w:t>
      </w:r>
    </w:p>
    <w:p w14:paraId="14003C8A">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lang w:val="en-US" w:eastAsia="zh-CN"/>
        </w:rPr>
        <w:t>1.</w:t>
      </w:r>
      <w:r>
        <w:rPr>
          <w:rFonts w:hint="eastAsia" w:ascii="Times New Roman" w:hAnsi="Times New Roman" w:eastAsia="仿宋_GB2312" w:cs="Times New Roman"/>
          <w:color w:val="000000"/>
          <w:spacing w:val="-1"/>
          <w:sz w:val="32"/>
          <w:szCs w:val="32"/>
        </w:rPr>
        <w:t>产品名称</w:t>
      </w:r>
    </w:p>
    <w:p w14:paraId="17ACD769">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产品命名应符合《医疗器械通用名称命名规则》</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rPr>
        <w:t>《临床检验器械通用名称命名指导原则》</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sz w:val="32"/>
          <w:szCs w:val="28"/>
        </w:rPr>
        <w:t>《医疗器械分类目录》及相关法规的要求，产品通用名称由核心词和特征词组成，</w:t>
      </w:r>
      <w:r>
        <w:rPr>
          <w:rFonts w:hint="eastAsia" w:ascii="Times New Roman" w:hAnsi="Times New Roman" w:eastAsia="仿宋_GB2312"/>
          <w:sz w:val="32"/>
          <w:szCs w:val="28"/>
          <w:lang w:val="en-US" w:eastAsia="zh-CN"/>
        </w:rPr>
        <w:t>如</w:t>
      </w:r>
      <w:r>
        <w:rPr>
          <w:rFonts w:hint="eastAsia" w:ascii="Times New Roman" w:hAnsi="Times New Roman" w:eastAsia="仿宋_GB2312" w:cs="Times New Roman"/>
          <w:color w:val="000000"/>
          <w:spacing w:val="-1"/>
          <w:sz w:val="32"/>
          <w:szCs w:val="32"/>
        </w:rPr>
        <w:t>糖化血红蛋白层析柱。</w:t>
      </w:r>
    </w:p>
    <w:p w14:paraId="26B651A1">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lang w:val="en-US" w:eastAsia="zh-CN"/>
        </w:rPr>
        <w:t>2.</w:t>
      </w:r>
      <w:r>
        <w:rPr>
          <w:rFonts w:hint="eastAsia" w:ascii="Times New Roman" w:hAnsi="Times New Roman" w:eastAsia="仿宋_GB2312" w:cs="Times New Roman"/>
          <w:color w:val="000000"/>
          <w:spacing w:val="-1"/>
          <w:sz w:val="32"/>
          <w:szCs w:val="32"/>
        </w:rPr>
        <w:t>分类编码</w:t>
      </w:r>
    </w:p>
    <w:p w14:paraId="25A44A58">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根据《医疗器械分类目录》，产品分类编码为22-10-05，管理类别为Ⅱ类。</w:t>
      </w:r>
    </w:p>
    <w:p w14:paraId="5A4E9789">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lang w:val="en-US" w:eastAsia="zh-CN"/>
        </w:rPr>
        <w:t>3.</w:t>
      </w:r>
      <w:r>
        <w:rPr>
          <w:rFonts w:hint="eastAsia" w:ascii="Times New Roman" w:hAnsi="Times New Roman" w:eastAsia="仿宋_GB2312" w:cs="Times New Roman"/>
          <w:color w:val="000000"/>
          <w:spacing w:val="-1"/>
          <w:sz w:val="32"/>
          <w:szCs w:val="32"/>
        </w:rPr>
        <w:t>注册单元划分的原则和实例</w:t>
      </w:r>
    </w:p>
    <w:p w14:paraId="48F0C479">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产品注册单元的划分需符合《医疗器械注册单元划分指导原则》的要求，以产品的核心组成材料、关键性能指标</w:t>
      </w:r>
      <w:r>
        <w:rPr>
          <w:rFonts w:hint="eastAsia" w:ascii="Times New Roman" w:hAnsi="Times New Roman" w:eastAsia="仿宋_GB2312" w:cs="Times New Roman"/>
          <w:color w:val="000000"/>
          <w:spacing w:val="-1"/>
          <w:sz w:val="32"/>
          <w:szCs w:val="32"/>
          <w:lang w:val="en-US" w:eastAsia="zh-CN"/>
        </w:rPr>
        <w:t>等</w:t>
      </w:r>
      <w:r>
        <w:rPr>
          <w:rFonts w:hint="eastAsia" w:ascii="Times New Roman" w:hAnsi="Times New Roman" w:eastAsia="仿宋_GB2312" w:cs="Times New Roman"/>
          <w:color w:val="000000"/>
          <w:spacing w:val="-1"/>
          <w:sz w:val="32"/>
          <w:szCs w:val="32"/>
        </w:rPr>
        <w:t>为主要划分依据。</w:t>
      </w:r>
    </w:p>
    <w:p w14:paraId="544B3D6D">
      <w:pPr>
        <w:spacing w:line="520" w:lineRule="exact"/>
        <w:ind w:firstLine="640"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z w:val="32"/>
          <w:szCs w:val="32"/>
        </w:rPr>
        <w:t>主要微球原材料（粒径、孔隙率或键合基团等）不同、色谱柱长度和内径尺寸、</w:t>
      </w:r>
      <w:r>
        <w:rPr>
          <w:rFonts w:hint="eastAsia" w:ascii="Times New Roman" w:hAnsi="Times New Roman" w:eastAsia="仿宋_GB2312" w:cs="Times New Roman"/>
          <w:color w:val="000000"/>
          <w:sz w:val="32"/>
          <w:szCs w:val="32"/>
          <w:lang w:val="en-US" w:eastAsia="zh-CN"/>
        </w:rPr>
        <w:t>是否可再生</w:t>
      </w:r>
      <w:r>
        <w:rPr>
          <w:rFonts w:hint="eastAsia" w:ascii="Times New Roman" w:hAnsi="Times New Roman" w:eastAsia="仿宋_GB2312" w:cs="Times New Roman"/>
          <w:color w:val="000000"/>
          <w:sz w:val="32"/>
          <w:szCs w:val="32"/>
        </w:rPr>
        <w:t>和检测原理不同</w:t>
      </w:r>
      <w:r>
        <w:rPr>
          <w:rFonts w:hint="eastAsia" w:ascii="Times New Roman" w:hAnsi="Times New Roman" w:eastAsia="仿宋_GB2312" w:cs="Times New Roman"/>
          <w:color w:val="000000"/>
          <w:spacing w:val="-1"/>
          <w:sz w:val="32"/>
          <w:szCs w:val="32"/>
        </w:rPr>
        <w:t>的糖化血红蛋白层析柱，应划分为不同的注册单元。</w:t>
      </w:r>
    </w:p>
    <w:p w14:paraId="03430B53">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lang w:val="en-US" w:eastAsia="zh-CN"/>
        </w:rPr>
        <w:t>4.</w:t>
      </w:r>
      <w:r>
        <w:rPr>
          <w:rFonts w:hint="eastAsia" w:ascii="Times New Roman" w:hAnsi="Times New Roman" w:eastAsia="仿宋_GB2312" w:cs="Times New Roman"/>
          <w:color w:val="000000"/>
          <w:spacing w:val="-1"/>
          <w:sz w:val="32"/>
          <w:szCs w:val="32"/>
        </w:rPr>
        <w:t>型号规格</w:t>
      </w:r>
    </w:p>
    <w:p w14:paraId="2C654DA4">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需提供产品各型号规格的划分原则</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rPr>
        <w:t>对于存在多种型号规格的产品，应当明确各型号规格的区别，说明型号规格表述方式中每一字母、数字或符号的代表含义。需采用对比表及带有说明性文字的图片、图表，对各种型号、规格的结构组成、</w:t>
      </w:r>
      <w:r>
        <w:rPr>
          <w:rFonts w:hint="eastAsia" w:ascii="Times New Roman" w:hAnsi="Times New Roman" w:eastAsia="仿宋_GB2312" w:cs="Times New Roman"/>
          <w:color w:val="000000"/>
          <w:spacing w:val="-1"/>
          <w:sz w:val="32"/>
          <w:szCs w:val="32"/>
          <w:lang w:val="en-US" w:eastAsia="zh-CN"/>
        </w:rPr>
        <w:t>功能、</w:t>
      </w:r>
      <w:r>
        <w:rPr>
          <w:rFonts w:hint="eastAsia" w:ascii="Times New Roman" w:hAnsi="Times New Roman" w:eastAsia="仿宋_GB2312" w:cs="Times New Roman"/>
          <w:color w:val="000000"/>
          <w:spacing w:val="-1"/>
          <w:sz w:val="32"/>
          <w:szCs w:val="32"/>
        </w:rPr>
        <w:t>产品特征、性能指标等方面加以描述。</w:t>
      </w:r>
    </w:p>
    <w:p w14:paraId="0A7D5A50">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lang w:val="en-US" w:eastAsia="zh-CN"/>
        </w:rPr>
        <w:t>5.</w:t>
      </w:r>
      <w:r>
        <w:rPr>
          <w:rFonts w:hint="eastAsia" w:ascii="Times New Roman" w:hAnsi="Times New Roman" w:eastAsia="仿宋_GB2312" w:cs="Times New Roman"/>
          <w:color w:val="000000"/>
          <w:spacing w:val="-1"/>
          <w:sz w:val="32"/>
          <w:szCs w:val="32"/>
        </w:rPr>
        <w:t>结构组成</w:t>
      </w:r>
    </w:p>
    <w:p w14:paraId="1E3FCBAD">
      <w:pPr>
        <w:spacing w:line="520" w:lineRule="exact"/>
        <w:ind w:firstLine="636" w:firstLineChars="200"/>
        <w:rPr>
          <w:rFonts w:hint="eastAsia"/>
        </w:rPr>
      </w:pPr>
      <w:r>
        <w:rPr>
          <w:rFonts w:hint="eastAsia" w:ascii="Times New Roman" w:hAnsi="Times New Roman" w:eastAsia="仿宋_GB2312" w:cs="Times New Roman"/>
          <w:color w:val="000000"/>
          <w:spacing w:val="-1"/>
          <w:sz w:val="32"/>
          <w:szCs w:val="32"/>
        </w:rPr>
        <w:t>需详细描述产品的组成部件，包括柱体（柱管）、填充剂（微球）、筛板</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rPr>
        <w:t>螺母</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rPr>
        <w:t>密封部件</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lang w:val="en-US" w:eastAsia="zh-CN"/>
        </w:rPr>
        <w:t>如适用</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rPr>
        <w:t>、分配器</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lang w:val="en-US" w:eastAsia="zh-CN"/>
        </w:rPr>
        <w:t>如适用</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rPr>
        <w:t>、过滤器（如适用）等，明确</w:t>
      </w:r>
      <w:r>
        <w:rPr>
          <w:rFonts w:hint="eastAsia" w:ascii="Times New Roman" w:hAnsi="Times New Roman" w:eastAsia="仿宋_GB2312" w:cs="Times New Roman"/>
          <w:color w:val="000000"/>
          <w:spacing w:val="-1"/>
          <w:sz w:val="32"/>
          <w:szCs w:val="32"/>
          <w:lang w:val="en-US" w:eastAsia="zh-CN"/>
        </w:rPr>
        <w:t>填充剂、密封部件</w:t>
      </w:r>
      <w:r>
        <w:rPr>
          <w:rFonts w:hint="eastAsia" w:ascii="Times New Roman" w:hAnsi="Times New Roman" w:eastAsia="仿宋_GB2312" w:cs="Times New Roman"/>
          <w:color w:val="000000"/>
          <w:spacing w:val="-1"/>
          <w:sz w:val="32"/>
          <w:szCs w:val="32"/>
        </w:rPr>
        <w:t>选用的材料</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lang w:val="en-US" w:eastAsia="zh-CN"/>
        </w:rPr>
        <w:t>明确除填充剂、密封部件外其他组成部件的材料及</w:t>
      </w:r>
      <w:r>
        <w:rPr>
          <w:rFonts w:hint="eastAsia" w:ascii="Times New Roman" w:hAnsi="Times New Roman" w:eastAsia="仿宋_GB2312" w:cs="Times New Roman"/>
          <w:color w:val="000000"/>
          <w:spacing w:val="-1"/>
          <w:sz w:val="32"/>
          <w:szCs w:val="32"/>
        </w:rPr>
        <w:t>符合的标准</w:t>
      </w:r>
      <w:r>
        <w:rPr>
          <w:rFonts w:hint="eastAsia" w:ascii="Times New Roman" w:hAnsi="Times New Roman" w:eastAsia="仿宋_GB2312" w:cs="Times New Roman"/>
          <w:color w:val="000000"/>
          <w:spacing w:val="-1"/>
          <w:sz w:val="32"/>
          <w:szCs w:val="32"/>
          <w:lang w:val="en-US" w:eastAsia="zh-CN"/>
        </w:rPr>
        <w:t>/</w:t>
      </w:r>
      <w:r>
        <w:rPr>
          <w:rFonts w:hint="eastAsia" w:ascii="Times New Roman" w:hAnsi="Times New Roman" w:eastAsia="仿宋_GB2312" w:cs="Times New Roman"/>
          <w:color w:val="000000"/>
          <w:spacing w:val="-1"/>
          <w:sz w:val="32"/>
          <w:szCs w:val="32"/>
        </w:rPr>
        <w:t>材料牌号信息。</w:t>
      </w:r>
    </w:p>
    <w:p w14:paraId="20CA4074">
      <w:pPr>
        <w:spacing w:line="520" w:lineRule="exact"/>
        <w:ind w:right="-67" w:rightChars="-32" w:firstLine="640" w:firstLineChars="200"/>
        <w:rPr>
          <w:rFonts w:hint="eastAsia" w:ascii="Times New Roman" w:hAnsi="Times New Roman" w:eastAsia="楷体_GB2312" w:cs="Times New Roman"/>
          <w:color w:val="000000"/>
          <w:sz w:val="32"/>
          <w:szCs w:val="32"/>
        </w:rPr>
      </w:pPr>
      <w:r>
        <w:rPr>
          <w:rFonts w:hint="eastAsia" w:ascii="Times New Roman" w:hAnsi="Times New Roman" w:eastAsia="楷体_GB2312" w:cs="Times New Roman"/>
          <w:color w:val="000000"/>
          <w:sz w:val="32"/>
          <w:szCs w:val="32"/>
        </w:rPr>
        <w:t>（二）综述资料</w:t>
      </w:r>
    </w:p>
    <w:p w14:paraId="69A79371">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lang w:val="en-US" w:eastAsia="zh-CN"/>
        </w:rPr>
        <w:t>1.</w:t>
      </w:r>
      <w:r>
        <w:rPr>
          <w:rFonts w:hint="eastAsia" w:ascii="Times New Roman" w:hAnsi="Times New Roman" w:eastAsia="仿宋_GB2312" w:cs="Times New Roman"/>
          <w:color w:val="000000"/>
          <w:spacing w:val="-1"/>
          <w:sz w:val="32"/>
          <w:szCs w:val="32"/>
        </w:rPr>
        <w:t>器械及操作原理描述</w:t>
      </w:r>
    </w:p>
    <w:p w14:paraId="7714ADFC">
      <w:pPr>
        <w:spacing w:line="520" w:lineRule="exact"/>
        <w:ind w:firstLine="636" w:firstLineChars="200"/>
        <w:rPr>
          <w:rFonts w:hint="eastAsia" w:ascii="Times New Roman" w:hAnsi="Times New Roman" w:eastAsia="仿宋_GB2312" w:cs="Times New Roman"/>
          <w:color w:val="000000"/>
          <w:spacing w:val="-1"/>
          <w:sz w:val="32"/>
          <w:szCs w:val="32"/>
          <w:lang w:eastAsia="zh-CN"/>
        </w:rPr>
      </w:pPr>
      <w:r>
        <w:rPr>
          <w:rFonts w:hint="eastAsia" w:ascii="Times New Roman" w:hAnsi="Times New Roman" w:eastAsia="仿宋_GB2312" w:cs="Times New Roman"/>
          <w:color w:val="000000"/>
          <w:spacing w:val="-1"/>
          <w:sz w:val="32"/>
          <w:szCs w:val="32"/>
        </w:rPr>
        <w:t>1.</w:t>
      </w:r>
      <w:r>
        <w:rPr>
          <w:rFonts w:hint="eastAsia" w:ascii="Times New Roman" w:hAnsi="Times New Roman" w:eastAsia="仿宋_GB2312" w:cs="Times New Roman"/>
          <w:color w:val="000000"/>
          <w:spacing w:val="-1"/>
          <w:sz w:val="32"/>
          <w:szCs w:val="32"/>
          <w:lang w:val="en-US" w:eastAsia="zh-CN"/>
        </w:rPr>
        <w:t>1</w:t>
      </w:r>
      <w:r>
        <w:rPr>
          <w:rFonts w:hint="eastAsia" w:ascii="Times New Roman" w:hAnsi="Times New Roman" w:eastAsia="仿宋_GB2312" w:cs="Times New Roman"/>
          <w:color w:val="000000"/>
          <w:spacing w:val="-1"/>
          <w:sz w:val="32"/>
          <w:szCs w:val="32"/>
        </w:rPr>
        <w:t>阐述产品的工作原理：</w:t>
      </w:r>
      <w:r>
        <w:rPr>
          <w:rFonts w:hint="eastAsia" w:ascii="Times New Roman" w:hAnsi="Times New Roman" w:eastAsia="仿宋_GB2312" w:cs="Times New Roman"/>
          <w:color w:val="000000"/>
          <w:spacing w:val="-1"/>
          <w:sz w:val="32"/>
          <w:szCs w:val="32"/>
          <w:lang w:val="en-US" w:eastAsia="zh-CN"/>
        </w:rPr>
        <w:t>明确为</w:t>
      </w:r>
      <w:r>
        <w:rPr>
          <w:rFonts w:hint="eastAsia" w:ascii="Times New Roman" w:hAnsi="Times New Roman" w:eastAsia="仿宋_GB2312" w:cs="Times New Roman"/>
          <w:color w:val="000000"/>
          <w:spacing w:val="-1"/>
          <w:sz w:val="32"/>
          <w:szCs w:val="32"/>
        </w:rPr>
        <w:t>阳离子交换色谱法</w:t>
      </w:r>
      <w:r>
        <w:rPr>
          <w:rFonts w:hint="eastAsia" w:ascii="Times New Roman" w:hAnsi="Times New Roman" w:eastAsia="仿宋_GB2312" w:cs="Times New Roman"/>
          <w:color w:val="000000"/>
          <w:spacing w:val="-1"/>
          <w:sz w:val="32"/>
          <w:szCs w:val="32"/>
          <w:lang w:val="en-US" w:eastAsia="zh-CN"/>
        </w:rPr>
        <w:t>或</w:t>
      </w:r>
      <w:r>
        <w:rPr>
          <w:rFonts w:hint="eastAsia" w:ascii="Times New Roman" w:hAnsi="Times New Roman" w:eastAsia="仿宋_GB2312" w:cs="Times New Roman"/>
          <w:color w:val="000000"/>
          <w:spacing w:val="-1"/>
          <w:sz w:val="32"/>
          <w:szCs w:val="32"/>
        </w:rPr>
        <w:t>亲和层析色谱法</w:t>
      </w:r>
      <w:r>
        <w:rPr>
          <w:rFonts w:hint="eastAsia" w:ascii="Times New Roman" w:hAnsi="Times New Roman" w:eastAsia="仿宋_GB2312" w:cs="Times New Roman"/>
          <w:color w:val="000000"/>
          <w:spacing w:val="-1"/>
          <w:sz w:val="32"/>
          <w:szCs w:val="32"/>
          <w:lang w:val="en-US" w:eastAsia="zh-CN"/>
        </w:rPr>
        <w:t>原理</w:t>
      </w:r>
      <w:r>
        <w:rPr>
          <w:rFonts w:hint="eastAsia" w:ascii="Times New Roman" w:hAnsi="Times New Roman" w:eastAsia="仿宋_GB2312" w:cs="Times New Roman"/>
          <w:color w:val="000000"/>
          <w:spacing w:val="-1"/>
          <w:sz w:val="32"/>
          <w:szCs w:val="32"/>
          <w:lang w:eastAsia="zh-CN"/>
        </w:rPr>
        <w:t>。</w:t>
      </w:r>
    </w:p>
    <w:p w14:paraId="7BF491E6">
      <w:pPr>
        <w:spacing w:line="520" w:lineRule="exact"/>
        <w:ind w:firstLine="636" w:firstLineChars="200"/>
        <w:rPr>
          <w:rFonts w:hint="eastAsia" w:ascii="Times New Roman" w:hAnsi="Times New Roman" w:eastAsia="仿宋_GB2312" w:cs="Times New Roman"/>
          <w:color w:val="000000"/>
          <w:spacing w:val="-1"/>
          <w:sz w:val="32"/>
          <w:szCs w:val="32"/>
          <w:lang w:eastAsia="zh-CN"/>
        </w:rPr>
      </w:pPr>
      <w:r>
        <w:rPr>
          <w:rFonts w:hint="eastAsia" w:ascii="Times New Roman" w:hAnsi="Times New Roman" w:eastAsia="仿宋_GB2312" w:cs="Times New Roman"/>
          <w:color w:val="000000"/>
          <w:spacing w:val="-1"/>
          <w:sz w:val="32"/>
          <w:szCs w:val="32"/>
        </w:rPr>
        <w:t>阳离子交换色谱法</w:t>
      </w:r>
      <w:r>
        <w:rPr>
          <w:rFonts w:hint="eastAsia" w:ascii="Times New Roman" w:hAnsi="Times New Roman" w:eastAsia="仿宋_GB2312" w:cs="Times New Roman"/>
          <w:color w:val="000000"/>
          <w:spacing w:val="-1"/>
          <w:sz w:val="32"/>
          <w:szCs w:val="32"/>
          <w:lang w:val="en-US" w:eastAsia="zh-CN"/>
        </w:rPr>
        <w:t>层析柱原理：</w:t>
      </w:r>
      <w:r>
        <w:rPr>
          <w:rFonts w:hint="eastAsia" w:ascii="Times New Roman" w:hAnsi="Times New Roman" w:eastAsia="仿宋_GB2312" w:cs="Times New Roman"/>
          <w:color w:val="000000"/>
          <w:spacing w:val="-1"/>
          <w:sz w:val="32"/>
          <w:szCs w:val="32"/>
          <w:lang w:eastAsia="zh-CN"/>
        </w:rPr>
        <w:t>阳离子交换柱填料带有负电荷官能团，依据静电吸附原理工作。样品中带正电荷的物质可与柱内负电基团结合，杂质随流动相流出。通过逐步提高洗脱液盐浓度，利用盐离子竞争吸附位点，将结合的阳离子组分依次洗脱分离，依靠物质带电性质差异实现高效层析分离。</w:t>
      </w:r>
    </w:p>
    <w:p w14:paraId="0A5586A8">
      <w:pPr>
        <w:spacing w:line="520" w:lineRule="exact"/>
        <w:ind w:firstLine="636" w:firstLineChars="200"/>
        <w:rPr>
          <w:rFonts w:hint="eastAsia"/>
          <w:lang w:eastAsia="zh-CN"/>
        </w:rPr>
      </w:pPr>
      <w:r>
        <w:rPr>
          <w:rFonts w:hint="eastAsia" w:ascii="Times New Roman" w:hAnsi="Times New Roman" w:eastAsia="仿宋_GB2312" w:cs="Times New Roman"/>
          <w:color w:val="000000"/>
          <w:spacing w:val="-1"/>
          <w:sz w:val="32"/>
          <w:szCs w:val="32"/>
        </w:rPr>
        <w:t>亲和层析色谱法</w:t>
      </w:r>
      <w:r>
        <w:rPr>
          <w:rFonts w:hint="eastAsia" w:ascii="Times New Roman" w:hAnsi="Times New Roman" w:eastAsia="仿宋_GB2312" w:cs="Times New Roman"/>
          <w:color w:val="000000"/>
          <w:spacing w:val="-1"/>
          <w:sz w:val="32"/>
          <w:szCs w:val="32"/>
          <w:lang w:val="en-US" w:eastAsia="zh-CN"/>
        </w:rPr>
        <w:t>层析柱原理：</w:t>
      </w:r>
      <w:r>
        <w:rPr>
          <w:rFonts w:hint="eastAsia" w:ascii="Times New Roman" w:hAnsi="Times New Roman" w:eastAsia="仿宋_GB2312" w:cs="Times New Roman"/>
          <w:color w:val="000000"/>
          <w:spacing w:val="-1"/>
          <w:sz w:val="32"/>
          <w:szCs w:val="32"/>
          <w:lang w:eastAsia="zh-CN"/>
        </w:rPr>
        <w:t>亲和层析柱载体上固定特异性配体，依靠生物分子专属特异性结合作用分离。仅能与配体匹配的目标物质牢牢吸附于柱内，其余杂质直接流出。后续改变洗脱环境或加入竞争物质，破坏专属结合力，即可洗脱目标组分。</w:t>
      </w:r>
    </w:p>
    <w:p w14:paraId="2174ECEF">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应明确检测血红蛋白的亚单位如：血红蛋白A1c（HbA1c）或者总糖化血红蛋白。</w:t>
      </w:r>
    </w:p>
    <w:p w14:paraId="0C4F1EE7">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1.</w:t>
      </w:r>
      <w:r>
        <w:rPr>
          <w:rFonts w:hint="eastAsia" w:ascii="Times New Roman" w:hAnsi="Times New Roman" w:eastAsia="仿宋_GB2312" w:cs="Times New Roman"/>
          <w:color w:val="000000"/>
          <w:spacing w:val="-1"/>
          <w:sz w:val="32"/>
          <w:szCs w:val="32"/>
          <w:lang w:val="en-US" w:eastAsia="zh-CN"/>
        </w:rPr>
        <w:t>2</w:t>
      </w:r>
      <w:r>
        <w:rPr>
          <w:rFonts w:hint="eastAsia" w:ascii="Times New Roman" w:hAnsi="Times New Roman" w:eastAsia="仿宋_GB2312" w:cs="Times New Roman"/>
          <w:color w:val="000000"/>
          <w:spacing w:val="-1"/>
          <w:sz w:val="32"/>
          <w:szCs w:val="32"/>
        </w:rPr>
        <w:t>提供产品各型号的结构示意图和/或产品图示，充分描述产品的整体结构及各组成部件的连接方式，如柱管与螺母的物理连接方式等。</w:t>
      </w:r>
    </w:p>
    <w:p w14:paraId="7090FBE2">
      <w:pPr>
        <w:spacing w:line="520" w:lineRule="exact"/>
        <w:ind w:firstLine="636" w:firstLineChars="200"/>
        <w:rPr>
          <w:rFonts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相应图示如下：</w:t>
      </w:r>
    </w:p>
    <w:p w14:paraId="121F32AE">
      <w:pPr>
        <w:spacing w:line="520" w:lineRule="exact"/>
        <w:jc w:val="center"/>
        <w:rPr>
          <w:rFonts w:ascii="Times New Roman" w:hAnsi="Times New Roman" w:eastAsia="仿宋_GB2312" w:cs="Times New Roman"/>
          <w:color w:val="000000"/>
          <w:spacing w:val="-1"/>
          <w:sz w:val="32"/>
          <w:szCs w:val="32"/>
        </w:rPr>
      </w:pPr>
      <w:r>
        <w:rPr>
          <w:rFonts w:ascii="Times New Roman" w:hAnsi="Times New Roman" w:eastAsia="仿宋_GB2312" w:cs="Times New Roman"/>
          <w:color w:val="000000"/>
          <w:spacing w:val="-1"/>
          <w:sz w:val="32"/>
          <w:szCs w:val="32"/>
        </w:rPr>
        <w:drawing>
          <wp:anchor distT="0" distB="0" distL="114300" distR="114300" simplePos="0" relativeHeight="251659264" behindDoc="0" locked="0" layoutInCell="1" allowOverlap="1">
            <wp:simplePos x="0" y="0"/>
            <wp:positionH relativeFrom="column">
              <wp:posOffset>1161415</wp:posOffset>
            </wp:positionH>
            <wp:positionV relativeFrom="paragraph">
              <wp:posOffset>118745</wp:posOffset>
            </wp:positionV>
            <wp:extent cx="3108960" cy="1871345"/>
            <wp:effectExtent l="0" t="0" r="0" b="3175"/>
            <wp:wrapTopAndBottom/>
            <wp:docPr id="18700937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093788" name="图片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3108960" cy="1871345"/>
                    </a:xfrm>
                    <a:prstGeom prst="rect">
                      <a:avLst/>
                    </a:prstGeom>
                    <a:noFill/>
                  </pic:spPr>
                </pic:pic>
              </a:graphicData>
            </a:graphic>
          </wp:anchor>
        </w:drawing>
      </w:r>
      <w:r>
        <w:rPr>
          <w:rFonts w:ascii="Times New Roman" w:hAnsi="Times New Roman" w:eastAsia="仿宋_GB2312" w:cs="Times New Roman"/>
          <w:color w:val="000000"/>
          <w:spacing w:val="-1"/>
          <w:sz w:val="32"/>
          <w:szCs w:val="32"/>
        </w:rPr>
        <w:t>图1.</w:t>
      </w:r>
      <w:r>
        <w:rPr>
          <w:rFonts w:hint="eastAsia" w:ascii="Times New Roman" w:hAnsi="Times New Roman" w:eastAsia="仿宋_GB2312" w:cs="Times New Roman"/>
          <w:color w:val="000000"/>
          <w:spacing w:val="-1"/>
          <w:sz w:val="32"/>
          <w:szCs w:val="32"/>
        </w:rPr>
        <w:t>糖化血红蛋白层析柱</w:t>
      </w:r>
      <w:r>
        <w:rPr>
          <w:rFonts w:ascii="Times New Roman" w:hAnsi="Times New Roman" w:eastAsia="仿宋_GB2312" w:cs="Times New Roman"/>
          <w:color w:val="000000"/>
          <w:spacing w:val="-1"/>
          <w:sz w:val="32"/>
          <w:szCs w:val="32"/>
        </w:rPr>
        <w:t>示意图</w:t>
      </w:r>
    </w:p>
    <w:p w14:paraId="7D32B9FB">
      <w:pPr>
        <w:pStyle w:val="6"/>
        <w:spacing w:line="520" w:lineRule="exact"/>
        <w:rPr>
          <w:rFonts w:hint="eastAsia"/>
        </w:rPr>
      </w:pPr>
    </w:p>
    <w:p w14:paraId="6BC80CEE">
      <w:pPr>
        <w:spacing w:line="520" w:lineRule="exact"/>
        <w:ind w:firstLine="636" w:firstLineChars="200"/>
        <w:rPr>
          <w:rFonts w:hint="default" w:ascii="Times New Roman" w:hAnsi="Times New Roman" w:eastAsia="仿宋_GB2312" w:cs="Times New Roman"/>
          <w:color w:val="000000"/>
          <w:spacing w:val="-1"/>
          <w:sz w:val="32"/>
          <w:szCs w:val="32"/>
          <w:lang w:val="en-US" w:eastAsia="zh-CN"/>
        </w:rPr>
      </w:pPr>
      <w:r>
        <w:rPr>
          <w:rFonts w:hint="eastAsia" w:ascii="Times New Roman" w:hAnsi="Times New Roman" w:eastAsia="仿宋_GB2312" w:cs="Times New Roman"/>
          <w:color w:val="000000"/>
          <w:spacing w:val="-1"/>
          <w:sz w:val="32"/>
          <w:szCs w:val="32"/>
        </w:rPr>
        <w:t>1.</w:t>
      </w:r>
      <w:r>
        <w:rPr>
          <w:rFonts w:hint="eastAsia" w:ascii="Times New Roman" w:hAnsi="Times New Roman" w:eastAsia="仿宋_GB2312" w:cs="Times New Roman"/>
          <w:color w:val="000000"/>
          <w:spacing w:val="-1"/>
          <w:sz w:val="32"/>
          <w:szCs w:val="32"/>
          <w:lang w:val="en-US" w:eastAsia="zh-CN"/>
        </w:rPr>
        <w:t>3 明确各组件原材料的材料表征信息：材质、化学键合相、pH耐受范围、粒径、孔径和离子载量等。</w:t>
      </w:r>
    </w:p>
    <w:p w14:paraId="4C0EA307">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1.</w:t>
      </w:r>
      <w:r>
        <w:rPr>
          <w:rFonts w:hint="eastAsia" w:ascii="Times New Roman" w:hAnsi="Times New Roman" w:eastAsia="仿宋_GB2312" w:cs="Times New Roman"/>
          <w:color w:val="000000"/>
          <w:spacing w:val="-1"/>
          <w:sz w:val="32"/>
          <w:szCs w:val="32"/>
          <w:lang w:val="en-US" w:eastAsia="zh-CN"/>
        </w:rPr>
        <w:t>4</w:t>
      </w:r>
      <w:r>
        <w:rPr>
          <w:rFonts w:hint="eastAsia" w:ascii="Times New Roman" w:hAnsi="Times New Roman" w:eastAsia="仿宋_GB2312" w:cs="Times New Roman"/>
          <w:color w:val="000000"/>
          <w:spacing w:val="-1"/>
          <w:sz w:val="32"/>
          <w:szCs w:val="32"/>
        </w:rPr>
        <w:t>明确各组成部件的材料牌号/商品名及符合的国家标准、行业标准或国际标准。</w:t>
      </w:r>
    </w:p>
    <w:p w14:paraId="4F829452">
      <w:pPr>
        <w:spacing w:line="520" w:lineRule="exact"/>
        <w:ind w:firstLine="636" w:firstLineChars="200"/>
        <w:rPr>
          <w:rFonts w:hint="eastAsia"/>
        </w:rPr>
      </w:pPr>
      <w:r>
        <w:rPr>
          <w:rFonts w:hint="eastAsia" w:ascii="Times New Roman" w:hAnsi="Times New Roman" w:eastAsia="仿宋_GB2312" w:cs="Times New Roman"/>
          <w:color w:val="000000"/>
          <w:spacing w:val="-1"/>
          <w:sz w:val="32"/>
          <w:szCs w:val="32"/>
        </w:rPr>
        <w:t>1.</w:t>
      </w:r>
      <w:r>
        <w:rPr>
          <w:rFonts w:hint="eastAsia" w:ascii="Times New Roman" w:hAnsi="Times New Roman" w:eastAsia="仿宋_GB2312" w:cs="Times New Roman"/>
          <w:color w:val="000000"/>
          <w:spacing w:val="-1"/>
          <w:sz w:val="32"/>
          <w:szCs w:val="32"/>
          <w:lang w:val="en-US" w:eastAsia="zh-CN"/>
        </w:rPr>
        <w:t>5</w:t>
      </w:r>
      <w:r>
        <w:rPr>
          <w:rFonts w:hint="eastAsia" w:ascii="Times New Roman" w:hAnsi="Times New Roman" w:eastAsia="仿宋_GB2312" w:cs="Times New Roman"/>
          <w:color w:val="000000"/>
          <w:spacing w:val="-1"/>
          <w:sz w:val="32"/>
          <w:szCs w:val="32"/>
        </w:rPr>
        <w:t>提供产品的关键尺寸信息，包括柱管内径、柱管长度、总长度等体现产品设计特征的尺寸及公差，明确尺寸的设计依据。</w:t>
      </w:r>
    </w:p>
    <w:p w14:paraId="6ECCA3A1">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lang w:val="en-US" w:eastAsia="zh-CN"/>
        </w:rPr>
        <w:t>2.</w:t>
      </w:r>
      <w:r>
        <w:rPr>
          <w:rFonts w:hint="eastAsia" w:ascii="Times New Roman" w:hAnsi="Times New Roman" w:eastAsia="仿宋_GB2312" w:cs="Times New Roman"/>
          <w:color w:val="000000"/>
          <w:spacing w:val="-1"/>
          <w:sz w:val="32"/>
          <w:szCs w:val="32"/>
        </w:rPr>
        <w:t>产品的适用范围、适用人群、禁忌证</w:t>
      </w:r>
    </w:p>
    <w:p w14:paraId="6EA61F2C">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可根据申报产品的具体预期用途及研究资料，参考本指导原则相关内容要求，进一步确认申报产品具体的适用范围及禁忌证，</w:t>
      </w:r>
      <w:r>
        <w:rPr>
          <w:rFonts w:hint="eastAsia" w:ascii="Times New Roman" w:hAnsi="Times New Roman" w:eastAsia="仿宋_GB2312" w:cs="Times New Roman"/>
          <w:color w:val="000000"/>
          <w:spacing w:val="-1"/>
          <w:sz w:val="32"/>
          <w:szCs w:val="32"/>
          <w:highlight w:val="none"/>
        </w:rPr>
        <w:t>描述其为</w:t>
      </w:r>
      <w:r>
        <w:rPr>
          <w:rFonts w:hint="eastAsia" w:ascii="Times New Roman" w:hAnsi="Times New Roman" w:eastAsia="仿宋_GB2312" w:cs="Times New Roman"/>
          <w:color w:val="000000"/>
          <w:spacing w:val="-1"/>
          <w:sz w:val="32"/>
          <w:szCs w:val="32"/>
          <w:highlight w:val="none"/>
          <w:lang w:val="en-US" w:eastAsia="zh-CN"/>
        </w:rPr>
        <w:t>是否可再生</w:t>
      </w:r>
      <w:r>
        <w:rPr>
          <w:rFonts w:hint="eastAsia" w:ascii="Times New Roman" w:hAnsi="Times New Roman" w:eastAsia="仿宋_GB2312" w:cs="Times New Roman"/>
          <w:color w:val="000000"/>
          <w:spacing w:val="-1"/>
          <w:sz w:val="32"/>
          <w:szCs w:val="32"/>
        </w:rPr>
        <w:t>，并说明预期与其配合使用的产品。</w:t>
      </w:r>
    </w:p>
    <w:p w14:paraId="1AB482E6">
      <w:pPr>
        <w:numPr>
          <w:ilvl w:val="0"/>
          <w:numId w:val="1"/>
        </w:num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lang w:val="en-US" w:eastAsia="zh-CN"/>
        </w:rPr>
        <w:t>产品的</w:t>
      </w:r>
      <w:r>
        <w:rPr>
          <w:rFonts w:hint="eastAsia" w:ascii="Times New Roman" w:hAnsi="Times New Roman" w:eastAsia="仿宋_GB2312" w:cs="Times New Roman"/>
          <w:color w:val="000000"/>
          <w:spacing w:val="-1"/>
          <w:sz w:val="32"/>
          <w:szCs w:val="32"/>
        </w:rPr>
        <w:t>适用范围：明确写明产品的预期用途，应包括</w:t>
      </w:r>
      <w:r>
        <w:rPr>
          <w:rFonts w:hint="eastAsia" w:ascii="Times New Roman" w:hAnsi="Times New Roman" w:eastAsia="仿宋_GB2312" w:cs="Times New Roman"/>
          <w:color w:val="000000"/>
          <w:spacing w:val="-1"/>
          <w:sz w:val="32"/>
          <w:szCs w:val="32"/>
          <w:lang w:val="en-US" w:eastAsia="zh-CN"/>
        </w:rPr>
        <w:t>产品的</w:t>
      </w:r>
      <w:r>
        <w:rPr>
          <w:rFonts w:hint="eastAsia" w:ascii="Times New Roman" w:hAnsi="Times New Roman" w:eastAsia="仿宋_GB2312" w:cs="Times New Roman"/>
          <w:color w:val="000000"/>
          <w:spacing w:val="-1"/>
          <w:sz w:val="32"/>
          <w:szCs w:val="32"/>
        </w:rPr>
        <w:t>原理、系统特性（配合使用的</w:t>
      </w:r>
      <w:r>
        <w:rPr>
          <w:rFonts w:hint="eastAsia" w:ascii="Times New Roman" w:hAnsi="Times New Roman" w:eastAsia="仿宋_GB2312" w:cs="Times New Roman"/>
          <w:color w:val="000000"/>
          <w:spacing w:val="-1"/>
          <w:sz w:val="32"/>
          <w:szCs w:val="32"/>
          <w:lang w:val="en-US" w:eastAsia="zh-CN"/>
        </w:rPr>
        <w:t>仪器</w:t>
      </w:r>
      <w:r>
        <w:rPr>
          <w:rFonts w:hint="eastAsia" w:ascii="Times New Roman" w:hAnsi="Times New Roman" w:eastAsia="仿宋_GB2312" w:cs="Times New Roman"/>
          <w:color w:val="000000"/>
          <w:spacing w:val="-1"/>
          <w:sz w:val="32"/>
          <w:szCs w:val="32"/>
        </w:rPr>
        <w:t>厂家</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lang w:val="en-US" w:eastAsia="zh-CN"/>
        </w:rPr>
        <w:t>型号</w:t>
      </w:r>
      <w:r>
        <w:rPr>
          <w:rFonts w:hint="eastAsia" w:ascii="Times New Roman" w:hAnsi="Times New Roman" w:eastAsia="仿宋_GB2312" w:cs="Times New Roman"/>
          <w:color w:val="000000"/>
          <w:spacing w:val="-1"/>
          <w:sz w:val="32"/>
          <w:szCs w:val="32"/>
        </w:rPr>
        <w:t>）</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lang w:val="en-US" w:eastAsia="zh-CN"/>
        </w:rPr>
        <w:t>可分离的糖化血红蛋白种类、是否可以再生等。</w:t>
      </w:r>
    </w:p>
    <w:p w14:paraId="23C1D7B3">
      <w:pPr>
        <w:pStyle w:val="6"/>
        <w:spacing w:line="520" w:lineRule="exact"/>
        <w:ind w:firstLine="616" w:firstLineChars="200"/>
        <w:jc w:val="both"/>
        <w:rPr>
          <w:rFonts w:hint="eastAsia" w:ascii="Times New Roman" w:hAnsi="Times New Roman" w:eastAsia="仿宋_GB2312"/>
          <w:spacing w:val="-6"/>
          <w:sz w:val="32"/>
          <w:szCs w:val="32"/>
          <w:lang w:val="en-US" w:eastAsia="zh-CN"/>
        </w:rPr>
      </w:pPr>
      <w:r>
        <w:rPr>
          <w:rFonts w:hint="eastAsia" w:ascii="Times New Roman" w:hAnsi="Times New Roman" w:eastAsia="仿宋_GB2312"/>
          <w:spacing w:val="-6"/>
          <w:sz w:val="32"/>
          <w:szCs w:val="32"/>
          <w:lang w:val="en-US" w:eastAsia="zh-CN"/>
        </w:rPr>
        <w:t>产品的原理一般描述为：亲和层析色谱法、阳离子交换色谱法。</w:t>
      </w:r>
    </w:p>
    <w:p w14:paraId="7E51B779">
      <w:pPr>
        <w:pStyle w:val="6"/>
        <w:spacing w:line="520" w:lineRule="exact"/>
        <w:ind w:firstLine="636" w:firstLineChars="200"/>
        <w:jc w:val="both"/>
        <w:rPr>
          <w:rFonts w:hint="eastAsia" w:ascii="Times New Roman" w:hAnsi="Times New Roman" w:eastAsia="仿宋_GB2312" w:cs="Times New Roman"/>
          <w:color w:val="000000"/>
          <w:spacing w:val="-1"/>
          <w:sz w:val="32"/>
          <w:szCs w:val="32"/>
          <w:lang w:val="en-US" w:eastAsia="zh-CN"/>
        </w:rPr>
      </w:pPr>
      <w:r>
        <w:rPr>
          <w:rFonts w:hint="eastAsia" w:ascii="Times New Roman" w:hAnsi="Times New Roman" w:eastAsia="仿宋_GB2312" w:cs="Times New Roman"/>
          <w:color w:val="000000"/>
          <w:spacing w:val="-1"/>
          <w:sz w:val="32"/>
          <w:szCs w:val="32"/>
        </w:rPr>
        <w:t>系统特性（配合使用的</w:t>
      </w:r>
      <w:r>
        <w:rPr>
          <w:rFonts w:hint="eastAsia" w:ascii="Times New Roman" w:hAnsi="Times New Roman" w:eastAsia="仿宋_GB2312" w:cs="Times New Roman"/>
          <w:color w:val="000000"/>
          <w:spacing w:val="-1"/>
          <w:sz w:val="32"/>
          <w:szCs w:val="32"/>
          <w:lang w:val="en-US" w:eastAsia="zh-CN"/>
        </w:rPr>
        <w:t>仪器</w:t>
      </w:r>
      <w:r>
        <w:rPr>
          <w:rFonts w:hint="eastAsia" w:ascii="Times New Roman" w:hAnsi="Times New Roman" w:eastAsia="仿宋_GB2312" w:cs="Times New Roman"/>
          <w:color w:val="000000"/>
          <w:spacing w:val="-1"/>
          <w:sz w:val="32"/>
          <w:szCs w:val="32"/>
        </w:rPr>
        <w:t>厂家</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lang w:val="en-US" w:eastAsia="zh-CN"/>
        </w:rPr>
        <w:t>型号</w:t>
      </w:r>
      <w:r>
        <w:rPr>
          <w:rFonts w:hint="eastAsia" w:ascii="Times New Roman" w:hAnsi="Times New Roman" w:eastAsia="仿宋_GB2312" w:cs="Times New Roman"/>
          <w:color w:val="000000"/>
          <w:spacing w:val="-1"/>
          <w:sz w:val="32"/>
          <w:szCs w:val="32"/>
        </w:rPr>
        <w:t>）</w:t>
      </w:r>
      <w:r>
        <w:rPr>
          <w:rFonts w:hint="eastAsia" w:ascii="Times New Roman" w:hAnsi="Times New Roman" w:eastAsia="仿宋_GB2312" w:cs="Times New Roman"/>
          <w:color w:val="000000"/>
          <w:spacing w:val="-1"/>
          <w:sz w:val="32"/>
          <w:szCs w:val="32"/>
          <w:lang w:val="en-US" w:eastAsia="zh-CN"/>
        </w:rPr>
        <w:t>一般描述为：与XX公司的XX型号的糖化血红蛋白分析仪配合使用。</w:t>
      </w:r>
    </w:p>
    <w:p w14:paraId="657E8261">
      <w:pPr>
        <w:pStyle w:val="6"/>
        <w:spacing w:line="520" w:lineRule="exact"/>
        <w:ind w:firstLine="636" w:firstLineChars="200"/>
        <w:jc w:val="both"/>
        <w:rPr>
          <w:rFonts w:hint="default" w:ascii="Times New Roman" w:hAnsi="Times New Roman" w:eastAsia="仿宋_GB2312" w:cs="Times New Roman"/>
          <w:color w:val="000000"/>
          <w:spacing w:val="-1"/>
          <w:sz w:val="32"/>
          <w:szCs w:val="32"/>
          <w:lang w:val="en-US" w:eastAsia="zh-CN"/>
        </w:rPr>
      </w:pPr>
      <w:r>
        <w:rPr>
          <w:rFonts w:hint="eastAsia" w:ascii="Times New Roman" w:hAnsi="Times New Roman" w:eastAsia="仿宋_GB2312" w:cs="Times New Roman"/>
          <w:color w:val="000000"/>
          <w:spacing w:val="-1"/>
          <w:sz w:val="32"/>
          <w:szCs w:val="32"/>
          <w:lang w:val="en-US" w:eastAsia="zh-CN"/>
        </w:rPr>
        <w:t>可分离的糖化血红蛋白种类包括：F、L-A1c、S-A1c等成分，或总糖化血红蛋白。</w:t>
      </w:r>
    </w:p>
    <w:p w14:paraId="11EBAA97">
      <w:pPr>
        <w:numPr>
          <w:ilvl w:val="0"/>
          <w:numId w:val="0"/>
        </w:numPr>
        <w:spacing w:line="520" w:lineRule="exact"/>
        <w:ind w:firstLine="640" w:firstLineChars="200"/>
        <w:rPr>
          <w:rFonts w:hint="eastAsia"/>
          <w:lang w:val="en-US" w:eastAsia="zh-CN"/>
        </w:rPr>
      </w:pPr>
      <w:r>
        <w:rPr>
          <w:rFonts w:hint="eastAsia" w:ascii="Times New Roman" w:hAnsi="Times New Roman" w:eastAsia="仿宋_GB2312"/>
          <w:sz w:val="32"/>
          <w:szCs w:val="22"/>
          <w:lang w:val="en-US" w:eastAsia="zh-CN"/>
        </w:rPr>
        <w:t>例如，“</w:t>
      </w:r>
      <w:r>
        <w:rPr>
          <w:rFonts w:hint="eastAsia" w:ascii="Times New Roman" w:hAnsi="Times New Roman" w:eastAsia="仿宋_GB2312" w:cs="Times New Roman"/>
          <w:color w:val="000000"/>
          <w:spacing w:val="-1"/>
          <w:sz w:val="32"/>
          <w:szCs w:val="32"/>
          <w:lang w:val="en-US" w:eastAsia="zh-CN"/>
        </w:rPr>
        <w:t>采用</w:t>
      </w:r>
      <w:r>
        <w:rPr>
          <w:rFonts w:hint="eastAsia" w:ascii="Times New Roman" w:hAnsi="Times New Roman" w:eastAsia="仿宋_GB2312" w:cs="Times New Roman"/>
          <w:color w:val="000000"/>
          <w:spacing w:val="-1"/>
          <w:sz w:val="32"/>
          <w:szCs w:val="32"/>
        </w:rPr>
        <w:t>阳离子交换色谱法</w:t>
      </w:r>
      <w:r>
        <w:rPr>
          <w:rFonts w:hint="eastAsia" w:ascii="Times New Roman" w:hAnsi="Times New Roman" w:eastAsia="仿宋_GB2312" w:cs="Times New Roman"/>
          <w:color w:val="000000"/>
          <w:spacing w:val="-1"/>
          <w:sz w:val="32"/>
          <w:szCs w:val="32"/>
          <w:lang w:val="en-US" w:eastAsia="zh-CN"/>
        </w:rPr>
        <w:t>原理，与XX公司的XX</w:t>
      </w:r>
      <w:r>
        <w:rPr>
          <w:rFonts w:hint="eastAsia" w:ascii="Times New Roman" w:hAnsi="Times New Roman" w:eastAsia="仿宋_GB2312" w:cs="Times New Roman"/>
          <w:color w:val="000000"/>
          <w:spacing w:val="-1"/>
          <w:sz w:val="32"/>
          <w:szCs w:val="32"/>
        </w:rPr>
        <w:t>型号的糖化血红蛋白分析仪</w:t>
      </w:r>
      <w:r>
        <w:rPr>
          <w:rFonts w:hint="eastAsia" w:ascii="Times New Roman" w:hAnsi="Times New Roman" w:eastAsia="仿宋_GB2312" w:cs="Times New Roman"/>
          <w:color w:val="000000"/>
          <w:spacing w:val="-1"/>
          <w:sz w:val="32"/>
          <w:szCs w:val="32"/>
          <w:lang w:val="en-US" w:eastAsia="zh-CN"/>
        </w:rPr>
        <w:t>配套</w:t>
      </w:r>
      <w:r>
        <w:rPr>
          <w:rFonts w:hint="eastAsia" w:ascii="Times New Roman" w:hAnsi="Times New Roman" w:eastAsia="仿宋_GB2312" w:cs="Times New Roman"/>
          <w:color w:val="000000"/>
          <w:spacing w:val="-1"/>
          <w:sz w:val="32"/>
          <w:szCs w:val="32"/>
        </w:rPr>
        <w:t>使用</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rPr>
        <w:t>用于对人体样本中的血红蛋白A1c（HbA1c）进行分离</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highlight w:val="none"/>
          <w:lang w:val="en-US" w:eastAsia="zh-CN"/>
        </w:rPr>
        <w:t>本产品不可再生使用</w:t>
      </w:r>
      <w:r>
        <w:rPr>
          <w:rFonts w:hint="eastAsia" w:ascii="Times New Roman" w:hAnsi="Times New Roman" w:eastAsia="仿宋_GB2312" w:cs="Times New Roman"/>
          <w:color w:val="000000"/>
          <w:spacing w:val="-1"/>
          <w:sz w:val="32"/>
          <w:szCs w:val="32"/>
        </w:rPr>
        <w:t>。</w:t>
      </w:r>
      <w:r>
        <w:rPr>
          <w:rFonts w:hint="eastAsia" w:ascii="Times New Roman" w:hAnsi="Times New Roman" w:eastAsia="仿宋_GB2312"/>
          <w:sz w:val="32"/>
          <w:szCs w:val="22"/>
          <w:lang w:val="en-US" w:eastAsia="zh-CN"/>
        </w:rPr>
        <w:t>”</w:t>
      </w:r>
    </w:p>
    <w:p w14:paraId="439546D3">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（2）预期使用环境：明确预期使用的地点（如医疗机构），说明可能影响其安全性和有效性的环境条件。</w:t>
      </w:r>
    </w:p>
    <w:p w14:paraId="1E8BE2F3">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（3）适用人群：说明该器械目标患者人群信息，以及不适宜应用的某些疾病、情况或特定人群（如适用）。</w:t>
      </w:r>
    </w:p>
    <w:p w14:paraId="06C7632B">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lang w:val="en-US" w:eastAsia="zh-CN"/>
        </w:rPr>
        <w:t>3.</w:t>
      </w:r>
      <w:r>
        <w:rPr>
          <w:rFonts w:hint="eastAsia" w:ascii="Times New Roman" w:hAnsi="Times New Roman" w:eastAsia="仿宋_GB2312" w:cs="Times New Roman"/>
          <w:color w:val="000000"/>
          <w:spacing w:val="-1"/>
          <w:sz w:val="32"/>
          <w:szCs w:val="32"/>
        </w:rPr>
        <w:t>包装说明</w:t>
      </w:r>
    </w:p>
    <w:p w14:paraId="3C6DE72A">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提供产品的包装信息，包括包装形式（如独立包装）、包装材料的材质及质量标准、包装工艺，明确外包装的标识要求；说明包装的防护性能，保证产品在储存、运输过程中不受损坏，标签、标识保持清晰完整。特别说明：包装明确注明糖化血红蛋白层析柱安装的方向。</w:t>
      </w:r>
    </w:p>
    <w:p w14:paraId="5339229A">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lang w:val="en-US" w:eastAsia="zh-CN"/>
        </w:rPr>
        <w:t>4.</w:t>
      </w:r>
      <w:r>
        <w:rPr>
          <w:rFonts w:hint="eastAsia" w:ascii="Times New Roman" w:hAnsi="Times New Roman" w:eastAsia="仿宋_GB2312" w:cs="Times New Roman"/>
          <w:color w:val="000000"/>
          <w:spacing w:val="-1"/>
          <w:sz w:val="32"/>
          <w:szCs w:val="32"/>
        </w:rPr>
        <w:t>不良事件情况</w:t>
      </w:r>
    </w:p>
    <w:p w14:paraId="18297280">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收集和检索已上市同类糖化血红蛋白层析柱产品的不良事件和召回情况，分析可能的风险因素，如层析柱压力异常、出峰时间偏移、分离效果下降等，为产品的风险管理和说明书警示内容撰写提供依据。</w:t>
      </w:r>
    </w:p>
    <w:p w14:paraId="5E421620">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lang w:val="en-US" w:eastAsia="zh-CN"/>
        </w:rPr>
        <w:t>5.</w:t>
      </w:r>
      <w:r>
        <w:rPr>
          <w:rFonts w:hint="eastAsia" w:ascii="Times New Roman" w:hAnsi="Times New Roman" w:eastAsia="仿宋_GB2312" w:cs="Times New Roman"/>
          <w:color w:val="000000"/>
          <w:spacing w:val="-1"/>
          <w:sz w:val="32"/>
          <w:szCs w:val="32"/>
        </w:rPr>
        <w:t>其他需说明的内容</w:t>
      </w:r>
    </w:p>
    <w:p w14:paraId="460CBFB4">
      <w:pPr>
        <w:spacing w:line="520" w:lineRule="exact"/>
        <w:ind w:firstLine="636" w:firstLineChars="200"/>
        <w:rPr>
          <w:rFonts w:hint="eastAsia"/>
        </w:rPr>
      </w:pPr>
      <w:r>
        <w:rPr>
          <w:rFonts w:hint="eastAsia" w:ascii="Times New Roman" w:hAnsi="Times New Roman" w:eastAsia="仿宋_GB2312" w:cs="Times New Roman"/>
          <w:color w:val="000000"/>
          <w:spacing w:val="-1"/>
          <w:sz w:val="32"/>
          <w:szCs w:val="32"/>
        </w:rPr>
        <w:t>明确产品的适用配套设备及试剂，包括配套使用的糖化血红蛋白分析仪型号</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rPr>
        <w:t>洗脱液、溶血剂、校准品、质控品的要求。</w:t>
      </w:r>
      <w:r>
        <w:rPr>
          <w:rFonts w:eastAsia="仿宋_GB2312"/>
          <w:bCs/>
          <w:color w:val="000000"/>
          <w:sz w:val="32"/>
          <w:szCs w:val="32"/>
        </w:rPr>
        <w:t>应当提供注册证编号和国家药监局官方网站公布的注册证信息。</w:t>
      </w:r>
    </w:p>
    <w:p w14:paraId="35D4DB45">
      <w:pPr>
        <w:spacing w:line="520" w:lineRule="exact"/>
        <w:ind w:right="-67" w:rightChars="-32" w:firstLine="640" w:firstLineChars="200"/>
        <w:rPr>
          <w:rFonts w:hint="eastAsia" w:ascii="Times New Roman" w:hAnsi="Times New Roman" w:eastAsia="楷体_GB2312" w:cs="Times New Roman"/>
          <w:color w:val="000000"/>
          <w:sz w:val="32"/>
          <w:szCs w:val="32"/>
        </w:rPr>
      </w:pPr>
      <w:r>
        <w:rPr>
          <w:rFonts w:hint="eastAsia" w:ascii="Times New Roman" w:hAnsi="Times New Roman" w:eastAsia="楷体_GB2312" w:cs="Times New Roman"/>
          <w:color w:val="000000"/>
          <w:sz w:val="32"/>
          <w:szCs w:val="32"/>
        </w:rPr>
        <w:t>（三）非临床资料</w:t>
      </w:r>
    </w:p>
    <w:p w14:paraId="54445802">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lang w:val="en-US" w:eastAsia="zh-CN"/>
        </w:rPr>
        <w:t>1.</w:t>
      </w:r>
      <w:r>
        <w:rPr>
          <w:rFonts w:hint="eastAsia" w:ascii="Times New Roman" w:hAnsi="Times New Roman" w:eastAsia="仿宋_GB2312" w:cs="Times New Roman"/>
          <w:color w:val="000000"/>
          <w:spacing w:val="-1"/>
          <w:sz w:val="32"/>
          <w:szCs w:val="32"/>
        </w:rPr>
        <w:t>产品风险管理资料</w:t>
      </w:r>
    </w:p>
    <w:p w14:paraId="0F7A54B4">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注册申请人需对产品全生命周期实施风险管理，提交风险管理资料，参照GB/T 42062《医疗器械风险管理对医疗器械的应用》。注册申请人在产品注册上市前，需对风险管理过程进行评审，评审需至少确保：风险管理计划已被适当地实施，综合剩余风险是可接受的，评审结果需形成风险管理报告，申报资料格式需符合现行有效的《医疗器械注册申报资料要求和批准证明文件格式》的要求。</w:t>
      </w:r>
    </w:p>
    <w:p w14:paraId="4FD52BC5">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针对糖化血红蛋白层析柱，需重点关注以下风险点并制定相应的风险控制措施：</w:t>
      </w:r>
    </w:p>
    <w:p w14:paraId="67411F2A">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（1）设计开发风险：糖化血红蛋白层析柱的分离效率与其微球化学键合相参数相关，微球材料与流动相的适配性要充分验证。</w:t>
      </w:r>
    </w:p>
    <w:p w14:paraId="4FC8190C">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（2）生产制造风险：生产批次的差异性，要通过规范生产工艺、增加过程检验环节，控制批次差异性导致出峰时间改变的风险。</w:t>
      </w:r>
    </w:p>
    <w:p w14:paraId="5A12E7C0">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（3）兼容性风险：使用时要与糖化血红蛋白洗脱液、糖化血红蛋白溶血剂进行批次兼容性验证。控制流动相因温度变化导致的pH变化，引起保留时间改变风险。</w:t>
      </w:r>
    </w:p>
    <w:p w14:paraId="42EF95E9">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（4）使用次数风险：产品使用次数与检测样本、检测频率、流动相的清洗效果相关，应该评估产品的极限检测次数，使用说明书明确使用的次数，避免超次数使用导致的检测结果不准确。</w:t>
      </w:r>
    </w:p>
    <w:p w14:paraId="02A8CE34">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lang w:val="en-US" w:eastAsia="zh-CN"/>
        </w:rPr>
        <w:t>2.</w:t>
      </w:r>
      <w:r>
        <w:rPr>
          <w:rFonts w:hint="eastAsia" w:ascii="Times New Roman" w:hAnsi="Times New Roman" w:eastAsia="仿宋_GB2312" w:cs="Times New Roman"/>
          <w:color w:val="000000"/>
          <w:spacing w:val="-1"/>
          <w:sz w:val="32"/>
          <w:szCs w:val="32"/>
        </w:rPr>
        <w:t>产品技术要求的主要性能指标</w:t>
      </w:r>
    </w:p>
    <w:p w14:paraId="0FB6B611">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lang w:val="en-US" w:eastAsia="zh-CN"/>
        </w:rPr>
        <w:t>2.1</w:t>
      </w:r>
      <w:r>
        <w:rPr>
          <w:rFonts w:hint="eastAsia" w:ascii="Times New Roman" w:hAnsi="Times New Roman" w:eastAsia="仿宋_GB2312" w:cs="Times New Roman"/>
          <w:color w:val="000000"/>
          <w:spacing w:val="-1"/>
          <w:sz w:val="32"/>
          <w:szCs w:val="32"/>
        </w:rPr>
        <w:t>产品适用标准情况</w:t>
      </w:r>
    </w:p>
    <w:p w14:paraId="3469D571">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产品技术要求需符合相关国家标准、行业标准和有关法律、法规的相应要求，在此基础上，注册申请人需根据产品的特点，制定保证产品安全、有效的技术要求</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rPr>
        <w:t>产品技术要求中试验方法需依据有关国家标准、行业标准、国际标准制订，或经过验证。</w:t>
      </w:r>
    </w:p>
    <w:p w14:paraId="6FACC6A8">
      <w:pPr>
        <w:numPr>
          <w:ilvl w:val="-1"/>
          <w:numId w:val="0"/>
        </w:num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lang w:val="en-US" w:eastAsia="zh-CN"/>
        </w:rPr>
        <w:t>2.2</w:t>
      </w:r>
      <w:r>
        <w:rPr>
          <w:rFonts w:hint="eastAsia" w:ascii="Times New Roman" w:hAnsi="Times New Roman" w:eastAsia="仿宋_GB2312" w:cs="Times New Roman"/>
          <w:color w:val="000000"/>
          <w:spacing w:val="-1"/>
          <w:sz w:val="32"/>
          <w:szCs w:val="32"/>
        </w:rPr>
        <w:t>产品技术要求</w:t>
      </w:r>
    </w:p>
    <w:p w14:paraId="47228D59">
      <w:pPr>
        <w:numPr>
          <w:ilvl w:val="-1"/>
          <w:numId w:val="0"/>
        </w:num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lang w:val="en-US" w:eastAsia="zh-CN"/>
        </w:rPr>
        <w:t>2.2.1</w:t>
      </w:r>
      <w:r>
        <w:rPr>
          <w:rFonts w:hint="eastAsia" w:ascii="Times New Roman" w:hAnsi="Times New Roman" w:eastAsia="仿宋_GB2312" w:cs="Times New Roman"/>
          <w:color w:val="000000"/>
          <w:spacing w:val="-1"/>
          <w:sz w:val="32"/>
          <w:szCs w:val="32"/>
        </w:rPr>
        <w:t>产品型号/规格及其划分的说明</w:t>
      </w:r>
    </w:p>
    <w:p w14:paraId="43567F8F">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列表说明产品的型号、规格，明确产品型号、规格的划分说明。需包含以下产品相关信息：</w:t>
      </w:r>
    </w:p>
    <w:p w14:paraId="305217B0">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2.</w:t>
      </w:r>
      <w:r>
        <w:rPr>
          <w:rFonts w:hint="eastAsia" w:ascii="Times New Roman" w:hAnsi="Times New Roman" w:eastAsia="仿宋_GB2312" w:cs="Times New Roman"/>
          <w:color w:val="000000"/>
          <w:spacing w:val="-1"/>
          <w:sz w:val="32"/>
          <w:szCs w:val="32"/>
          <w:lang w:val="en-US" w:eastAsia="zh-CN"/>
        </w:rPr>
        <w:t>2.</w:t>
      </w:r>
      <w:r>
        <w:rPr>
          <w:rFonts w:hint="eastAsia" w:ascii="Times New Roman" w:hAnsi="Times New Roman" w:eastAsia="仿宋_GB2312" w:cs="Times New Roman"/>
          <w:color w:val="000000"/>
          <w:spacing w:val="-1"/>
          <w:sz w:val="32"/>
          <w:szCs w:val="32"/>
        </w:rPr>
        <w:t>1.1明示产品的组成、各组成部分的材料牌号/商品名及符合的国家标准、行业标准、国际标准。</w:t>
      </w:r>
    </w:p>
    <w:p w14:paraId="12A99152">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2.</w:t>
      </w:r>
      <w:r>
        <w:rPr>
          <w:rFonts w:hint="eastAsia" w:ascii="Times New Roman" w:hAnsi="Times New Roman" w:eastAsia="仿宋_GB2312" w:cs="Times New Roman"/>
          <w:color w:val="000000"/>
          <w:spacing w:val="-1"/>
          <w:sz w:val="32"/>
          <w:szCs w:val="32"/>
          <w:lang w:val="en-US" w:eastAsia="zh-CN"/>
        </w:rPr>
        <w:t>2.</w:t>
      </w:r>
      <w:r>
        <w:rPr>
          <w:rFonts w:hint="eastAsia" w:ascii="Times New Roman" w:hAnsi="Times New Roman" w:eastAsia="仿宋_GB2312" w:cs="Times New Roman"/>
          <w:color w:val="000000"/>
          <w:spacing w:val="-1"/>
          <w:sz w:val="32"/>
          <w:szCs w:val="32"/>
        </w:rPr>
        <w:t>1.2提供各型号产品的结构图并标识关键尺寸及公差。</w:t>
      </w:r>
    </w:p>
    <w:p w14:paraId="4445D41C">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2.</w:t>
      </w:r>
      <w:r>
        <w:rPr>
          <w:rFonts w:hint="eastAsia" w:ascii="Times New Roman" w:hAnsi="Times New Roman" w:eastAsia="仿宋_GB2312" w:cs="Times New Roman"/>
          <w:color w:val="000000"/>
          <w:spacing w:val="-1"/>
          <w:sz w:val="32"/>
          <w:szCs w:val="32"/>
          <w:lang w:val="en-US" w:eastAsia="zh-CN"/>
        </w:rPr>
        <w:t>2.</w:t>
      </w:r>
      <w:r>
        <w:rPr>
          <w:rFonts w:hint="eastAsia" w:ascii="Times New Roman" w:hAnsi="Times New Roman" w:eastAsia="仿宋_GB2312" w:cs="Times New Roman"/>
          <w:color w:val="000000"/>
          <w:spacing w:val="-1"/>
          <w:sz w:val="32"/>
          <w:szCs w:val="32"/>
        </w:rPr>
        <w:t>1.3明确</w:t>
      </w:r>
      <w:r>
        <w:rPr>
          <w:rFonts w:hint="eastAsia" w:ascii="Times New Roman" w:hAnsi="Times New Roman" w:eastAsia="仿宋_GB2312" w:cs="Times New Roman"/>
          <w:color w:val="000000"/>
          <w:spacing w:val="-1"/>
          <w:sz w:val="32"/>
          <w:szCs w:val="32"/>
          <w:lang w:val="en-US" w:eastAsia="zh-CN"/>
        </w:rPr>
        <w:t>微球</w:t>
      </w:r>
      <w:r>
        <w:rPr>
          <w:rFonts w:hint="eastAsia" w:ascii="Times New Roman" w:hAnsi="Times New Roman" w:eastAsia="仿宋_GB2312" w:cs="Times New Roman"/>
          <w:color w:val="000000"/>
          <w:spacing w:val="-1"/>
          <w:sz w:val="32"/>
          <w:szCs w:val="32"/>
        </w:rPr>
        <w:t>、筛板、螺母等核心部件的关键参数。</w:t>
      </w:r>
    </w:p>
    <w:p w14:paraId="7B646145">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2.2</w:t>
      </w:r>
      <w:r>
        <w:rPr>
          <w:rFonts w:hint="eastAsia" w:ascii="Times New Roman" w:hAnsi="Times New Roman" w:eastAsia="仿宋_GB2312" w:cs="Times New Roman"/>
          <w:color w:val="000000"/>
          <w:spacing w:val="-1"/>
          <w:sz w:val="32"/>
          <w:szCs w:val="32"/>
          <w:lang w:val="en-US" w:eastAsia="zh-CN"/>
        </w:rPr>
        <w:t>.2</w:t>
      </w:r>
      <w:r>
        <w:rPr>
          <w:rFonts w:hint="eastAsia" w:ascii="Times New Roman" w:hAnsi="Times New Roman" w:eastAsia="仿宋_GB2312" w:cs="Times New Roman"/>
          <w:color w:val="000000"/>
          <w:spacing w:val="-1"/>
          <w:sz w:val="32"/>
          <w:szCs w:val="32"/>
        </w:rPr>
        <w:t>性能指标</w:t>
      </w:r>
    </w:p>
    <w:p w14:paraId="7E9E4CE9">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产品技术要求中性能指标项目的具体要求应与性能研究资料保持一致，主要性能指标需包括以下内容：外观</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rPr>
        <w:t>尺寸、精密度、准确度、</w:t>
      </w:r>
      <w:r>
        <w:rPr>
          <w:rFonts w:hint="eastAsia" w:ascii="Times New Roman" w:hAnsi="Times New Roman" w:eastAsia="仿宋_GB2312" w:cs="Times New Roman"/>
          <w:color w:val="000000"/>
          <w:spacing w:val="-1"/>
          <w:sz w:val="32"/>
          <w:szCs w:val="32"/>
          <w:lang w:val="en-US" w:eastAsia="zh-CN"/>
        </w:rPr>
        <w:t>柱效能、色谱峰对称性、</w:t>
      </w:r>
      <w:r>
        <w:rPr>
          <w:rFonts w:hint="eastAsia" w:ascii="Times New Roman" w:hAnsi="Times New Roman" w:eastAsia="仿宋_GB2312" w:cs="Times New Roman"/>
          <w:color w:val="000000"/>
          <w:spacing w:val="-1"/>
          <w:sz w:val="32"/>
          <w:szCs w:val="32"/>
        </w:rPr>
        <w:t>携带污染率、检测面积上限和下限、批次间差异性、线性范围、压力变化范围</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lang w:val="en-US" w:eastAsia="zh-CN"/>
        </w:rPr>
        <w:t>压降</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rPr>
        <w:t>、出峰时间等。</w:t>
      </w:r>
    </w:p>
    <w:p w14:paraId="7785EDBE">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重要说明：应</w:t>
      </w:r>
      <w:r>
        <w:rPr>
          <w:rFonts w:hint="eastAsia" w:ascii="Times New Roman" w:hAnsi="Times New Roman" w:eastAsia="仿宋_GB2312" w:cs="Times New Roman"/>
          <w:color w:val="000000"/>
          <w:spacing w:val="-1"/>
          <w:sz w:val="32"/>
          <w:szCs w:val="32"/>
          <w:lang w:val="en-US" w:eastAsia="zh-CN"/>
        </w:rPr>
        <w:t>于附录中明确申报产品在相应检测条件下的正常、异常的典型色谱图，以便于判断层析柱的状态是否正常</w:t>
      </w:r>
      <w:r>
        <w:rPr>
          <w:rFonts w:hint="eastAsia" w:ascii="Times New Roman" w:hAnsi="Times New Roman" w:eastAsia="仿宋_GB2312" w:cs="Times New Roman"/>
          <w:color w:val="000000"/>
          <w:spacing w:val="-1"/>
          <w:sz w:val="32"/>
          <w:szCs w:val="32"/>
        </w:rPr>
        <w:t>。</w:t>
      </w:r>
    </w:p>
    <w:p w14:paraId="72335AF8">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如有前置滤网保护体系（如适用），应该把前置滤网的因素合并考虑，对前置滤网的性能进行检测。</w:t>
      </w:r>
    </w:p>
    <w:p w14:paraId="76A6E8AC">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2.</w:t>
      </w:r>
      <w:r>
        <w:rPr>
          <w:rFonts w:hint="eastAsia" w:ascii="Times New Roman" w:hAnsi="Times New Roman" w:eastAsia="仿宋_GB2312" w:cs="Times New Roman"/>
          <w:color w:val="000000"/>
          <w:spacing w:val="-1"/>
          <w:sz w:val="32"/>
          <w:szCs w:val="32"/>
          <w:lang w:val="en-US" w:eastAsia="zh-CN"/>
        </w:rPr>
        <w:t>2.</w:t>
      </w:r>
      <w:r>
        <w:rPr>
          <w:rFonts w:hint="eastAsia" w:ascii="Times New Roman" w:hAnsi="Times New Roman" w:eastAsia="仿宋_GB2312" w:cs="Times New Roman"/>
          <w:color w:val="000000"/>
          <w:spacing w:val="-1"/>
          <w:sz w:val="32"/>
          <w:szCs w:val="32"/>
        </w:rPr>
        <w:t>3检验方法</w:t>
      </w:r>
    </w:p>
    <w:p w14:paraId="1207325D">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产品的检验方法需根据技术性能指标设定，优先采用公认的或已颁布的标准检验方法；自建检验方法需提供相应的方法学依据及理论基础，保证检验方法具有可操作性和可重现性，必要时可附相应图示进行说明。</w:t>
      </w:r>
    </w:p>
    <w:p w14:paraId="5347886F">
      <w:pPr>
        <w:spacing w:line="520" w:lineRule="exact"/>
        <w:ind w:firstLine="636" w:firstLineChars="200"/>
        <w:rPr>
          <w:rFonts w:hint="eastAsia" w:ascii="Times New Roman" w:hAnsi="Times New Roman" w:eastAsia="仿宋_GB2312" w:cs="Times New Roman"/>
          <w:color w:val="000000"/>
          <w:spacing w:val="-1"/>
          <w:sz w:val="32"/>
          <w:szCs w:val="32"/>
        </w:rPr>
      </w:pPr>
      <w:r>
        <w:rPr>
          <w:rFonts w:hint="default" w:ascii="Times New Roman" w:hAnsi="Times New Roman" w:eastAsia="仿宋_GB2312" w:cs="Times New Roman"/>
          <w:color w:val="000000"/>
          <w:spacing w:val="-1"/>
          <w:sz w:val="32"/>
          <w:szCs w:val="32"/>
          <w:lang w:val="en-US" w:eastAsia="zh-CN"/>
        </w:rPr>
        <w:t>3.</w:t>
      </w:r>
      <w:r>
        <w:rPr>
          <w:rFonts w:hint="eastAsia" w:ascii="Times New Roman" w:hAnsi="Times New Roman" w:eastAsia="仿宋_GB2312" w:cs="Times New Roman"/>
          <w:color w:val="000000"/>
          <w:spacing w:val="-1"/>
          <w:sz w:val="32"/>
          <w:szCs w:val="32"/>
        </w:rPr>
        <w:t>同一注册单元内检验典型性产品确定原则</w:t>
      </w:r>
    </w:p>
    <w:p w14:paraId="62A3BE3A">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同一注册单元内所检验的产品应当能够代表本注册单元内其他产品的安全性和有效性，注册申请人需提供典型性检验样品的确定依据。优先选择物理尺寸为注册单元内最大/最小规格、核心部件参数为临界值的产品作为典型性检验样品，若注册单元内产品仅存在批次差异，可选取任意一个批次的产品作为典型性样品。</w:t>
      </w:r>
    </w:p>
    <w:p w14:paraId="41267F3D">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lang w:val="en-US" w:eastAsia="zh-CN"/>
        </w:rPr>
        <w:t>4.</w:t>
      </w:r>
      <w:r>
        <w:rPr>
          <w:rFonts w:hint="eastAsia" w:ascii="Times New Roman" w:hAnsi="Times New Roman" w:eastAsia="仿宋_GB2312" w:cs="Times New Roman"/>
          <w:color w:val="000000"/>
          <w:spacing w:val="-1"/>
          <w:sz w:val="32"/>
          <w:szCs w:val="32"/>
        </w:rPr>
        <w:t>研究资料</w:t>
      </w:r>
    </w:p>
    <w:p w14:paraId="70533F49">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本产品为无源</w:t>
      </w:r>
      <w:r>
        <w:rPr>
          <w:rFonts w:hint="eastAsia" w:ascii="Times New Roman" w:hAnsi="Times New Roman" w:eastAsia="仿宋_GB2312" w:cs="Times New Roman"/>
          <w:color w:val="000000"/>
          <w:spacing w:val="-1"/>
          <w:sz w:val="32"/>
          <w:szCs w:val="32"/>
          <w:lang w:val="en-US" w:eastAsia="zh-CN"/>
        </w:rPr>
        <w:t>医疗器械</w:t>
      </w:r>
      <w:r>
        <w:rPr>
          <w:rFonts w:hint="eastAsia" w:ascii="Times New Roman" w:hAnsi="Times New Roman" w:eastAsia="仿宋_GB2312" w:cs="Times New Roman"/>
          <w:color w:val="000000"/>
          <w:spacing w:val="-1"/>
          <w:sz w:val="32"/>
          <w:szCs w:val="32"/>
        </w:rPr>
        <w:t>产品，无无菌要求，不与患者或使用者接触，生物学特性研究、生物源材料的安全性研究</w:t>
      </w:r>
      <w:r>
        <w:rPr>
          <w:rFonts w:hint="eastAsia" w:ascii="Times New Roman" w:hAnsi="Times New Roman" w:eastAsia="仿宋_GB2312" w:cs="Times New Roman"/>
          <w:color w:val="000000"/>
          <w:spacing w:val="-1"/>
          <w:sz w:val="32"/>
          <w:szCs w:val="32"/>
          <w:lang w:eastAsia="zh-CN"/>
        </w:rPr>
        <w:t>、清洁、消毒、灭菌研究</w:t>
      </w:r>
      <w:r>
        <w:rPr>
          <w:rFonts w:hint="eastAsia" w:ascii="Times New Roman" w:hAnsi="Times New Roman" w:eastAsia="仿宋_GB2312" w:cs="Times New Roman"/>
          <w:color w:val="000000"/>
          <w:spacing w:val="-1"/>
          <w:sz w:val="32"/>
          <w:szCs w:val="32"/>
        </w:rPr>
        <w:t>、动物</w:t>
      </w:r>
      <w:r>
        <w:rPr>
          <w:rFonts w:hint="eastAsia" w:ascii="Times New Roman" w:hAnsi="Times New Roman" w:eastAsia="仿宋_GB2312" w:cs="Times New Roman"/>
          <w:color w:val="000000"/>
          <w:spacing w:val="-1"/>
          <w:sz w:val="32"/>
          <w:szCs w:val="32"/>
          <w:lang w:val="en-US" w:eastAsia="zh-CN"/>
        </w:rPr>
        <w:t>试验</w:t>
      </w:r>
      <w:r>
        <w:rPr>
          <w:rFonts w:hint="eastAsia" w:ascii="Times New Roman" w:hAnsi="Times New Roman" w:eastAsia="仿宋_GB2312" w:cs="Times New Roman"/>
          <w:color w:val="000000"/>
          <w:spacing w:val="-1"/>
          <w:sz w:val="32"/>
          <w:szCs w:val="32"/>
        </w:rPr>
        <w:t>研究等内容不适用，注册申请人需重点提交以下研究资料：</w:t>
      </w:r>
    </w:p>
    <w:p w14:paraId="308DA28E">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4.1化学和物理性能研究</w:t>
      </w:r>
    </w:p>
    <w:p w14:paraId="4D762DFB">
      <w:pPr>
        <w:spacing w:line="520" w:lineRule="exact"/>
        <w:ind w:firstLine="640" w:firstLineChars="200"/>
        <w:rPr>
          <w:rFonts w:eastAsia="仿宋_GB2312"/>
          <w:color w:val="000000"/>
          <w:sz w:val="32"/>
          <w:szCs w:val="32"/>
        </w:rPr>
      </w:pPr>
      <w:r>
        <w:rPr>
          <w:rFonts w:hint="eastAsia" w:eastAsia="仿宋_GB2312"/>
          <w:color w:val="000000"/>
          <w:sz w:val="32"/>
          <w:szCs w:val="32"/>
        </w:rPr>
        <w:t>申报资料中应包括产品性能研究资料以及产品技术要求的研究和编制说明，包括所有指标的确定依据，所采用的标准或方法、采用的原因及理论基础。</w:t>
      </w:r>
    </w:p>
    <w:p w14:paraId="412778E8">
      <w:pPr>
        <w:spacing w:line="520" w:lineRule="exact"/>
        <w:ind w:firstLine="640" w:firstLineChars="200"/>
        <w:rPr>
          <w:rFonts w:eastAsia="仿宋_GB2312"/>
          <w:color w:val="000000"/>
          <w:sz w:val="32"/>
          <w:szCs w:val="32"/>
        </w:rPr>
      </w:pPr>
      <w:r>
        <w:rPr>
          <w:rFonts w:hint="eastAsia" w:eastAsia="仿宋_GB2312"/>
          <w:color w:val="000000"/>
          <w:sz w:val="32"/>
          <w:szCs w:val="32"/>
        </w:rPr>
        <w:t>1）原材料参数研究和实例如下：</w:t>
      </w:r>
    </w:p>
    <w:p w14:paraId="190E73A6">
      <w:pPr>
        <w:spacing w:line="520" w:lineRule="exact"/>
        <w:ind w:firstLine="640" w:firstLineChars="200"/>
        <w:rPr>
          <w:rFonts w:eastAsia="仿宋_GB2312"/>
          <w:color w:val="000000"/>
          <w:sz w:val="32"/>
          <w:szCs w:val="32"/>
        </w:rPr>
      </w:pPr>
      <w:r>
        <w:rPr>
          <w:rFonts w:hint="eastAsia" w:eastAsia="仿宋_GB2312"/>
          <w:color w:val="000000"/>
          <w:sz w:val="32"/>
          <w:szCs w:val="32"/>
        </w:rPr>
        <w:t>确定柱体内壁的光滑度参数，避免在装填微球时候对微球造成损伤。</w:t>
      </w:r>
    </w:p>
    <w:p w14:paraId="209F7F1F">
      <w:pPr>
        <w:spacing w:line="520" w:lineRule="exact"/>
        <w:ind w:firstLine="640" w:firstLineChars="200"/>
        <w:rPr>
          <w:rFonts w:eastAsia="仿宋_GB2312"/>
          <w:color w:val="000000"/>
          <w:sz w:val="32"/>
          <w:szCs w:val="32"/>
        </w:rPr>
      </w:pPr>
      <w:r>
        <w:rPr>
          <w:rFonts w:hint="eastAsia" w:eastAsia="仿宋_GB2312"/>
          <w:color w:val="000000"/>
          <w:sz w:val="32"/>
          <w:szCs w:val="32"/>
        </w:rPr>
        <w:t>制定微球的质量标准参数，并对其性能进行研究及验证。</w:t>
      </w:r>
    </w:p>
    <w:p w14:paraId="5B5CB169">
      <w:pPr>
        <w:spacing w:line="520" w:lineRule="exact"/>
        <w:ind w:firstLine="640" w:firstLineChars="200"/>
        <w:rPr>
          <w:rFonts w:eastAsia="仿宋_GB2312"/>
          <w:color w:val="000000"/>
          <w:sz w:val="32"/>
          <w:szCs w:val="32"/>
        </w:rPr>
      </w:pPr>
      <w:r>
        <w:rPr>
          <w:rFonts w:hint="eastAsia" w:eastAsia="仿宋_GB2312"/>
          <w:color w:val="000000"/>
          <w:sz w:val="32"/>
          <w:szCs w:val="32"/>
        </w:rPr>
        <w:t>制定筛板质量标准参数，并对其性能进行研究及验证。</w:t>
      </w:r>
    </w:p>
    <w:p w14:paraId="7C43AA44">
      <w:pPr>
        <w:spacing w:line="520" w:lineRule="exact"/>
        <w:ind w:firstLine="640" w:firstLineChars="200"/>
        <w:rPr>
          <w:rFonts w:eastAsia="仿宋_GB2312"/>
          <w:color w:val="000000"/>
          <w:sz w:val="32"/>
          <w:szCs w:val="32"/>
        </w:rPr>
      </w:pPr>
      <w:r>
        <w:rPr>
          <w:rFonts w:hint="eastAsia" w:eastAsia="仿宋_GB2312"/>
          <w:color w:val="000000"/>
          <w:sz w:val="32"/>
          <w:szCs w:val="32"/>
        </w:rPr>
        <w:t>2）物理性能研究</w:t>
      </w:r>
    </w:p>
    <w:p w14:paraId="070A8011">
      <w:pPr>
        <w:spacing w:line="520" w:lineRule="exact"/>
        <w:ind w:firstLine="640" w:firstLineChars="200"/>
        <w:rPr>
          <w:rFonts w:eastAsia="仿宋_GB2312"/>
          <w:color w:val="000000"/>
          <w:sz w:val="32"/>
          <w:szCs w:val="32"/>
        </w:rPr>
      </w:pPr>
      <w:r>
        <w:rPr>
          <w:rFonts w:hint="eastAsia" w:eastAsia="仿宋_GB2312"/>
          <w:color w:val="000000"/>
          <w:sz w:val="32"/>
          <w:szCs w:val="32"/>
        </w:rPr>
        <w:t>压力范围影响因素如下：与微球粒径、流速、柱管直径和长度、筛板孔隙大小等参数相关。研究确定合适压力范围获得最佳保留时间和分离效果。</w:t>
      </w:r>
    </w:p>
    <w:p w14:paraId="2C819480">
      <w:pPr>
        <w:spacing w:line="520" w:lineRule="exact"/>
        <w:ind w:firstLine="640" w:firstLineChars="200"/>
        <w:rPr>
          <w:rFonts w:eastAsia="仿宋_GB2312"/>
          <w:color w:val="000000"/>
          <w:sz w:val="32"/>
          <w:szCs w:val="32"/>
        </w:rPr>
      </w:pPr>
      <w:r>
        <w:rPr>
          <w:rFonts w:hint="eastAsia" w:eastAsia="仿宋_GB2312"/>
          <w:color w:val="000000"/>
          <w:sz w:val="32"/>
          <w:szCs w:val="32"/>
        </w:rPr>
        <w:t>3）使用性能研究</w:t>
      </w:r>
    </w:p>
    <w:p w14:paraId="68314F35">
      <w:pPr>
        <w:spacing w:line="520" w:lineRule="exact"/>
        <w:ind w:firstLine="640" w:firstLineChars="200"/>
        <w:rPr>
          <w:rFonts w:hint="eastAsia" w:eastAsia="仿宋_GB2312"/>
          <w:color w:val="000000"/>
          <w:sz w:val="32"/>
          <w:szCs w:val="32"/>
        </w:rPr>
      </w:pPr>
      <w:r>
        <w:rPr>
          <w:rFonts w:hint="eastAsia" w:eastAsia="仿宋_GB2312"/>
          <w:color w:val="000000"/>
          <w:sz w:val="32"/>
          <w:szCs w:val="32"/>
        </w:rPr>
        <w:t>确定检测极限次数：采用连续测试和间断测试的条件，确定产品的极限次数。产品使用次数与样本类型、流动相相关，不同的样本类型和不同的流动相极限检测次数可能不同。</w:t>
      </w:r>
    </w:p>
    <w:p w14:paraId="13A87299">
      <w:pPr>
        <w:numPr>
          <w:ilvl w:val="0"/>
          <w:numId w:val="2"/>
        </w:numPr>
        <w:spacing w:line="520" w:lineRule="exact"/>
        <w:ind w:firstLine="640" w:firstLineChars="200"/>
        <w:rPr>
          <w:rFonts w:hint="eastAsia" w:eastAsia="仿宋_GB2312"/>
          <w:color w:val="000000"/>
          <w:sz w:val="32"/>
          <w:szCs w:val="32"/>
          <w:lang w:val="en-US" w:eastAsia="zh-CN"/>
        </w:rPr>
      </w:pPr>
      <w:r>
        <w:rPr>
          <w:rFonts w:hint="eastAsia" w:eastAsia="仿宋_GB2312"/>
          <w:color w:val="000000"/>
          <w:sz w:val="32"/>
          <w:szCs w:val="32"/>
          <w:lang w:val="en-US" w:eastAsia="zh-CN"/>
        </w:rPr>
        <w:t>再生性能研究（如适用）</w:t>
      </w:r>
    </w:p>
    <w:p w14:paraId="7493235E">
      <w:pPr>
        <w:numPr>
          <w:ilvl w:val="-1"/>
          <w:numId w:val="0"/>
        </w:numPr>
        <w:spacing w:line="520" w:lineRule="exact"/>
        <w:ind w:firstLine="640" w:firstLineChars="0"/>
        <w:rPr>
          <w:rFonts w:hint="eastAsia" w:eastAsia="仿宋_GB2312"/>
          <w:color w:val="000000"/>
          <w:sz w:val="32"/>
          <w:szCs w:val="32"/>
          <w:lang w:val="en-US" w:eastAsia="zh-CN"/>
        </w:rPr>
      </w:pPr>
      <w:r>
        <w:rPr>
          <w:rFonts w:hint="eastAsia" w:eastAsia="仿宋_GB2312"/>
          <w:color w:val="000000"/>
          <w:sz w:val="32"/>
          <w:szCs w:val="32"/>
          <w:lang w:val="en-US" w:eastAsia="zh-CN"/>
        </w:rPr>
        <w:t>对于宣称可再生使用的产品应确定其再生使用的方法、次数并提供研究资料。</w:t>
      </w:r>
    </w:p>
    <w:p w14:paraId="5554E3E6">
      <w:pPr>
        <w:numPr>
          <w:ilvl w:val="0"/>
          <w:numId w:val="2"/>
        </w:numPr>
        <w:spacing w:line="520" w:lineRule="exact"/>
        <w:ind w:left="0" w:leftChars="0" w:firstLine="640" w:firstLineChars="200"/>
        <w:rPr>
          <w:rFonts w:hint="eastAsia" w:eastAsia="仿宋_GB2312"/>
          <w:color w:val="000000"/>
          <w:sz w:val="32"/>
          <w:szCs w:val="32"/>
          <w:lang w:val="en-US" w:eastAsia="zh-CN"/>
        </w:rPr>
      </w:pPr>
      <w:r>
        <w:rPr>
          <w:rFonts w:hint="default" w:eastAsia="仿宋_GB2312"/>
          <w:color w:val="000000"/>
          <w:sz w:val="32"/>
          <w:szCs w:val="32"/>
          <w:lang w:val="en-US" w:eastAsia="zh-CN"/>
        </w:rPr>
        <w:t>可再生产品清洗/再生工艺的有效性确认</w:t>
      </w:r>
      <w:r>
        <w:rPr>
          <w:rFonts w:hint="eastAsia" w:eastAsia="仿宋_GB2312"/>
          <w:color w:val="000000"/>
          <w:sz w:val="32"/>
          <w:szCs w:val="32"/>
          <w:lang w:val="en-US" w:eastAsia="zh-CN"/>
        </w:rPr>
        <w:t>（如适用）</w:t>
      </w:r>
    </w:p>
    <w:p w14:paraId="0CDB3C06">
      <w:pPr>
        <w:numPr>
          <w:ilvl w:val="-1"/>
          <w:numId w:val="0"/>
        </w:numPr>
        <w:spacing w:line="520" w:lineRule="exact"/>
        <w:ind w:left="0" w:leftChars="0" w:firstLine="640" w:firstLineChars="200"/>
        <w:rPr>
          <w:rFonts w:hint="default" w:eastAsia="仿宋_GB2312"/>
          <w:color w:val="000000"/>
          <w:sz w:val="32"/>
          <w:szCs w:val="32"/>
          <w:lang w:val="en-US" w:eastAsia="zh-CN"/>
        </w:rPr>
      </w:pPr>
      <w:r>
        <w:rPr>
          <w:rFonts w:hint="eastAsia" w:eastAsia="仿宋_GB2312"/>
          <w:color w:val="000000"/>
          <w:sz w:val="32"/>
          <w:szCs w:val="32"/>
          <w:lang w:val="en-US" w:eastAsia="zh-CN"/>
        </w:rPr>
        <w:t>对于宣称可再生使用的产品，应</w:t>
      </w:r>
      <w:r>
        <w:rPr>
          <w:rFonts w:hint="default" w:eastAsia="仿宋_GB2312"/>
          <w:color w:val="000000"/>
          <w:sz w:val="32"/>
          <w:szCs w:val="32"/>
          <w:lang w:val="en-US" w:eastAsia="zh-CN"/>
        </w:rPr>
        <w:t>描述</w:t>
      </w:r>
      <w:r>
        <w:rPr>
          <w:rFonts w:hint="eastAsia" w:eastAsia="仿宋_GB2312"/>
          <w:color w:val="000000"/>
          <w:sz w:val="32"/>
          <w:szCs w:val="32"/>
          <w:lang w:val="en-US" w:eastAsia="zh-CN"/>
        </w:rPr>
        <w:t>不同原理的</w:t>
      </w:r>
      <w:r>
        <w:rPr>
          <w:rFonts w:hint="default" w:eastAsia="仿宋_GB2312"/>
          <w:color w:val="000000"/>
          <w:sz w:val="32"/>
          <w:szCs w:val="32"/>
          <w:lang w:val="en-US" w:eastAsia="zh-CN"/>
        </w:rPr>
        <w:t>层析柱适用的再生方法。申请人</w:t>
      </w:r>
      <w:r>
        <w:rPr>
          <w:rFonts w:hint="eastAsia" w:eastAsia="仿宋_GB2312"/>
          <w:color w:val="000000"/>
          <w:sz w:val="32"/>
          <w:szCs w:val="32"/>
          <w:lang w:val="en-US" w:eastAsia="zh-CN"/>
        </w:rPr>
        <w:t>应</w:t>
      </w:r>
      <w:r>
        <w:rPr>
          <w:rFonts w:hint="default" w:eastAsia="仿宋_GB2312"/>
          <w:color w:val="000000"/>
          <w:sz w:val="32"/>
          <w:szCs w:val="32"/>
          <w:lang w:val="en-US" w:eastAsia="zh-CN"/>
        </w:rPr>
        <w:t>给出明确的再生配方和再生程序，并在产品说明书中注明。</w:t>
      </w:r>
    </w:p>
    <w:p w14:paraId="2F376B7A">
      <w:pPr>
        <w:spacing w:line="520" w:lineRule="exact"/>
        <w:ind w:firstLine="640" w:firstLineChars="200"/>
        <w:rPr>
          <w:rFonts w:eastAsia="仿宋_GB2312"/>
          <w:color w:val="000000"/>
          <w:sz w:val="32"/>
          <w:szCs w:val="32"/>
        </w:rPr>
      </w:pPr>
      <w:r>
        <w:rPr>
          <w:rFonts w:hint="eastAsia" w:eastAsia="仿宋_GB2312"/>
          <w:color w:val="000000"/>
          <w:sz w:val="32"/>
          <w:szCs w:val="32"/>
          <w:lang w:val="en-US" w:eastAsia="zh-CN"/>
        </w:rPr>
        <w:t>6</w:t>
      </w:r>
      <w:r>
        <w:rPr>
          <w:rFonts w:hint="eastAsia" w:eastAsia="仿宋_GB2312"/>
          <w:color w:val="000000"/>
          <w:sz w:val="32"/>
          <w:szCs w:val="32"/>
        </w:rPr>
        <w:t>）前置滤器保护研究（如适用）</w:t>
      </w:r>
    </w:p>
    <w:p w14:paraId="656659C6">
      <w:pPr>
        <w:spacing w:line="520" w:lineRule="exact"/>
        <w:ind w:firstLine="640" w:firstLineChars="200"/>
        <w:rPr>
          <w:rFonts w:eastAsia="仿宋_GB2312"/>
          <w:color w:val="000000"/>
          <w:sz w:val="32"/>
          <w:szCs w:val="32"/>
        </w:rPr>
      </w:pPr>
      <w:r>
        <w:rPr>
          <w:rFonts w:hint="eastAsia" w:eastAsia="仿宋_GB2312"/>
          <w:color w:val="000000"/>
          <w:sz w:val="32"/>
          <w:szCs w:val="32"/>
        </w:rPr>
        <w:t>如层析柱前管路中存在滤器保护，应对滤器的使用次数、滤器对压力的影响、滤器对保留时间的影响、对出峰时间的影响进行研究。不同材质或规格的滤器对压力和出峰时间的影响时间不同。</w:t>
      </w:r>
    </w:p>
    <w:p w14:paraId="57873717">
      <w:pPr>
        <w:spacing w:line="520" w:lineRule="exact"/>
        <w:ind w:firstLine="640" w:firstLineChars="200"/>
        <w:rPr>
          <w:rFonts w:eastAsia="仿宋_GB2312"/>
          <w:color w:val="000000"/>
          <w:sz w:val="32"/>
          <w:szCs w:val="32"/>
        </w:rPr>
      </w:pPr>
      <w:r>
        <w:rPr>
          <w:rFonts w:hint="eastAsia" w:eastAsia="仿宋_GB2312"/>
          <w:color w:val="000000"/>
          <w:sz w:val="32"/>
          <w:szCs w:val="32"/>
          <w:lang w:val="en-US" w:eastAsia="zh-CN"/>
        </w:rPr>
        <w:t>7</w:t>
      </w:r>
      <w:r>
        <w:rPr>
          <w:rFonts w:hint="eastAsia" w:eastAsia="仿宋_GB2312"/>
          <w:color w:val="000000"/>
          <w:sz w:val="32"/>
          <w:szCs w:val="32"/>
        </w:rPr>
        <w:t>）干扰研究</w:t>
      </w:r>
    </w:p>
    <w:p w14:paraId="5F65A013">
      <w:pPr>
        <w:spacing w:line="520" w:lineRule="exact"/>
        <w:ind w:firstLine="640" w:firstLineChars="200"/>
        <w:rPr>
          <w:rFonts w:eastAsia="仿宋_GB2312"/>
          <w:color w:val="000000"/>
          <w:sz w:val="32"/>
          <w:szCs w:val="32"/>
        </w:rPr>
      </w:pPr>
      <w:r>
        <w:rPr>
          <w:rFonts w:hint="eastAsia" w:eastAsia="仿宋_GB2312"/>
          <w:color w:val="000000"/>
          <w:sz w:val="32"/>
          <w:szCs w:val="32"/>
        </w:rPr>
        <w:t>对其工作原理或检测过程产生</w:t>
      </w:r>
      <w:r>
        <w:rPr>
          <w:rFonts w:hint="eastAsia" w:eastAsia="仿宋_GB2312"/>
          <w:color w:val="000000"/>
          <w:sz w:val="32"/>
          <w:szCs w:val="32"/>
          <w:lang w:eastAsia="zh-CN"/>
        </w:rPr>
        <w:t>的</w:t>
      </w:r>
      <w:r>
        <w:rPr>
          <w:rFonts w:hint="eastAsia" w:eastAsia="仿宋_GB2312"/>
          <w:color w:val="000000"/>
          <w:sz w:val="32"/>
          <w:szCs w:val="32"/>
        </w:rPr>
        <w:t>影响因素全面评估，主要从如下方面开展干扰性研究：内源性干扰、外源性干扰、红细胞生存周期异常的干扰、肾功能异常样本、慢性肝功能异常样本、</w:t>
      </w:r>
      <w:r>
        <w:rPr>
          <w:rFonts w:eastAsia="仿宋_GB2312"/>
          <w:color w:val="000000"/>
          <w:sz w:val="32"/>
          <w:szCs w:val="32"/>
        </w:rPr>
        <w:t>血红蛋白病干扰</w:t>
      </w:r>
      <w:r>
        <w:rPr>
          <w:rFonts w:hint="eastAsia" w:eastAsia="仿宋_GB2312"/>
          <w:color w:val="000000"/>
          <w:sz w:val="32"/>
          <w:szCs w:val="32"/>
        </w:rPr>
        <w:t>等因素。</w:t>
      </w:r>
    </w:p>
    <w:p w14:paraId="69D11FE6">
      <w:pPr>
        <w:spacing w:line="520" w:lineRule="exact"/>
        <w:ind w:firstLine="640" w:firstLineChars="200"/>
        <w:rPr>
          <w:rFonts w:eastAsia="仿宋_GB2312"/>
          <w:color w:val="000000"/>
          <w:sz w:val="32"/>
          <w:szCs w:val="32"/>
        </w:rPr>
      </w:pPr>
      <w:r>
        <w:rPr>
          <w:rFonts w:hint="eastAsia" w:eastAsia="仿宋_GB2312"/>
          <w:color w:val="000000"/>
          <w:sz w:val="32"/>
          <w:szCs w:val="32"/>
          <w:lang w:val="en-US" w:eastAsia="zh-CN"/>
        </w:rPr>
        <w:t>8</w:t>
      </w:r>
      <w:r>
        <w:rPr>
          <w:rFonts w:hint="eastAsia" w:eastAsia="仿宋_GB2312"/>
          <w:color w:val="000000"/>
          <w:sz w:val="32"/>
          <w:szCs w:val="32"/>
        </w:rPr>
        <w:t>）活化封闭研究</w:t>
      </w:r>
    </w:p>
    <w:p w14:paraId="721CD720">
      <w:pPr>
        <w:spacing w:line="520" w:lineRule="exact"/>
        <w:ind w:firstLine="640" w:firstLineChars="200"/>
        <w:rPr>
          <w:rFonts w:eastAsia="仿宋_GB2312"/>
          <w:color w:val="000000"/>
          <w:sz w:val="32"/>
          <w:szCs w:val="32"/>
        </w:rPr>
      </w:pPr>
      <w:r>
        <w:rPr>
          <w:rFonts w:hint="eastAsia" w:eastAsia="仿宋_GB2312"/>
          <w:color w:val="000000"/>
          <w:sz w:val="32"/>
          <w:szCs w:val="32"/>
        </w:rPr>
        <w:t>产品初次使用前需要对微球填料活化，以封闭其非特异性吸附单元，减少干扰峰出现。应对活化条件、活化材料、活化后稳定时间进行研究。</w:t>
      </w:r>
    </w:p>
    <w:p w14:paraId="7914A862">
      <w:pPr>
        <w:spacing w:line="520" w:lineRule="exact"/>
        <w:ind w:firstLine="640" w:firstLineChars="200"/>
        <w:rPr>
          <w:rFonts w:eastAsia="仿宋_GB2312"/>
          <w:color w:val="000000"/>
          <w:sz w:val="32"/>
          <w:szCs w:val="32"/>
        </w:rPr>
      </w:pPr>
      <w:r>
        <w:rPr>
          <w:rFonts w:hint="eastAsia" w:eastAsia="仿宋_GB2312"/>
          <w:color w:val="000000"/>
          <w:sz w:val="32"/>
          <w:szCs w:val="32"/>
          <w:lang w:val="en-US" w:eastAsia="zh-CN"/>
        </w:rPr>
        <w:t>9</w:t>
      </w:r>
      <w:r>
        <w:rPr>
          <w:rFonts w:hint="eastAsia" w:eastAsia="仿宋_GB2312"/>
          <w:color w:val="000000"/>
          <w:sz w:val="32"/>
          <w:szCs w:val="32"/>
        </w:rPr>
        <w:t>）样本检测面积研究</w:t>
      </w:r>
    </w:p>
    <w:p w14:paraId="5DAF44E9">
      <w:pPr>
        <w:spacing w:line="520" w:lineRule="exact"/>
        <w:ind w:firstLine="640" w:firstLineChars="200"/>
        <w:rPr>
          <w:rFonts w:eastAsia="仿宋_GB2312"/>
          <w:color w:val="000000"/>
          <w:sz w:val="32"/>
          <w:szCs w:val="32"/>
        </w:rPr>
      </w:pPr>
      <w:r>
        <w:rPr>
          <w:rFonts w:hint="eastAsia" w:eastAsia="仿宋_GB2312"/>
          <w:color w:val="000000"/>
          <w:sz w:val="32"/>
          <w:szCs w:val="32"/>
          <w:lang w:val="en-US" w:eastAsia="zh-CN"/>
        </w:rPr>
        <w:t>层析柱有过载风险，</w:t>
      </w:r>
      <w:r>
        <w:rPr>
          <w:rFonts w:hint="eastAsia" w:eastAsia="仿宋_GB2312"/>
          <w:color w:val="000000"/>
          <w:sz w:val="32"/>
          <w:szCs w:val="32"/>
        </w:rPr>
        <w:t>血红蛋白检测面积直接影响检测结果，对于血红蛋白样本面积进行评估，确定血红蛋白检测最为适宜面积范围。</w:t>
      </w:r>
    </w:p>
    <w:p w14:paraId="745F6A0A">
      <w:pPr>
        <w:spacing w:line="520" w:lineRule="exact"/>
        <w:ind w:firstLine="640" w:firstLineChars="200"/>
        <w:rPr>
          <w:rFonts w:eastAsia="仿宋_GB2312"/>
          <w:color w:val="000000"/>
          <w:sz w:val="32"/>
          <w:szCs w:val="32"/>
        </w:rPr>
      </w:pPr>
      <w:r>
        <w:rPr>
          <w:rFonts w:hint="eastAsia" w:eastAsia="仿宋_GB2312"/>
          <w:color w:val="000000"/>
          <w:sz w:val="32"/>
          <w:szCs w:val="32"/>
          <w:lang w:val="en-US" w:eastAsia="zh-CN"/>
        </w:rPr>
        <w:t>10</w:t>
      </w:r>
      <w:r>
        <w:rPr>
          <w:rFonts w:hint="eastAsia" w:eastAsia="仿宋_GB2312"/>
          <w:color w:val="000000"/>
          <w:sz w:val="32"/>
          <w:szCs w:val="32"/>
        </w:rPr>
        <w:t>）</w:t>
      </w:r>
      <w:r>
        <w:rPr>
          <w:rFonts w:hint="eastAsia" w:eastAsia="仿宋_GB2312"/>
          <w:color w:val="000000"/>
          <w:sz w:val="32"/>
          <w:szCs w:val="32"/>
          <w:lang w:val="en-US" w:eastAsia="zh-CN"/>
        </w:rPr>
        <w:t>临床项目</w:t>
      </w:r>
      <w:r>
        <w:rPr>
          <w:rFonts w:hint="eastAsia" w:eastAsia="仿宋_GB2312"/>
          <w:color w:val="000000"/>
          <w:sz w:val="32"/>
          <w:szCs w:val="32"/>
        </w:rPr>
        <w:t>分析性能研究</w:t>
      </w:r>
    </w:p>
    <w:p w14:paraId="10099268">
      <w:pPr>
        <w:spacing w:line="520" w:lineRule="exact"/>
        <w:ind w:firstLine="640" w:firstLineChars="200"/>
        <w:rPr>
          <w:rFonts w:eastAsia="仿宋_GB2312"/>
          <w:color w:val="000000"/>
          <w:sz w:val="32"/>
          <w:szCs w:val="32"/>
        </w:rPr>
      </w:pPr>
      <w:r>
        <w:rPr>
          <w:rFonts w:hint="eastAsia" w:eastAsia="仿宋_GB2312"/>
          <w:color w:val="000000"/>
          <w:sz w:val="32"/>
          <w:szCs w:val="32"/>
        </w:rPr>
        <w:t>准确度：检测结果与糖化血红蛋白国家标准物质认定值的相对偏差在允许范围内；</w:t>
      </w:r>
    </w:p>
    <w:p w14:paraId="6572B74B">
      <w:pPr>
        <w:spacing w:line="520" w:lineRule="exact"/>
        <w:ind w:firstLine="640" w:firstLineChars="200"/>
        <w:rPr>
          <w:rFonts w:eastAsia="仿宋_GB2312"/>
          <w:color w:val="000000"/>
          <w:sz w:val="32"/>
          <w:szCs w:val="32"/>
        </w:rPr>
      </w:pPr>
      <w:r>
        <w:rPr>
          <w:rFonts w:hint="eastAsia" w:eastAsia="仿宋_GB2312"/>
          <w:color w:val="000000"/>
          <w:sz w:val="32"/>
          <w:szCs w:val="32"/>
        </w:rPr>
        <w:t>精密度：精密度变异系数CV</w:t>
      </w:r>
      <w:r>
        <w:rPr>
          <w:rFonts w:hint="eastAsia" w:ascii="书宋-简" w:hAnsi="书宋-简" w:eastAsia="书宋-简"/>
          <w:color w:val="000000"/>
          <w:sz w:val="32"/>
          <w:szCs w:val="32"/>
        </w:rPr>
        <w:t>≤</w:t>
      </w:r>
      <w:r>
        <w:rPr>
          <w:rFonts w:hint="eastAsia" w:eastAsia="仿宋_GB2312"/>
          <w:color w:val="000000"/>
          <w:sz w:val="32"/>
          <w:szCs w:val="32"/>
        </w:rPr>
        <w:t>规定值；</w:t>
      </w:r>
    </w:p>
    <w:p w14:paraId="536D839F">
      <w:pPr>
        <w:spacing w:line="520" w:lineRule="exact"/>
        <w:ind w:firstLine="640" w:firstLineChars="200"/>
        <w:rPr>
          <w:rFonts w:eastAsia="仿宋_GB2312"/>
          <w:color w:val="000000"/>
          <w:sz w:val="32"/>
          <w:szCs w:val="32"/>
        </w:rPr>
      </w:pPr>
      <w:r>
        <w:rPr>
          <w:rFonts w:hint="eastAsia" w:eastAsia="仿宋_GB2312"/>
          <w:color w:val="000000"/>
          <w:sz w:val="32"/>
          <w:szCs w:val="32"/>
        </w:rPr>
        <w:t>线性：在规定的糖化血红蛋白浓度范围内，检测结果与理论值的相关性、相对偏差符合要求；</w:t>
      </w:r>
    </w:p>
    <w:p w14:paraId="142DCFF9">
      <w:pPr>
        <w:spacing w:line="520" w:lineRule="exact"/>
        <w:ind w:firstLine="640" w:firstLineChars="200"/>
        <w:rPr>
          <w:rFonts w:eastAsia="仿宋_GB2312"/>
          <w:color w:val="000000"/>
          <w:sz w:val="32"/>
          <w:szCs w:val="32"/>
        </w:rPr>
      </w:pPr>
      <w:r>
        <w:rPr>
          <w:rFonts w:hint="eastAsia" w:eastAsia="仿宋_GB2312"/>
          <w:color w:val="000000"/>
          <w:sz w:val="32"/>
          <w:szCs w:val="32"/>
        </w:rPr>
        <w:t>携带污染率：携带污染率</w:t>
      </w:r>
      <w:r>
        <w:rPr>
          <w:rFonts w:hint="eastAsia" w:ascii="书宋-简" w:hAnsi="书宋-简" w:eastAsia="书宋-简"/>
          <w:color w:val="000000"/>
          <w:sz w:val="32"/>
          <w:szCs w:val="32"/>
        </w:rPr>
        <w:t>≤</w:t>
      </w:r>
      <w:r>
        <w:rPr>
          <w:rFonts w:hint="eastAsia" w:eastAsia="仿宋_GB2312"/>
          <w:color w:val="000000"/>
          <w:sz w:val="32"/>
          <w:szCs w:val="32"/>
        </w:rPr>
        <w:t>规定值。</w:t>
      </w:r>
    </w:p>
    <w:p w14:paraId="190D2BD6">
      <w:pPr>
        <w:spacing w:line="520" w:lineRule="exact"/>
        <w:ind w:firstLine="640" w:firstLineChars="200"/>
        <w:rPr>
          <w:rFonts w:ascii="Times New Roman" w:hAnsi="Times New Roman" w:eastAsia="仿宋_GB2312" w:cs="Times New Roman"/>
          <w:color w:val="000000"/>
          <w:spacing w:val="-1"/>
          <w:sz w:val="32"/>
          <w:szCs w:val="32"/>
        </w:rPr>
      </w:pPr>
      <w:r>
        <w:rPr>
          <w:rFonts w:hint="eastAsia" w:eastAsia="仿宋_GB2312"/>
          <w:color w:val="000000"/>
          <w:sz w:val="32"/>
          <w:szCs w:val="32"/>
          <w:lang w:val="en-US" w:eastAsia="zh-CN"/>
        </w:rPr>
        <w:t>11</w:t>
      </w:r>
      <w:r>
        <w:rPr>
          <w:rFonts w:hint="eastAsia" w:eastAsia="仿宋_GB2312"/>
          <w:color w:val="000000"/>
          <w:sz w:val="32"/>
          <w:szCs w:val="32"/>
        </w:rPr>
        <w:t>）</w:t>
      </w:r>
      <w:r>
        <w:rPr>
          <w:rFonts w:hint="eastAsia" w:ascii="Times New Roman" w:hAnsi="Times New Roman" w:eastAsia="仿宋_GB2312" w:cs="Times New Roman"/>
          <w:color w:val="000000"/>
          <w:spacing w:val="-1"/>
          <w:sz w:val="32"/>
          <w:szCs w:val="32"/>
        </w:rPr>
        <w:t>联合使用与兼容性研究</w:t>
      </w:r>
    </w:p>
    <w:p w14:paraId="073ACA38">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开展与配套设备、试剂的联合使用研究，明确产品与糖化血红蛋白分析仪、洗脱液、溶血剂、校准品、质控品的配套要求，验证组合使用时的性能稳定性；开展不同批次产品与配套试剂的兼容性研究，验证不同批次层析柱与不同批次洗脱液、溶血剂组合使用（经校准后）的检测结果一致性；开展更换不同批次产品/试剂后的校准研究，验证校准措施对检测结果准确性的保障作用。</w:t>
      </w:r>
    </w:p>
    <w:p w14:paraId="03520233">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4.</w:t>
      </w:r>
      <w:r>
        <w:rPr>
          <w:rFonts w:hint="eastAsia" w:ascii="Times New Roman" w:hAnsi="Times New Roman" w:eastAsia="仿宋_GB2312" w:cs="Times New Roman"/>
          <w:color w:val="000000"/>
          <w:spacing w:val="-1"/>
          <w:sz w:val="32"/>
          <w:szCs w:val="32"/>
          <w:lang w:val="en-US" w:eastAsia="zh-CN"/>
        </w:rPr>
        <w:t>2</w:t>
      </w:r>
      <w:r>
        <w:rPr>
          <w:rFonts w:hint="eastAsia" w:ascii="Times New Roman" w:hAnsi="Times New Roman" w:eastAsia="仿宋_GB2312" w:cs="Times New Roman"/>
          <w:color w:val="000000"/>
          <w:spacing w:val="-1"/>
          <w:sz w:val="32"/>
          <w:szCs w:val="32"/>
        </w:rPr>
        <w:t>稳定性研究</w:t>
      </w:r>
    </w:p>
    <w:p w14:paraId="59E36457">
      <w:pPr>
        <w:spacing w:line="520" w:lineRule="exact"/>
        <w:ind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应当提供货架有效期和包装研究资料。</w:t>
      </w:r>
      <w:r>
        <w:rPr>
          <w:rFonts w:eastAsia="仿宋_GB2312"/>
          <w:sz w:val="32"/>
          <w:szCs w:val="32"/>
          <w:lang w:eastAsia="zh-Hans"/>
        </w:rPr>
        <w:t>应明确产品的初包装材质和包装形式，</w:t>
      </w:r>
      <w:r>
        <w:rPr>
          <w:rFonts w:hint="eastAsia" w:ascii="Times New Roman" w:hAnsi="Times New Roman" w:eastAsia="仿宋_GB2312" w:cs="Times New Roman"/>
          <w:color w:val="000000"/>
          <w:spacing w:val="-1"/>
          <w:sz w:val="32"/>
          <w:szCs w:val="32"/>
        </w:rPr>
        <w:t>证明在货架有效期内，在生产企业规定的运输贮存条件下，产品可保持性能功能满足使用要求</w:t>
      </w:r>
      <w:r>
        <w:rPr>
          <w:rFonts w:hint="eastAsia" w:ascii="Times New Roman" w:hAnsi="Times New Roman" w:eastAsia="仿宋_GB2312" w:cs="Times New Roman"/>
          <w:color w:val="000000"/>
          <w:spacing w:val="-1"/>
          <w:sz w:val="32"/>
          <w:szCs w:val="32"/>
          <w:lang w:eastAsia="zh-CN"/>
        </w:rPr>
        <w:t>。本产品的货架有效期验证试验可采用加速稳定性试验、实时稳定性试验等。必要时</w:t>
      </w:r>
      <w:r>
        <w:rPr>
          <w:rFonts w:hint="eastAsia" w:ascii="Times New Roman" w:hAnsi="Times New Roman" w:eastAsia="仿宋_GB2312" w:cs="Times New Roman"/>
          <w:color w:val="000000"/>
          <w:spacing w:val="-1"/>
          <w:sz w:val="32"/>
          <w:szCs w:val="32"/>
          <w:lang w:val="en-US" w:eastAsia="zh-CN"/>
        </w:rPr>
        <w:t>应</w:t>
      </w:r>
      <w:r>
        <w:rPr>
          <w:rFonts w:hint="eastAsia" w:ascii="Times New Roman" w:hAnsi="Times New Roman" w:eastAsia="仿宋_GB2312" w:cs="Times New Roman"/>
          <w:color w:val="000000"/>
          <w:spacing w:val="-1"/>
          <w:sz w:val="32"/>
          <w:szCs w:val="32"/>
          <w:lang w:eastAsia="zh-CN"/>
        </w:rPr>
        <w:t>考虑高分子材料老化等因素对产品稳定性的影响。</w:t>
      </w:r>
    </w:p>
    <w:p w14:paraId="59845F0B">
      <w:pPr>
        <w:spacing w:line="520" w:lineRule="exact"/>
        <w:ind w:firstLine="636" w:firstLineChars="200"/>
        <w:outlineLvl w:val="4"/>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应当提供运输稳定性和包装研究资料。应明确产品的</w:t>
      </w:r>
      <w:r>
        <w:rPr>
          <w:rFonts w:hint="eastAsia" w:ascii="Times New Roman" w:hAnsi="Times New Roman" w:eastAsia="仿宋_GB2312" w:cs="Times New Roman"/>
          <w:color w:val="000000"/>
          <w:spacing w:val="-1"/>
          <w:sz w:val="32"/>
          <w:szCs w:val="32"/>
          <w:lang w:val="en-US" w:eastAsia="zh-CN"/>
        </w:rPr>
        <w:t>外</w:t>
      </w:r>
      <w:r>
        <w:rPr>
          <w:rFonts w:hint="eastAsia" w:ascii="Times New Roman" w:hAnsi="Times New Roman" w:eastAsia="仿宋_GB2312" w:cs="Times New Roman"/>
          <w:color w:val="000000"/>
          <w:spacing w:val="-1"/>
          <w:sz w:val="32"/>
          <w:szCs w:val="32"/>
        </w:rPr>
        <w:t>包装材质和包装形式，并确保包装在产品有效期内和宣称的运输储存条件下，能够对产品起到防护作用。产品包装验证可依据有关国家标准进行（如GB/T 4857等），提交产品的包装验证报告。包装验证的资料内容应与包装说明中给出的信息相符。</w:t>
      </w:r>
    </w:p>
    <w:p w14:paraId="4831096F">
      <w:pPr>
        <w:spacing w:line="520" w:lineRule="exact"/>
        <w:ind w:firstLine="640" w:firstLineChars="200"/>
        <w:outlineLvl w:val="4"/>
        <w:rPr>
          <w:rFonts w:eastAsia="仿宋_GB2312"/>
          <w:sz w:val="32"/>
          <w:szCs w:val="32"/>
          <w:lang w:eastAsia="zh-Hans"/>
        </w:rPr>
      </w:pPr>
      <w:r>
        <w:rPr>
          <w:rFonts w:hint="eastAsia" w:eastAsia="仿宋_GB2312"/>
          <w:sz w:val="32"/>
          <w:szCs w:val="32"/>
          <w:lang w:val="en-US" w:eastAsia="zh-CN"/>
        </w:rPr>
        <w:t>5.</w:t>
      </w:r>
      <w:r>
        <w:rPr>
          <w:rFonts w:eastAsia="仿宋_GB2312"/>
          <w:sz w:val="32"/>
          <w:szCs w:val="32"/>
          <w:lang w:eastAsia="zh-Hans"/>
        </w:rPr>
        <w:t>其他资料</w:t>
      </w:r>
    </w:p>
    <w:p w14:paraId="54B76EA4">
      <w:pPr>
        <w:spacing w:line="520" w:lineRule="exact"/>
        <w:ind w:firstLine="640" w:firstLineChars="200"/>
        <w:rPr>
          <w:rFonts w:hint="eastAsia" w:eastAsia="仿宋_GB2312"/>
          <w:sz w:val="32"/>
          <w:szCs w:val="32"/>
          <w:lang w:eastAsia="zh-Hans"/>
        </w:rPr>
      </w:pPr>
      <w:r>
        <w:rPr>
          <w:rFonts w:hint="eastAsia" w:eastAsia="仿宋_GB2312"/>
          <w:sz w:val="32"/>
          <w:szCs w:val="32"/>
          <w:lang w:val="en-US" w:eastAsia="zh-CN"/>
        </w:rPr>
        <w:t>该</w:t>
      </w:r>
      <w:r>
        <w:rPr>
          <w:rFonts w:eastAsia="仿宋_GB2312"/>
          <w:sz w:val="32"/>
          <w:szCs w:val="32"/>
          <w:lang w:eastAsia="zh-Hans"/>
        </w:rPr>
        <w:t>产品列入</w:t>
      </w:r>
      <w:r>
        <w:rPr>
          <w:rFonts w:hint="eastAsia" w:eastAsia="仿宋_GB2312"/>
          <w:sz w:val="32"/>
          <w:szCs w:val="32"/>
          <w:lang w:eastAsia="zh-Hans"/>
        </w:rPr>
        <w:t>《免于进行临床评价医疗器械目录》</w:t>
      </w:r>
      <w:r>
        <w:rPr>
          <w:rFonts w:eastAsia="仿宋_GB2312"/>
          <w:sz w:val="32"/>
          <w:szCs w:val="32"/>
          <w:lang w:eastAsia="zh-Hans"/>
        </w:rPr>
        <w:t>，</w:t>
      </w:r>
      <w:r>
        <w:rPr>
          <w:rFonts w:eastAsia="仿宋_GB2312"/>
          <w:snapToGrid w:val="0"/>
          <w:kern w:val="0"/>
          <w:sz w:val="32"/>
          <w:szCs w:val="32"/>
        </w:rPr>
        <w:t>注册申请人</w:t>
      </w:r>
      <w:r>
        <w:rPr>
          <w:rFonts w:eastAsia="仿宋_GB2312"/>
          <w:sz w:val="32"/>
          <w:szCs w:val="32"/>
          <w:lang w:eastAsia="zh-Hans"/>
        </w:rPr>
        <w:t>应当按照《</w:t>
      </w:r>
      <w:r>
        <w:rPr>
          <w:rFonts w:hint="eastAsia" w:eastAsia="仿宋_GB2312"/>
          <w:sz w:val="32"/>
          <w:szCs w:val="32"/>
          <w:lang w:eastAsia="zh-Hans"/>
        </w:rPr>
        <w:t>列入免于临床评价医疗器械目录产品对比说明技术指导原则</w:t>
      </w:r>
      <w:r>
        <w:rPr>
          <w:rFonts w:eastAsia="仿宋_GB2312"/>
          <w:sz w:val="32"/>
          <w:szCs w:val="32"/>
          <w:lang w:eastAsia="zh-Hans"/>
        </w:rPr>
        <w:t>》，从</w:t>
      </w:r>
      <w:r>
        <w:rPr>
          <w:rFonts w:hint="eastAsia" w:eastAsia="仿宋_GB2312"/>
          <w:sz w:val="32"/>
          <w:szCs w:val="32"/>
          <w:lang w:eastAsia="zh-Hans"/>
        </w:rPr>
        <w:t>基本原理</w:t>
      </w:r>
      <w:r>
        <w:rPr>
          <w:rFonts w:hint="eastAsia" w:eastAsia="仿宋_GB2312"/>
          <w:sz w:val="32"/>
          <w:szCs w:val="32"/>
          <w:lang w:eastAsia="zh-CN"/>
        </w:rPr>
        <w:t>、</w:t>
      </w:r>
      <w:r>
        <w:rPr>
          <w:rFonts w:hint="eastAsia" w:eastAsia="仿宋_GB2312"/>
          <w:sz w:val="32"/>
          <w:szCs w:val="32"/>
          <w:lang w:eastAsia="zh-Hans"/>
        </w:rPr>
        <w:t>结构组成</w:t>
      </w:r>
      <w:r>
        <w:rPr>
          <w:rFonts w:hint="eastAsia" w:eastAsia="仿宋_GB2312"/>
          <w:sz w:val="32"/>
          <w:szCs w:val="32"/>
          <w:lang w:eastAsia="zh-CN"/>
        </w:rPr>
        <w:t>、</w:t>
      </w:r>
      <w:r>
        <w:rPr>
          <w:rFonts w:hint="eastAsia" w:eastAsia="仿宋_GB2312"/>
          <w:sz w:val="32"/>
          <w:szCs w:val="32"/>
          <w:lang w:eastAsia="zh-Hans"/>
        </w:rPr>
        <w:t>产品制造材料</w:t>
      </w:r>
      <w:r>
        <w:rPr>
          <w:rFonts w:hint="eastAsia" w:eastAsia="仿宋_GB2312"/>
          <w:sz w:val="32"/>
          <w:szCs w:val="32"/>
          <w:lang w:eastAsia="zh-CN"/>
        </w:rPr>
        <w:t>、</w:t>
      </w:r>
      <w:r>
        <w:rPr>
          <w:rFonts w:hint="eastAsia" w:eastAsia="仿宋_GB2312"/>
          <w:sz w:val="32"/>
          <w:szCs w:val="32"/>
          <w:lang w:eastAsia="zh-Hans"/>
        </w:rPr>
        <w:t>性能要求</w:t>
      </w:r>
      <w:r>
        <w:rPr>
          <w:rFonts w:hint="eastAsia" w:eastAsia="仿宋_GB2312"/>
          <w:sz w:val="32"/>
          <w:szCs w:val="32"/>
          <w:lang w:eastAsia="zh-CN"/>
        </w:rPr>
        <w:t>、</w:t>
      </w:r>
      <w:r>
        <w:rPr>
          <w:rFonts w:hint="eastAsia" w:eastAsia="仿宋_GB2312"/>
          <w:sz w:val="32"/>
          <w:szCs w:val="32"/>
          <w:lang w:eastAsia="zh-Hans"/>
        </w:rPr>
        <w:t>适用范围</w:t>
      </w:r>
      <w:r>
        <w:rPr>
          <w:rFonts w:hint="eastAsia" w:eastAsia="仿宋_GB2312"/>
          <w:sz w:val="32"/>
          <w:szCs w:val="32"/>
          <w:lang w:eastAsia="zh-CN"/>
        </w:rPr>
        <w:t>、</w:t>
      </w:r>
      <w:r>
        <w:rPr>
          <w:rFonts w:hint="eastAsia" w:eastAsia="仿宋_GB2312"/>
          <w:sz w:val="32"/>
          <w:szCs w:val="32"/>
          <w:lang w:eastAsia="zh-Hans"/>
        </w:rPr>
        <w:t>使用方法等方面，证明产品的安全有效性。</w:t>
      </w:r>
    </w:p>
    <w:p w14:paraId="2CA4FCE2">
      <w:pPr>
        <w:spacing w:line="520" w:lineRule="exact"/>
        <w:ind w:right="-67" w:rightChars="-32" w:firstLine="640" w:firstLineChars="200"/>
        <w:rPr>
          <w:rFonts w:hint="eastAsia" w:ascii="Times New Roman" w:hAnsi="Times New Roman" w:eastAsia="楷体_GB2312" w:cs="Times New Roman"/>
          <w:color w:val="000000"/>
          <w:sz w:val="32"/>
          <w:szCs w:val="32"/>
        </w:rPr>
      </w:pPr>
      <w:r>
        <w:rPr>
          <w:rFonts w:hint="eastAsia" w:ascii="Times New Roman" w:hAnsi="Times New Roman" w:eastAsia="楷体_GB2312" w:cs="Times New Roman"/>
          <w:color w:val="000000"/>
          <w:sz w:val="32"/>
          <w:szCs w:val="32"/>
        </w:rPr>
        <w:t>（四）临床评价资料</w:t>
      </w:r>
    </w:p>
    <w:p w14:paraId="246B322D">
      <w:pPr>
        <w:spacing w:line="520" w:lineRule="exact"/>
        <w:ind w:right="-67" w:rightChars="-32"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该产品列入《免于临床评价医疗器械目录》，注册申请人无需提交临床评价资料。</w:t>
      </w:r>
    </w:p>
    <w:p w14:paraId="52E7E33B">
      <w:pPr>
        <w:spacing w:line="520" w:lineRule="exact"/>
        <w:ind w:right="-67" w:rightChars="-32"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若无法证明申报产品与《目录》产品具有等同性，则应按照《医疗器械临床评价技术指导原则》其他路径开展相应工作，提供符合要求的临床评价资料。</w:t>
      </w:r>
    </w:p>
    <w:p w14:paraId="2F223080">
      <w:pPr>
        <w:spacing w:line="520" w:lineRule="exact"/>
        <w:ind w:right="-67" w:rightChars="-32" w:firstLine="640" w:firstLineChars="200"/>
        <w:rPr>
          <w:rFonts w:hint="eastAsia" w:ascii="Times New Roman" w:hAnsi="Times New Roman" w:eastAsia="楷体_GB2312" w:cs="Times New Roman"/>
          <w:color w:val="000000"/>
          <w:sz w:val="32"/>
          <w:szCs w:val="32"/>
        </w:rPr>
      </w:pPr>
      <w:r>
        <w:rPr>
          <w:rFonts w:hint="eastAsia" w:ascii="Times New Roman" w:hAnsi="Times New Roman" w:eastAsia="楷体_GB2312" w:cs="Times New Roman"/>
          <w:color w:val="000000"/>
          <w:sz w:val="32"/>
          <w:szCs w:val="32"/>
        </w:rPr>
        <w:t>（五）产品说明书和标签样稿</w:t>
      </w:r>
    </w:p>
    <w:p w14:paraId="5D81B24F">
      <w:pPr>
        <w:pStyle w:val="3"/>
        <w:spacing w:line="520" w:lineRule="exact"/>
        <w:ind w:firstLine="640" w:firstLineChars="200"/>
        <w:rPr>
          <w:rFonts w:ascii="Times New Roman" w:eastAsia="仿宋_GB2312"/>
          <w:bCs/>
          <w:color w:val="000000"/>
          <w:sz w:val="32"/>
          <w:szCs w:val="32"/>
        </w:rPr>
      </w:pPr>
      <w:r>
        <w:rPr>
          <w:rFonts w:ascii="Times New Roman" w:eastAsia="仿宋_GB2312"/>
          <w:bCs/>
          <w:color w:val="000000"/>
          <w:sz w:val="32"/>
          <w:szCs w:val="32"/>
        </w:rPr>
        <w:t>产品说明书和标签应符合《医疗器械说明书和标签管理规定》的要求。</w:t>
      </w:r>
    </w:p>
    <w:p w14:paraId="4317AC8C">
      <w:pPr>
        <w:spacing w:line="520" w:lineRule="exact"/>
        <w:ind w:right="-67" w:rightChars="-32"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rPr>
        <w:t>结合产品特点，</w:t>
      </w:r>
      <w:r>
        <w:rPr>
          <w:rFonts w:hint="eastAsia" w:ascii="Times New Roman" w:hAnsi="Times New Roman" w:eastAsia="仿宋_GB2312" w:cs="Times New Roman"/>
          <w:color w:val="000000"/>
          <w:spacing w:val="-1"/>
          <w:sz w:val="32"/>
          <w:szCs w:val="32"/>
          <w:lang w:val="en-US" w:eastAsia="zh-CN"/>
        </w:rPr>
        <w:t>说明书应</w:t>
      </w:r>
      <w:r>
        <w:rPr>
          <w:rFonts w:hint="eastAsia" w:ascii="Times New Roman" w:hAnsi="Times New Roman" w:eastAsia="仿宋_GB2312" w:cs="Times New Roman"/>
          <w:color w:val="000000"/>
          <w:spacing w:val="-1"/>
          <w:sz w:val="32"/>
          <w:szCs w:val="32"/>
        </w:rPr>
        <w:t>细化以下内容：</w:t>
      </w:r>
    </w:p>
    <w:p w14:paraId="17F197A9">
      <w:pPr>
        <w:spacing w:line="520" w:lineRule="exact"/>
        <w:ind w:right="-67" w:rightChars="-32"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lang w:val="en-US" w:eastAsia="zh-CN"/>
        </w:rPr>
        <w:t>1</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rPr>
        <w:t>详细说明产品的适用范围、配套使用的设备和试剂</w:t>
      </w:r>
      <w:r>
        <w:rPr>
          <w:rFonts w:hint="eastAsia" w:ascii="Times New Roman" w:hAnsi="Times New Roman" w:eastAsia="仿宋_GB2312" w:cs="Times New Roman"/>
          <w:color w:val="000000"/>
          <w:spacing w:val="-1"/>
          <w:sz w:val="32"/>
          <w:szCs w:val="32"/>
          <w:lang w:val="en-US" w:eastAsia="zh-CN"/>
        </w:rPr>
        <w:t>信息</w:t>
      </w:r>
      <w:r>
        <w:rPr>
          <w:rFonts w:hint="eastAsia" w:ascii="Times New Roman" w:hAnsi="Times New Roman" w:eastAsia="仿宋_GB2312" w:cs="Times New Roman"/>
          <w:color w:val="000000"/>
          <w:spacing w:val="-1"/>
          <w:sz w:val="32"/>
          <w:szCs w:val="32"/>
        </w:rPr>
        <w:t>；</w:t>
      </w:r>
    </w:p>
    <w:p w14:paraId="03581062">
      <w:pPr>
        <w:spacing w:line="520" w:lineRule="exact"/>
        <w:ind w:right="-67" w:rightChars="-32"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lang w:val="en-US" w:eastAsia="zh-CN"/>
        </w:rPr>
        <w:t>2</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lang w:val="en-US" w:eastAsia="zh-CN"/>
        </w:rPr>
        <w:t>明示</w:t>
      </w:r>
      <w:r>
        <w:rPr>
          <w:rFonts w:hint="eastAsia" w:ascii="Times New Roman" w:hAnsi="Times New Roman" w:eastAsia="仿宋_GB2312" w:cs="Times New Roman"/>
          <w:color w:val="000000"/>
          <w:spacing w:val="-1"/>
          <w:sz w:val="32"/>
          <w:szCs w:val="32"/>
        </w:rPr>
        <w:t>产品的关键性能指标，如检测极限次数、出峰时间范围等；</w:t>
      </w:r>
    </w:p>
    <w:p w14:paraId="3E3ADBCE">
      <w:pPr>
        <w:spacing w:line="520" w:lineRule="exact"/>
        <w:ind w:right="-67" w:rightChars="-32"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lang w:val="en-US" w:eastAsia="zh-CN"/>
        </w:rPr>
        <w:t>3</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rPr>
        <w:t>提供产品的使用方法，包括</w:t>
      </w:r>
      <w:r>
        <w:rPr>
          <w:rFonts w:hint="eastAsia" w:ascii="Times New Roman" w:hAnsi="Times New Roman" w:eastAsia="仿宋_GB2312" w:cs="Times New Roman"/>
          <w:color w:val="000000"/>
          <w:spacing w:val="-1"/>
          <w:sz w:val="32"/>
          <w:szCs w:val="32"/>
          <w:lang w:val="en-US" w:eastAsia="zh-CN"/>
        </w:rPr>
        <w:t>使用时环境温度、</w:t>
      </w:r>
      <w:r>
        <w:rPr>
          <w:rFonts w:hint="eastAsia" w:ascii="Times New Roman" w:hAnsi="Times New Roman" w:eastAsia="仿宋_GB2312" w:cs="Times New Roman"/>
          <w:color w:val="000000"/>
          <w:spacing w:val="-1"/>
          <w:sz w:val="32"/>
          <w:szCs w:val="32"/>
        </w:rPr>
        <w:t>与分析仪的连接、校准操作、样本检测的操作步骤；</w:t>
      </w:r>
    </w:p>
    <w:p w14:paraId="7D801C8A">
      <w:pPr>
        <w:spacing w:line="520" w:lineRule="exact"/>
        <w:ind w:right="-67" w:rightChars="-32"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lang w:val="en-US" w:eastAsia="zh-CN"/>
        </w:rPr>
        <w:t>4</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rPr>
        <w:t>明确产品的储存条件（温度、湿度）、货架有效期、运输要求；</w:t>
      </w:r>
    </w:p>
    <w:p w14:paraId="0C37427C">
      <w:pPr>
        <w:spacing w:line="520" w:lineRule="exact"/>
        <w:ind w:right="-67" w:rightChars="-32"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lang w:val="en-US" w:eastAsia="zh-CN"/>
        </w:rPr>
        <w:t>5</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rPr>
        <w:t>明确风险提示，包括禁止与非配套设备/试剂使用、未按要求校准的后果、样本处理的要求</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lang w:val="en-US" w:eastAsia="zh-CN"/>
        </w:rPr>
        <w:t>安装方向、密封部件禁止拆开、禁止超限次使用</w:t>
      </w:r>
      <w:r>
        <w:rPr>
          <w:rFonts w:hint="eastAsia" w:ascii="Times New Roman" w:hAnsi="Times New Roman" w:eastAsia="仿宋_GB2312" w:cs="Times New Roman"/>
          <w:color w:val="000000"/>
          <w:spacing w:val="-1"/>
          <w:sz w:val="32"/>
          <w:szCs w:val="32"/>
        </w:rPr>
        <w:t>等；</w:t>
      </w:r>
    </w:p>
    <w:p w14:paraId="4A1DC7DD">
      <w:pPr>
        <w:spacing w:line="520" w:lineRule="exact"/>
        <w:ind w:right="-67" w:rightChars="-32"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lang w:val="en-US" w:eastAsia="zh-CN"/>
        </w:rPr>
        <w:t>6</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lang w:val="en-US" w:eastAsia="zh-CN"/>
        </w:rPr>
        <w:t>说明超压报警的故障处理方式、以及前置过滤器（如适用）的使用方法及更换方式。</w:t>
      </w:r>
    </w:p>
    <w:p w14:paraId="5AA00509">
      <w:pPr>
        <w:spacing w:line="520" w:lineRule="exact"/>
        <w:ind w:right="-67" w:rightChars="-32"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lang w:val="en-US" w:eastAsia="zh-CN"/>
        </w:rPr>
        <w:t>7</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rPr>
        <w:t>说明产品的维护、保养要求及废弃处理方式。</w:t>
      </w:r>
    </w:p>
    <w:p w14:paraId="14D1A137">
      <w:pPr>
        <w:spacing w:line="520" w:lineRule="exact"/>
        <w:ind w:right="0" w:rightChars="0" w:firstLine="636" w:firstLineChars="200"/>
        <w:rPr>
          <w:rFonts w:hint="default" w:ascii="Times New Roman" w:hAnsi="Times New Roman" w:eastAsia="仿宋_GB2312" w:cs="Times New Roman"/>
          <w:color w:val="000000"/>
          <w:spacing w:val="-1"/>
          <w:sz w:val="32"/>
          <w:szCs w:val="32"/>
          <w:lang w:val="en-US" w:eastAsia="zh-CN"/>
        </w:rPr>
      </w:pP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lang w:val="en-US" w:eastAsia="zh-CN"/>
        </w:rPr>
        <w:t>8</w:t>
      </w:r>
      <w:r>
        <w:rPr>
          <w:rFonts w:hint="eastAsia" w:ascii="Times New Roman" w:hAnsi="Times New Roman" w:eastAsia="仿宋_GB2312" w:cs="Times New Roman"/>
          <w:color w:val="000000"/>
          <w:spacing w:val="-1"/>
          <w:sz w:val="32"/>
          <w:szCs w:val="32"/>
          <w:lang w:eastAsia="zh-CN"/>
        </w:rPr>
        <w:t>）</w:t>
      </w:r>
      <w:r>
        <w:rPr>
          <w:rFonts w:hint="eastAsia" w:ascii="Times New Roman" w:hAnsi="Times New Roman" w:eastAsia="仿宋_GB2312" w:cs="Times New Roman"/>
          <w:color w:val="000000"/>
          <w:spacing w:val="-1"/>
          <w:sz w:val="32"/>
          <w:szCs w:val="32"/>
          <w:lang w:val="en-US" w:eastAsia="zh-CN"/>
        </w:rPr>
        <w:t>明确</w:t>
      </w:r>
      <w:r>
        <w:rPr>
          <w:rFonts w:hint="eastAsia" w:ascii="Times New Roman" w:hAnsi="Times New Roman" w:eastAsia="仿宋_GB2312" w:cs="Times New Roman"/>
          <w:color w:val="000000"/>
          <w:spacing w:val="-1"/>
          <w:sz w:val="32"/>
          <w:szCs w:val="32"/>
        </w:rPr>
        <w:t>使用过程监测与注意事项如：监测仪器运行状态、保留时间、柱压、洗脱峰形等参数，确保分离效果符合要求，避免因其柱效下降导致结果偏差。</w:t>
      </w:r>
    </w:p>
    <w:p w14:paraId="7AF4B174">
      <w:pPr>
        <w:spacing w:line="520" w:lineRule="exact"/>
        <w:ind w:right="-67" w:rightChars="-32" w:firstLine="640" w:firstLineChars="200"/>
        <w:rPr>
          <w:rFonts w:hint="eastAsia" w:ascii="Times New Roman" w:hAnsi="Times New Roman" w:eastAsia="楷体_GB2312" w:cs="Times New Roman"/>
          <w:color w:val="000000"/>
          <w:sz w:val="32"/>
          <w:szCs w:val="32"/>
        </w:rPr>
      </w:pPr>
      <w:r>
        <w:rPr>
          <w:rFonts w:hint="eastAsia" w:ascii="Times New Roman" w:hAnsi="Times New Roman" w:eastAsia="楷体_GB2312" w:cs="Times New Roman"/>
          <w:color w:val="000000"/>
          <w:sz w:val="32"/>
          <w:szCs w:val="32"/>
        </w:rPr>
        <w:t>（六）质量管理体系文件</w:t>
      </w:r>
    </w:p>
    <w:p w14:paraId="60B47A37">
      <w:pPr>
        <w:spacing w:line="520" w:lineRule="exact"/>
        <w:ind w:right="-67" w:rightChars="-32"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lang w:val="en-US" w:eastAsia="zh-CN"/>
        </w:rPr>
        <w:t>1.</w:t>
      </w:r>
      <w:r>
        <w:rPr>
          <w:rFonts w:hint="eastAsia" w:ascii="Times New Roman" w:hAnsi="Times New Roman" w:eastAsia="仿宋_GB2312" w:cs="Times New Roman"/>
          <w:color w:val="000000"/>
          <w:spacing w:val="-1"/>
          <w:sz w:val="32"/>
          <w:szCs w:val="32"/>
        </w:rPr>
        <w:t>详述产品的生产工艺和步骤，提供生产工艺流程图，包括原材料筛选、部件加工、组装、填充剂装填、外观检验、性能检测、包装等环节；提交生产工艺概述、生产工艺过程中需要进行控制和测试的环节及相关证明性资料，确认关键工艺点（如填充剂装填、部件组装精度），并对生产工艺的可控性、稳定性进行确认。</w:t>
      </w:r>
    </w:p>
    <w:p w14:paraId="402785B6">
      <w:pPr>
        <w:spacing w:line="520" w:lineRule="exact"/>
        <w:ind w:right="-67" w:rightChars="-32"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lang w:val="en-US" w:eastAsia="zh-CN"/>
        </w:rPr>
        <w:t>2.</w:t>
      </w:r>
      <w:r>
        <w:rPr>
          <w:rFonts w:hint="eastAsia" w:ascii="Times New Roman" w:hAnsi="Times New Roman" w:eastAsia="仿宋_GB2312" w:cs="Times New Roman"/>
          <w:color w:val="000000"/>
          <w:spacing w:val="-1"/>
          <w:sz w:val="32"/>
          <w:szCs w:val="32"/>
        </w:rPr>
        <w:t>明确产品生产过程中的特殊过程和关键工序，如微球填充工艺、柱管与螺母的密封工艺等，提供特殊过程的确认资料以及关键工序的验证资料，确保工艺过程对产品性能无不利影响。</w:t>
      </w:r>
    </w:p>
    <w:p w14:paraId="78044102">
      <w:pPr>
        <w:spacing w:line="520" w:lineRule="exact"/>
        <w:ind w:right="-67" w:rightChars="-32" w:firstLine="636" w:firstLineChars="200"/>
        <w:rPr>
          <w:rFonts w:hint="eastAsia" w:ascii="Times New Roman" w:hAnsi="Times New Roman" w:eastAsia="仿宋_GB2312" w:cs="Times New Roman"/>
          <w:color w:val="000000"/>
          <w:spacing w:val="-1"/>
          <w:sz w:val="32"/>
          <w:szCs w:val="32"/>
        </w:rPr>
      </w:pPr>
      <w:r>
        <w:rPr>
          <w:rFonts w:hint="eastAsia" w:ascii="Times New Roman" w:hAnsi="Times New Roman" w:eastAsia="仿宋_GB2312" w:cs="Times New Roman"/>
          <w:color w:val="000000"/>
          <w:spacing w:val="-1"/>
          <w:sz w:val="32"/>
          <w:szCs w:val="32"/>
          <w:lang w:val="en-US" w:eastAsia="zh-CN"/>
        </w:rPr>
        <w:t>3.</w:t>
      </w:r>
      <w:r>
        <w:rPr>
          <w:rFonts w:hint="eastAsia" w:ascii="Times New Roman" w:hAnsi="Times New Roman" w:eastAsia="仿宋_GB2312" w:cs="Times New Roman"/>
          <w:color w:val="000000"/>
          <w:spacing w:val="-1"/>
          <w:sz w:val="32"/>
          <w:szCs w:val="32"/>
        </w:rPr>
        <w:t>明确原材料及生产过程中涉及的各种辅料的质量控制标准，包括柱管、微球、筛板、螺母等核心原材料的进货检验标准、检验方法，确保原材料质量稳定；提供原材料供应商的审核资料，建立供应商管理体系。</w:t>
      </w:r>
    </w:p>
    <w:p w14:paraId="2902A586">
      <w:pPr>
        <w:numPr>
          <w:ilvl w:val="0"/>
          <w:numId w:val="3"/>
        </w:numPr>
        <w:spacing w:line="520" w:lineRule="exact"/>
        <w:ind w:right="-67" w:rightChars="-32" w:firstLine="640" w:firstLineChars="200"/>
        <w:rPr>
          <w:rFonts w:hint="eastAsia" w:ascii="Times New Roman" w:hAnsi="Times New Roman" w:eastAsia="黑体" w:cs="Times New Roman"/>
          <w:color w:val="000000"/>
          <w:sz w:val="32"/>
          <w:szCs w:val="32"/>
        </w:rPr>
      </w:pPr>
      <w:r>
        <w:rPr>
          <w:rFonts w:hint="eastAsia" w:ascii="Times New Roman" w:hAnsi="Times New Roman" w:eastAsia="黑体" w:cs="Times New Roman"/>
          <w:color w:val="000000"/>
          <w:sz w:val="32"/>
          <w:szCs w:val="32"/>
        </w:rPr>
        <w:t>参考文献</w:t>
      </w:r>
    </w:p>
    <w:p w14:paraId="5F8508FD">
      <w:pPr>
        <w:numPr>
          <w:ilvl w:val="-1"/>
          <w:numId w:val="0"/>
        </w:numPr>
        <w:kinsoku w:val="0"/>
        <w:spacing w:line="520" w:lineRule="exact"/>
        <w:ind w:firstLine="640" w:firstLineChars="200"/>
        <w:rPr>
          <w:rFonts w:ascii="Times New Roman" w:hAnsi="Times New Roman" w:eastAsia="仿宋_GB2312"/>
          <w:sz w:val="32"/>
          <w:szCs w:val="32"/>
        </w:rPr>
      </w:pPr>
      <w:r>
        <w:rPr>
          <w:rFonts w:hint="eastAsia" w:ascii="Times New Roman" w:hAnsi="Times New Roman" w:eastAsia="仿宋_GB2312"/>
          <w:sz w:val="32"/>
          <w:szCs w:val="32"/>
        </w:rPr>
        <w:t>[</w:t>
      </w:r>
      <w:r>
        <w:rPr>
          <w:rFonts w:hint="eastAsia" w:ascii="Times New Roman" w:hAnsi="Times New Roman" w:eastAsia="仿宋_GB2312"/>
          <w:sz w:val="32"/>
          <w:szCs w:val="32"/>
          <w:lang w:val="en-US" w:eastAsia="zh-CN"/>
        </w:rPr>
        <w:t>1</w:t>
      </w:r>
      <w:r>
        <w:rPr>
          <w:rFonts w:hint="eastAsia" w:ascii="Times New Roman" w:hAnsi="Times New Roman" w:eastAsia="仿宋_GB2312"/>
          <w:sz w:val="32"/>
          <w:szCs w:val="32"/>
        </w:rPr>
        <w:t>]</w:t>
      </w:r>
      <w:r>
        <w:rPr>
          <w:rFonts w:ascii="Times New Roman" w:hAnsi="Times New Roman" w:eastAsia="仿宋_GB2312"/>
          <w:sz w:val="32"/>
          <w:szCs w:val="32"/>
        </w:rPr>
        <w:t>中华人民共和国国务院.医疗器械监督管理条例:中华人民共和国国务院令第739号[Z].</w:t>
      </w:r>
    </w:p>
    <w:p w14:paraId="0B9B4779">
      <w:pPr>
        <w:numPr>
          <w:ilvl w:val="-1"/>
          <w:numId w:val="0"/>
        </w:numPr>
        <w:kinsoku w:val="0"/>
        <w:spacing w:line="520" w:lineRule="exact"/>
        <w:ind w:firstLine="640" w:firstLineChars="200"/>
        <w:rPr>
          <w:rFonts w:ascii="Times New Roman" w:hAnsi="Times New Roman" w:eastAsia="仿宋_GB2312"/>
          <w:sz w:val="32"/>
          <w:szCs w:val="32"/>
        </w:rPr>
      </w:pPr>
      <w:r>
        <w:rPr>
          <w:rFonts w:hint="eastAsia" w:ascii="Times New Roman" w:hAnsi="Times New Roman" w:eastAsia="仿宋_GB2312"/>
          <w:sz w:val="32"/>
          <w:szCs w:val="32"/>
        </w:rPr>
        <w:t>[2]</w:t>
      </w:r>
      <w:r>
        <w:rPr>
          <w:rFonts w:ascii="Times New Roman" w:hAnsi="Times New Roman" w:eastAsia="仿宋_GB2312"/>
          <w:sz w:val="32"/>
          <w:szCs w:val="32"/>
        </w:rPr>
        <w:t>国家市场</w:t>
      </w:r>
      <w:r>
        <w:rPr>
          <w:rFonts w:hint="eastAsia" w:ascii="Times New Roman" w:hAnsi="Times New Roman" w:eastAsia="仿宋_GB2312"/>
          <w:sz w:val="32"/>
          <w:szCs w:val="32"/>
        </w:rPr>
        <w:t>监督管理</w:t>
      </w:r>
      <w:r>
        <w:rPr>
          <w:rFonts w:ascii="Times New Roman" w:hAnsi="Times New Roman" w:eastAsia="仿宋_GB2312"/>
          <w:sz w:val="32"/>
          <w:szCs w:val="32"/>
        </w:rPr>
        <w:t>总局.医疗器械注册与备案管理办法：</w:t>
      </w:r>
      <w:r>
        <w:rPr>
          <w:rFonts w:hint="eastAsia" w:ascii="Times New Roman" w:hAnsi="Times New Roman" w:eastAsia="仿宋_GB2312"/>
          <w:sz w:val="32"/>
          <w:szCs w:val="32"/>
        </w:rPr>
        <w:t>国家市场监督管理总局</w:t>
      </w:r>
      <w:r>
        <w:rPr>
          <w:rFonts w:ascii="Times New Roman" w:hAnsi="Times New Roman" w:eastAsia="仿宋_GB2312"/>
          <w:sz w:val="32"/>
          <w:szCs w:val="32"/>
        </w:rPr>
        <w:t>令第47号[Z].</w:t>
      </w:r>
    </w:p>
    <w:p w14:paraId="0FC7274E">
      <w:pPr>
        <w:numPr>
          <w:ilvl w:val="-1"/>
          <w:numId w:val="0"/>
        </w:numPr>
        <w:kinsoku w:val="0"/>
        <w:spacing w:line="520" w:lineRule="exact"/>
        <w:ind w:firstLine="640" w:firstLineChars="200"/>
        <w:rPr>
          <w:rFonts w:hint="eastAsia" w:ascii="Times New Roman" w:hAnsi="Times New Roman" w:eastAsia="仿宋_GB2312"/>
          <w:sz w:val="32"/>
          <w:szCs w:val="32"/>
        </w:rPr>
      </w:pPr>
      <w:r>
        <w:rPr>
          <w:rFonts w:hint="eastAsia" w:ascii="Times New Roman" w:hAnsi="Times New Roman" w:eastAsia="仿宋_GB2312"/>
          <w:sz w:val="32"/>
          <w:szCs w:val="32"/>
        </w:rPr>
        <w:t>[</w:t>
      </w:r>
      <w:r>
        <w:rPr>
          <w:rFonts w:hint="eastAsia" w:ascii="Times New Roman" w:hAnsi="Times New Roman" w:eastAsia="仿宋_GB2312"/>
          <w:sz w:val="32"/>
          <w:szCs w:val="32"/>
          <w:lang w:val="en-US" w:eastAsia="zh-CN"/>
        </w:rPr>
        <w:t>3</w:t>
      </w:r>
      <w:r>
        <w:rPr>
          <w:rFonts w:hint="eastAsia" w:ascii="Times New Roman" w:hAnsi="Times New Roman" w:eastAsia="仿宋_GB2312"/>
          <w:sz w:val="32"/>
          <w:szCs w:val="32"/>
        </w:rPr>
        <w:t>]国家药品监督管理局.国家药监局关于发布医疗器械产品技术要求编写指导原则的通告:国家药品监督管理局通告2022年第8号[Z].</w:t>
      </w:r>
    </w:p>
    <w:p w14:paraId="24CFDC26">
      <w:pPr>
        <w:numPr>
          <w:ilvl w:val="0"/>
          <w:numId w:val="0"/>
        </w:numPr>
        <w:kinsoku w:val="0"/>
        <w:spacing w:line="520" w:lineRule="exact"/>
        <w:ind w:firstLine="640" w:firstLineChars="200"/>
        <w:rPr>
          <w:rFonts w:ascii="Times New Roman" w:hAnsi="Times New Roman" w:eastAsia="仿宋_GB2312"/>
          <w:kern w:val="0"/>
          <w:sz w:val="32"/>
          <w:szCs w:val="32"/>
        </w:rPr>
      </w:pPr>
      <w:r>
        <w:rPr>
          <w:rFonts w:ascii="Times New Roman" w:hAnsi="Times New Roman" w:eastAsia="仿宋_GB2312" w:cstheme="minorBidi"/>
          <w:kern w:val="0"/>
          <w:sz w:val="32"/>
          <w:szCs w:val="32"/>
          <w:lang w:val="en-US" w:eastAsia="zh-CN" w:bidi="ar-SA"/>
        </w:rPr>
        <w:t>[4]</w:t>
      </w:r>
      <w:r>
        <w:rPr>
          <w:rFonts w:ascii="Times New Roman" w:hAnsi="Times New Roman" w:eastAsia="仿宋_GB2312"/>
          <w:sz w:val="32"/>
          <w:szCs w:val="32"/>
        </w:rPr>
        <w:t>国家药品监督管理局.关于公布医疗器械注册申报资料要求和批准证明文件格式的公告：国家药品监督管理局公告2021年第121号[Z]</w:t>
      </w:r>
      <w:r>
        <w:rPr>
          <w:rFonts w:ascii="Times New Roman" w:hAnsi="Times New Roman" w:eastAsia="仿宋_GB2312"/>
          <w:kern w:val="0"/>
          <w:sz w:val="32"/>
          <w:szCs w:val="32"/>
        </w:rPr>
        <w:t>.</w:t>
      </w:r>
    </w:p>
    <w:p w14:paraId="7B97DC74">
      <w:pPr>
        <w:numPr>
          <w:ilvl w:val="0"/>
          <w:numId w:val="0"/>
        </w:numPr>
        <w:kinsoku w:val="0"/>
        <w:spacing w:line="520" w:lineRule="exact"/>
        <w:ind w:firstLine="640" w:firstLineChars="200"/>
        <w:rPr>
          <w:rFonts w:ascii="Times New Roman" w:hAnsi="Times New Roman" w:eastAsia="仿宋_GB2312"/>
          <w:sz w:val="32"/>
          <w:szCs w:val="32"/>
        </w:rPr>
      </w:pPr>
      <w:r>
        <w:rPr>
          <w:rFonts w:ascii="Times New Roman" w:hAnsi="Times New Roman" w:eastAsia="仿宋_GB2312" w:cstheme="minorBidi"/>
          <w:kern w:val="2"/>
          <w:sz w:val="32"/>
          <w:szCs w:val="32"/>
          <w:lang w:val="en-US" w:eastAsia="zh-CN" w:bidi="ar-SA"/>
        </w:rPr>
        <w:t>[5]</w:t>
      </w:r>
      <w:r>
        <w:rPr>
          <w:rFonts w:hint="eastAsia" w:ascii="Times New Roman" w:hAnsi="Times New Roman" w:eastAsia="仿宋_GB2312"/>
          <w:sz w:val="32"/>
          <w:szCs w:val="32"/>
        </w:rPr>
        <w:t>国家药品监督管理局</w:t>
      </w:r>
      <w:r>
        <w:rPr>
          <w:rFonts w:ascii="Times New Roman" w:hAnsi="Times New Roman" w:eastAsia="仿宋_GB2312"/>
          <w:sz w:val="32"/>
          <w:szCs w:val="32"/>
        </w:rPr>
        <w:t>.医疗器械说明书和标签管理规定:国家食品药品监督管理总局令第6号[Z].</w:t>
      </w:r>
    </w:p>
    <w:p w14:paraId="1A28B836">
      <w:pPr>
        <w:numPr>
          <w:ilvl w:val="0"/>
          <w:numId w:val="0"/>
        </w:numPr>
        <w:kinsoku w:val="0"/>
        <w:spacing w:line="520" w:lineRule="exact"/>
        <w:ind w:firstLine="640" w:firstLineChars="200"/>
        <w:rPr>
          <w:rFonts w:hint="eastAsia" w:ascii="Times New Roman" w:hAnsi="Times New Roman" w:eastAsia="仿宋_GB2312"/>
          <w:sz w:val="32"/>
          <w:szCs w:val="28"/>
        </w:rPr>
      </w:pPr>
      <w:r>
        <w:rPr>
          <w:rFonts w:hint="eastAsia" w:ascii="Times New Roman" w:hAnsi="Times New Roman" w:eastAsia="仿宋_GB2312" w:cstheme="minorBidi"/>
          <w:kern w:val="2"/>
          <w:sz w:val="32"/>
          <w:szCs w:val="28"/>
          <w:lang w:val="en-US" w:eastAsia="zh-CN" w:bidi="ar-SA"/>
        </w:rPr>
        <w:t>[6]</w:t>
      </w:r>
      <w:r>
        <w:rPr>
          <w:rFonts w:hint="eastAsia" w:ascii="Times New Roman" w:hAnsi="Times New Roman" w:eastAsia="仿宋_GB2312"/>
          <w:sz w:val="32"/>
          <w:szCs w:val="28"/>
        </w:rPr>
        <w:t>国家药品监督管理局.医疗器械临床评价技术指导原则:国家药监局通告2021年第73号[Z].</w:t>
      </w:r>
    </w:p>
    <w:p w14:paraId="6794B07E">
      <w:pPr>
        <w:numPr>
          <w:ilvl w:val="0"/>
          <w:numId w:val="0"/>
        </w:numPr>
        <w:kinsoku w:val="0"/>
        <w:spacing w:line="520" w:lineRule="exact"/>
        <w:ind w:firstLine="640" w:firstLineChars="200"/>
        <w:rPr>
          <w:rFonts w:hint="eastAsia" w:ascii="Times New Roman" w:hAnsi="Times New Roman" w:eastAsia="仿宋_GB2312" w:cs="Times New Roman"/>
          <w:color w:val="auto"/>
          <w:kern w:val="0"/>
          <w:sz w:val="32"/>
          <w:highlight w:val="none"/>
        </w:rPr>
      </w:pPr>
      <w:r>
        <w:rPr>
          <w:rFonts w:hint="eastAsia" w:ascii="Times New Roman" w:hAnsi="Times New Roman" w:eastAsia="仿宋_GB2312" w:cs="Times New Roman"/>
          <w:color w:val="auto"/>
          <w:kern w:val="0"/>
          <w:sz w:val="32"/>
          <w:szCs w:val="24"/>
          <w:lang w:val="en-US" w:eastAsia="zh-CN" w:bidi="ar-SA"/>
        </w:rPr>
        <w:t>[7]</w:t>
      </w:r>
      <w:r>
        <w:rPr>
          <w:rFonts w:hint="eastAsia" w:ascii="Times New Roman" w:hAnsi="Times New Roman" w:eastAsia="仿宋_GB2312" w:cs="Times New Roman"/>
          <w:color w:val="auto"/>
          <w:kern w:val="0"/>
          <w:sz w:val="32"/>
          <w:highlight w:val="none"/>
        </w:rPr>
        <w:t>GB/T</w:t>
      </w:r>
      <w:r>
        <w:rPr>
          <w:rFonts w:hint="eastAsia" w:ascii="Times New Roman" w:hAnsi="Times New Roman" w:eastAsia="仿宋_GB2312" w:cs="Times New Roman"/>
          <w:color w:val="auto"/>
          <w:kern w:val="0"/>
          <w:sz w:val="32"/>
          <w:highlight w:val="none"/>
          <w:lang w:val="en-US" w:eastAsia="zh-CN"/>
        </w:rPr>
        <w:t xml:space="preserve"> </w:t>
      </w:r>
      <w:r>
        <w:rPr>
          <w:rFonts w:hint="eastAsia" w:ascii="Times New Roman" w:hAnsi="Times New Roman" w:eastAsia="仿宋_GB2312" w:cs="Times New Roman"/>
          <w:color w:val="auto"/>
          <w:kern w:val="0"/>
          <w:sz w:val="32"/>
          <w:highlight w:val="none"/>
        </w:rPr>
        <w:t>42062-2022,医疗器械风险管理对医疗器械的应用[S].</w:t>
      </w:r>
    </w:p>
    <w:p w14:paraId="5C0EEDC4">
      <w:pPr>
        <w:numPr>
          <w:ilvl w:val="0"/>
          <w:numId w:val="0"/>
        </w:numPr>
        <w:kinsoku w:val="0"/>
        <w:spacing w:line="520" w:lineRule="exact"/>
        <w:ind w:firstLine="640" w:firstLineChars="200"/>
        <w:rPr>
          <w:rFonts w:hint="eastAsia" w:ascii="Times New Roman" w:hAnsi="Times New Roman" w:eastAsia="仿宋_GB2312" w:cs="Times New Roman"/>
          <w:color w:val="auto"/>
          <w:sz w:val="32"/>
          <w:szCs w:val="32"/>
          <w:lang w:val="en"/>
        </w:rPr>
      </w:pPr>
      <w:r>
        <w:rPr>
          <w:rFonts w:hint="eastAsia" w:ascii="Times New Roman" w:hAnsi="Times New Roman" w:eastAsia="仿宋_GB2312" w:cs="Times New Roman"/>
          <w:color w:val="auto"/>
          <w:kern w:val="2"/>
          <w:sz w:val="32"/>
          <w:szCs w:val="32"/>
          <w:lang w:val="en" w:eastAsia="zh-CN" w:bidi="ar-SA"/>
        </w:rPr>
        <w:t>[8]</w:t>
      </w:r>
      <w:r>
        <w:rPr>
          <w:rFonts w:hint="eastAsia" w:ascii="Times New Roman" w:hAnsi="Times New Roman" w:eastAsia="仿宋_GB2312" w:cs="Times New Roman"/>
          <w:color w:val="auto"/>
          <w:sz w:val="32"/>
          <w:szCs w:val="32"/>
          <w:lang w:val="en"/>
        </w:rPr>
        <w:t>WS/T</w:t>
      </w:r>
      <w:r>
        <w:rPr>
          <w:rFonts w:hint="eastAsia" w:ascii="Times New Roman" w:hAnsi="Times New Roman" w:eastAsia="仿宋_GB2312" w:cs="Times New Roman"/>
          <w:color w:val="auto"/>
          <w:sz w:val="32"/>
          <w:szCs w:val="32"/>
          <w:lang w:val="en-US" w:eastAsia="zh-CN"/>
        </w:rPr>
        <w:t xml:space="preserve"> </w:t>
      </w:r>
      <w:r>
        <w:rPr>
          <w:rFonts w:hint="eastAsia" w:ascii="Times New Roman" w:hAnsi="Times New Roman" w:eastAsia="仿宋_GB2312" w:cs="Times New Roman"/>
          <w:color w:val="auto"/>
          <w:sz w:val="32"/>
          <w:szCs w:val="32"/>
          <w:lang w:val="en"/>
        </w:rPr>
        <w:t>461</w:t>
      </w:r>
      <w:r>
        <w:rPr>
          <w:rFonts w:hint="eastAsia" w:ascii="Times New Roman" w:hAnsi="Times New Roman" w:eastAsia="仿宋_GB2312" w:cs="Times New Roman"/>
          <w:color w:val="auto"/>
          <w:sz w:val="32"/>
          <w:szCs w:val="32"/>
          <w:lang w:val="en-US" w:eastAsia="zh-CN"/>
        </w:rPr>
        <w:t>-2024</w:t>
      </w:r>
      <w:r>
        <w:rPr>
          <w:rFonts w:hint="eastAsia" w:ascii="Times New Roman" w:hAnsi="Times New Roman" w:eastAsia="仿宋_GB2312" w:cs="Times New Roman"/>
          <w:color w:val="auto"/>
          <w:sz w:val="32"/>
          <w:szCs w:val="32"/>
          <w:lang w:val="en"/>
        </w:rPr>
        <w:t>,糖化血红蛋白检测[S].</w:t>
      </w:r>
    </w:p>
    <w:p w14:paraId="60AFB961">
      <w:pPr>
        <w:numPr>
          <w:ilvl w:val="0"/>
          <w:numId w:val="0"/>
        </w:numPr>
        <w:kinsoku w:val="0"/>
        <w:spacing w:line="520" w:lineRule="exact"/>
        <w:ind w:firstLine="640" w:firstLineChars="200"/>
        <w:rPr>
          <w:rFonts w:hint="eastAsia" w:ascii="Times New Roman" w:hAnsi="Times New Roman" w:eastAsia="仿宋_GB2312"/>
          <w:kern w:val="0"/>
          <w:sz w:val="32"/>
          <w:szCs w:val="32"/>
        </w:rPr>
      </w:pPr>
      <w:r>
        <w:rPr>
          <w:rFonts w:hint="eastAsia" w:ascii="Times New Roman" w:hAnsi="Times New Roman" w:eastAsia="仿宋_GB2312" w:cstheme="minorBidi"/>
          <w:kern w:val="0"/>
          <w:sz w:val="32"/>
          <w:szCs w:val="32"/>
          <w:lang w:val="en-US" w:eastAsia="zh-CN" w:bidi="ar-SA"/>
        </w:rPr>
        <w:t>[9]</w:t>
      </w:r>
      <w:r>
        <w:rPr>
          <w:rFonts w:hint="eastAsia" w:ascii="Times New Roman" w:hAnsi="Times New Roman" w:eastAsia="仿宋_GB2312"/>
          <w:kern w:val="0"/>
          <w:sz w:val="32"/>
          <w:szCs w:val="32"/>
        </w:rPr>
        <w:t>国家食品药品监督管理局.医疗器械注册单元划分指导原则:总局通告2017年第187号[Z].</w:t>
      </w:r>
    </w:p>
    <w:p w14:paraId="00A5E388">
      <w:pPr>
        <w:numPr>
          <w:ilvl w:val="0"/>
          <w:numId w:val="0"/>
        </w:numPr>
        <w:kinsoku w:val="0"/>
        <w:spacing w:line="520" w:lineRule="exact"/>
        <w:ind w:firstLine="640" w:firstLineChars="200"/>
        <w:rPr>
          <w:rFonts w:ascii="Times New Roman" w:hAnsi="Times New Roman" w:eastAsia="仿宋_GB2312" w:cs="Times New Roman"/>
          <w:color w:val="auto"/>
          <w:sz w:val="32"/>
          <w:szCs w:val="32"/>
          <w:lang w:val="en"/>
        </w:rPr>
      </w:pPr>
      <w:r>
        <w:rPr>
          <w:rFonts w:ascii="Times New Roman" w:hAnsi="Times New Roman" w:eastAsia="仿宋_GB2312" w:cs="Times New Roman"/>
          <w:color w:val="auto"/>
          <w:kern w:val="2"/>
          <w:sz w:val="32"/>
          <w:szCs w:val="32"/>
          <w:lang w:val="en" w:eastAsia="zh-CN" w:bidi="ar-SA"/>
        </w:rPr>
        <w:t>[10]</w:t>
      </w:r>
      <w:r>
        <w:rPr>
          <w:rFonts w:hint="eastAsia" w:ascii="Times New Roman" w:hAnsi="Times New Roman" w:eastAsia="仿宋_GB2312" w:cs="Times New Roman"/>
          <w:color w:val="auto"/>
          <w:sz w:val="32"/>
          <w:szCs w:val="32"/>
          <w:lang w:val="en"/>
        </w:rPr>
        <w:t>Li Z,Wang H,Chang L,Yan C.Development of microprefilter for chromatography column in HbA1c assays.Anal Bioanal Chem.2025 Jun;417(14):3033-3045.</w:t>
      </w:r>
    </w:p>
    <w:sectPr>
      <w:pgSz w:w="11906" w:h="16838"/>
      <w:pgMar w:top="1440" w:right="1800" w:bottom="1440" w:left="1800" w:header="851" w:footer="992" w:gutter="0"/>
      <w:lnNumType w:countBy="1" w:restart="continuou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86"/>
    <w:family w:val="auto"/>
    <w:pitch w:val="default"/>
    <w:sig w:usb0="E0000AFF" w:usb1="00007843" w:usb2="00000001" w:usb3="00000000" w:csb0="400001BF" w:csb1="DFF70000"/>
    <w:embedRegular r:id="rId1" w:fontKey="{5B318092-05A0-03CC-ACF2-696A971B538D}"/>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Helvetica Neue">
    <w:panose1 w:val="02000503000000020004"/>
    <w:charset w:val="00"/>
    <w:family w:val="auto"/>
    <w:pitch w:val="default"/>
    <w:sig w:usb0="E50002FF" w:usb1="500079DB" w:usb2="00000010" w:usb3="00000000" w:csb0="00000000" w:csb1="00000000"/>
  </w:font>
  <w:font w:name="汉仪书宋二KW">
    <w:panose1 w:val="00020600040101010101"/>
    <w:charset w:val="86"/>
    <w:family w:val="auto"/>
    <w:pitch w:val="default"/>
    <w:sig w:usb0="A00002BF" w:usb1="18EF7CFA" w:usb2="00000016" w:usb3="00000000" w:csb0="00040000" w:csb1="00000000"/>
  </w:font>
  <w:font w:name="Tahoma">
    <w:panose1 w:val="020B0604030504040204"/>
    <w:charset w:val="00"/>
    <w:family w:val="swiss"/>
    <w:pitch w:val="default"/>
    <w:sig w:usb0="E1002AFF" w:usb1="C000605B" w:usb2="00000029" w:usb3="00000000" w:csb0="200101FF" w:csb1="20280000"/>
  </w:font>
  <w:font w:name="微软雅黑">
    <w:altName w:val="汉仪旗黑"/>
    <w:panose1 w:val="020B0503020204020204"/>
    <w:charset w:val="86"/>
    <w:family w:val="auto"/>
    <w:pitch w:val="default"/>
    <w:sig w:usb0="00000000" w:usb1="00000000" w:usb2="00000016" w:usb3="00000000" w:csb0="0004001F" w:csb1="00000000"/>
  </w:font>
  <w:font w:name="方正小标宋简体">
    <w:panose1 w:val="03000509000000000000"/>
    <w:charset w:val="86"/>
    <w:family w:val="script"/>
    <w:pitch w:val="default"/>
    <w:sig w:usb0="00000001" w:usb1="080E0000" w:usb2="00000000" w:usb3="00000000" w:csb0="00040000" w:csb1="00000000"/>
    <w:embedRegular r:id="rId2" w:fontKey="{66DF4D79-7622-466F-ACF2-696ADDE29E32}"/>
  </w:font>
  <w:font w:name="仿宋_GB2312">
    <w:panose1 w:val="02010609030101010101"/>
    <w:charset w:val="86"/>
    <w:family w:val="modern"/>
    <w:pitch w:val="default"/>
    <w:sig w:usb0="00000001" w:usb1="080E0000" w:usb2="00000000" w:usb3="00000000" w:csb0="00040000" w:csb1="00000000"/>
    <w:embedRegular r:id="rId3" w:fontKey="{16DB0B8D-F8B5-1794-ACF2-696AE29F59BE}"/>
  </w:font>
  <w:font w:name="楷体_GB2312">
    <w:altName w:val="汉仪楷体简"/>
    <w:panose1 w:val="02010609030101010101"/>
    <w:charset w:val="86"/>
    <w:family w:val="modern"/>
    <w:pitch w:val="default"/>
    <w:sig w:usb0="00000000" w:usb1="00000000" w:usb2="00000000" w:usb3="00000000" w:csb0="00040000" w:csb1="00000000"/>
  </w:font>
  <w:font w:name="楷体">
    <w:altName w:val="汉仪楷体KW"/>
    <w:panose1 w:val="02010609060101010101"/>
    <w:charset w:val="86"/>
    <w:family w:val="auto"/>
    <w:pitch w:val="default"/>
    <w:sig w:usb0="00000000" w:usb1="00000000" w:usb2="00000016" w:usb3="00000000" w:csb0="00040001" w:csb1="00000000"/>
  </w:font>
  <w:font w:name="华文中宋">
    <w:panose1 w:val="02010600040101010101"/>
    <w:charset w:val="86"/>
    <w:family w:val="auto"/>
    <w:pitch w:val="default"/>
    <w:sig w:usb0="00000287" w:usb1="080F0000" w:usb2="00000000" w:usb3="00000000" w:csb0="0004009F" w:csb1="DFD70000"/>
  </w:font>
  <w:font w:name="汉仪中黑KW">
    <w:panose1 w:val="00020600040101010101"/>
    <w:charset w:val="86"/>
    <w:family w:val="auto"/>
    <w:pitch w:val="default"/>
    <w:sig w:usb0="A00002BF" w:usb1="18EF7CFA" w:usb2="00000016" w:usb3="00000000" w:csb0="00040000" w:csb1="00000000"/>
  </w:font>
  <w:font w:name="汉仪楷体简">
    <w:panose1 w:val="02010600000101010101"/>
    <w:charset w:val="86"/>
    <w:family w:val="auto"/>
    <w:pitch w:val="default"/>
    <w:sig w:usb0="00000001" w:usb1="080E0800" w:usb2="00000002" w:usb3="00000000" w:csb0="00040000" w:csb1="00000000"/>
  </w:font>
  <w:font w:name="Kingsoft Sign">
    <w:panose1 w:val="05050102010706020507"/>
    <w:charset w:val="00"/>
    <w:family w:val="auto"/>
    <w:pitch w:val="default"/>
    <w:sig w:usb0="00000000" w:usb1="10000000" w:usb2="00000000" w:usb3="00000000" w:csb0="00000001" w:csb1="00000000"/>
  </w:font>
  <w:font w:name="汉仪旗黑">
    <w:panose1 w:val="00020600040101010101"/>
    <w:charset w:val="86"/>
    <w:family w:val="auto"/>
    <w:pitch w:val="default"/>
    <w:sig w:usb0="A00002BF" w:usb1="1ACF7CFA" w:usb2="00000016" w:usb3="00000000" w:csb0="0004009F" w:csb1="DFD70000"/>
  </w:font>
  <w:font w:name="汉仪楷体KW">
    <w:panose1 w:val="00020600040101010101"/>
    <w:charset w:val="86"/>
    <w:family w:val="auto"/>
    <w:pitch w:val="default"/>
    <w:sig w:usb0="A00002BF" w:usb1="18EF7CFA" w:usb2="00000016" w:usb3="00000000" w:csb0="00040000" w:csb1="00000000"/>
  </w:font>
  <w:font w:name="PingFang SC">
    <w:panose1 w:val="020B0400000000000000"/>
    <w:charset w:val="86"/>
    <w:family w:val="auto"/>
    <w:pitch w:val="default"/>
    <w:sig w:usb0="A00002FF" w:usb1="7ACFFDFB" w:usb2="00000017" w:usb3="00000000" w:csb0="00040001" w:csb1="00000000"/>
  </w:font>
  <w:font w:name="宋体-简">
    <w:panose1 w:val="02010800040101010101"/>
    <w:charset w:val="86"/>
    <w:family w:val="auto"/>
    <w:pitch w:val="default"/>
    <w:sig w:usb0="00000001" w:usb1="080F0000" w:usb2="00000000" w:usb3="00000000" w:csb0="00040000" w:csb1="00000000"/>
  </w:font>
  <w:font w:name="书宋-简">
    <w:panose1 w:val="02010600030101010101"/>
    <w:charset w:val="86"/>
    <w:family w:val="auto"/>
    <w:pitch w:val="default"/>
    <w:sig w:usb0="A00002BF" w:usb1="3ACF7CFA" w:usb2="00000016" w:usb3="00000000" w:csb0="00040001" w:csb1="00000000"/>
    <w:embedRegular r:id="rId4" w:fontKey="{E367C8D9-2CA6-F37B-ACF2-696AF03EE21F}"/>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ECB7C9B"/>
    <w:multiLevelType w:val="singleLevel"/>
    <w:tmpl w:val="1ECB7C9B"/>
    <w:lvl w:ilvl="0" w:tentative="0">
      <w:start w:val="3"/>
      <w:numFmt w:val="chineseCounting"/>
      <w:suff w:val="nothing"/>
      <w:lvlText w:val="%1、"/>
      <w:lvlJc w:val="left"/>
      <w:rPr>
        <w:rFonts w:hint="eastAsia"/>
      </w:rPr>
    </w:lvl>
  </w:abstractNum>
  <w:abstractNum w:abstractNumId="1">
    <w:nsid w:val="56864D50"/>
    <w:multiLevelType w:val="singleLevel"/>
    <w:tmpl w:val="56864D50"/>
    <w:lvl w:ilvl="0" w:tentative="0">
      <w:start w:val="4"/>
      <w:numFmt w:val="decimal"/>
      <w:suff w:val="nothing"/>
      <w:lvlText w:val="%1）"/>
      <w:lvlJc w:val="left"/>
    </w:lvl>
  </w:abstractNum>
  <w:abstractNum w:abstractNumId="2">
    <w:nsid w:val="5B91492E"/>
    <w:multiLevelType w:val="singleLevel"/>
    <w:tmpl w:val="5B91492E"/>
    <w:lvl w:ilvl="0" w:tentative="0">
      <w:start w:val="1"/>
      <w:numFmt w:val="decimal"/>
      <w:suff w:val="nothing"/>
      <w:lvlText w:val="（%1）"/>
      <w:lvlJc w:val="left"/>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9"/>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7DB3DBC"/>
    <w:rsid w:val="00145DAE"/>
    <w:rsid w:val="06622059"/>
    <w:rsid w:val="0AE44DD0"/>
    <w:rsid w:val="130F0DA3"/>
    <w:rsid w:val="1F636805"/>
    <w:rsid w:val="20764E4F"/>
    <w:rsid w:val="24E265B9"/>
    <w:rsid w:val="27090058"/>
    <w:rsid w:val="36913A53"/>
    <w:rsid w:val="40105ACA"/>
    <w:rsid w:val="4466277E"/>
    <w:rsid w:val="45695C2C"/>
    <w:rsid w:val="45A26CAD"/>
    <w:rsid w:val="4A0027BD"/>
    <w:rsid w:val="4A113713"/>
    <w:rsid w:val="4BBD5D8D"/>
    <w:rsid w:val="4D1C1598"/>
    <w:rsid w:val="4DCF79E9"/>
    <w:rsid w:val="4DFF47C9"/>
    <w:rsid w:val="505859C5"/>
    <w:rsid w:val="527024CD"/>
    <w:rsid w:val="555A3551"/>
    <w:rsid w:val="55D75FFD"/>
    <w:rsid w:val="57380761"/>
    <w:rsid w:val="574842CC"/>
    <w:rsid w:val="57DB3DBC"/>
    <w:rsid w:val="5A852A5E"/>
    <w:rsid w:val="604103F6"/>
    <w:rsid w:val="62325AA7"/>
    <w:rsid w:val="63BA45EF"/>
    <w:rsid w:val="67DC5256"/>
    <w:rsid w:val="68BE348E"/>
    <w:rsid w:val="69541981"/>
    <w:rsid w:val="69620CFB"/>
    <w:rsid w:val="69D5242E"/>
    <w:rsid w:val="6A2B2113"/>
    <w:rsid w:val="6AC47B81"/>
    <w:rsid w:val="6E3B3977"/>
    <w:rsid w:val="702A21AF"/>
    <w:rsid w:val="70B90980"/>
    <w:rsid w:val="75475CD9"/>
    <w:rsid w:val="75FFF474"/>
    <w:rsid w:val="7D0F7227"/>
    <w:rsid w:val="7DC720AD"/>
    <w:rsid w:val="CAFF26F9"/>
    <w:rsid w:val="FFAF5D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annotation text"/>
    <w:basedOn w:val="1"/>
    <w:qFormat/>
    <w:uiPriority w:val="0"/>
    <w:pPr>
      <w:jc w:val="left"/>
    </w:pPr>
  </w:style>
  <w:style w:type="paragraph" w:styleId="3">
    <w:name w:val="Plain Text"/>
    <w:basedOn w:val="1"/>
    <w:qFormat/>
    <w:uiPriority w:val="99"/>
    <w:rPr>
      <w:rFonts w:ascii="宋体"/>
      <w:kern w:val="0"/>
      <w:sz w:val="20"/>
      <w:szCs w:val="21"/>
    </w:rPr>
  </w:style>
  <w:style w:type="paragraph" w:styleId="6">
    <w:name w:val="No Spacing"/>
    <w:qFormat/>
    <w:uiPriority w:val="0"/>
    <w:pPr>
      <w:adjustRightInd w:val="0"/>
      <w:snapToGrid w:val="0"/>
    </w:pPr>
    <w:rPr>
      <w:rFonts w:ascii="Tahoma" w:hAnsi="Tahoma" w:eastAsia="微软雅黑" w:cs="Times New Roman"/>
      <w:sz w:val="22"/>
      <w:szCs w:val="22"/>
      <w:lang w:val="en-US" w:eastAsia="zh-CN" w:bidi="ar-SA"/>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numbering" Target="numbering.xml"/><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14</Pages>
  <Words>6364</Words>
  <Characters>6697</Characters>
  <Lines>0</Lines>
  <Paragraphs>0</Paragraphs>
  <TotalTime>6</TotalTime>
  <ScaleCrop>false</ScaleCrop>
  <LinksUpToDate>false</LinksUpToDate>
  <CharactersWithSpaces>6717</CharactersWithSpaces>
  <Application>WPS Office_12.1.26016.26016_F1E327BC-269C-435d-A152-05C5408002CA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2026-03-15T11:49:00Z</dcterms:created>
  <dc:creator>tjcmd</dc:creator>
  <cp:lastModifiedBy>王朝壹</cp:lastModifiedBy>
  <dcterms:modified xsi:type="dcterms:W3CDTF">2026-07-29T20:31:40Z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2052-12.1.26016.26016</vt:lpwstr>
  </property>
  <property fmtid="{D5CDD505-2E9C-101B-9397-08002B2CF9AE}" pid="3" name="ICV">
    <vt:lpwstr>EAFB0FCD5D1141D6A1964E41C63D3CC5_13</vt:lpwstr>
  </property>
  <property fmtid="{D5CDD505-2E9C-101B-9397-08002B2CF9AE}" pid="4" name="KSOTemplateDocerSaveRecord">
    <vt:lpwstr>eyJoZGlkIjoiYTc1NjQ5YjEwYWUwNjkwMTk2OTIyYTZmZjJhOTZlNDMiLCJ1c2VySWQiOiIxNzY2NTgxMzY3In0=</vt:lpwstr>
  </property>
</Properties>
</file>