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LineNumbers w:val="0"/>
        <w:spacing w:line="520" w:lineRule="exact"/>
        <w:ind w:right="-102" w:rightChars="-32"/>
        <w:jc w:val="center"/>
        <w:rPr>
          <w:rFonts w:hint="eastAsia" w:eastAsia="方正小标宋简体"/>
          <w:bCs/>
          <w:color w:val="000000"/>
          <w:sz w:val="44"/>
          <w:szCs w:val="44"/>
          <w:lang w:eastAsia="zh-CN"/>
        </w:rPr>
      </w:pPr>
      <w:r>
        <w:rPr>
          <w:rFonts w:hint="eastAsia" w:eastAsia="方正小标宋简体"/>
          <w:color w:val="000000"/>
          <w:sz w:val="44"/>
        </w:rPr>
        <w:t>穿刺针</w:t>
      </w: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r>
        <w:rPr>
          <w:rFonts w:hint="eastAsia" w:eastAsia="方正小标宋简体"/>
          <w:bCs/>
          <w:color w:val="000000"/>
          <w:sz w:val="44"/>
          <w:szCs w:val="44"/>
          <w:lang w:eastAsia="zh-CN"/>
        </w:rPr>
        <w:t>（征求意见稿）</w:t>
      </w:r>
    </w:p>
    <w:p>
      <w:pPr>
        <w:suppressLineNumbers w:val="0"/>
        <w:spacing w:line="520" w:lineRule="exact"/>
        <w:ind w:right="-102" w:rightChars="-32"/>
        <w:jc w:val="center"/>
        <w:rPr>
          <w:rFonts w:eastAsia="方正小标宋简体"/>
          <w:color w:val="000000"/>
          <w:szCs w:val="44"/>
        </w:rPr>
      </w:pPr>
      <w:bookmarkStart w:id="1" w:name="_GoBack"/>
      <w:bookmarkEnd w:id="1"/>
    </w:p>
    <w:p>
      <w:pPr>
        <w:spacing w:line="520" w:lineRule="exact"/>
        <w:ind w:firstLine="640" w:firstLineChars="200"/>
        <w:rPr>
          <w:rFonts w:eastAsia="仿宋_GB2312"/>
          <w:color w:val="000000"/>
          <w:szCs w:val="32"/>
        </w:rPr>
      </w:pPr>
      <w:r>
        <w:rPr>
          <w:rFonts w:eastAsia="仿宋_GB2312"/>
          <w:color w:val="000000"/>
          <w:szCs w:val="32"/>
        </w:rPr>
        <w:t>本指导原则旨在指导注册申请人对</w:t>
      </w:r>
      <w:r>
        <w:rPr>
          <w:rFonts w:hint="eastAsia" w:eastAsia="仿宋_GB2312"/>
          <w:color w:val="000000"/>
          <w:szCs w:val="32"/>
        </w:rPr>
        <w:t>穿刺针</w:t>
      </w:r>
      <w:r>
        <w:rPr>
          <w:rFonts w:eastAsia="仿宋_GB2312"/>
          <w:color w:val="000000"/>
          <w:szCs w:val="32"/>
        </w:rPr>
        <w:t>产品注册申报资料的准备及撰写，同时也为技术审评部门对注册申报资料的审评提供技术参考。</w:t>
      </w:r>
    </w:p>
    <w:p>
      <w:pPr>
        <w:spacing w:line="520" w:lineRule="exact"/>
        <w:ind w:firstLine="640" w:firstLineChars="200"/>
        <w:rPr>
          <w:rFonts w:eastAsia="仿宋_GB2312"/>
          <w:color w:val="000000"/>
          <w:szCs w:val="32"/>
        </w:rPr>
      </w:pPr>
      <w:r>
        <w:rPr>
          <w:rFonts w:eastAsia="仿宋_GB2312"/>
          <w:color w:val="000000"/>
          <w:szCs w:val="32"/>
        </w:rPr>
        <w:t>本指导原则是对</w:t>
      </w:r>
      <w:r>
        <w:rPr>
          <w:rFonts w:hint="eastAsia" w:eastAsia="仿宋_GB2312"/>
          <w:color w:val="000000"/>
          <w:szCs w:val="32"/>
        </w:rPr>
        <w:t>穿刺针</w:t>
      </w:r>
      <w:r>
        <w:rPr>
          <w:rFonts w:eastAsia="仿宋_GB2312"/>
          <w:color w:val="000000"/>
          <w:szCs w:val="32"/>
        </w:rPr>
        <w:t>注册申报资料的一般要求，注册申请人需依据产品的具体特性确定其中内容是否使用。若不适用，需具体阐述理由及相应的科学依据，并依据产品的具体特性对注册申报资料的内容进行充实和细化。</w:t>
      </w:r>
    </w:p>
    <w:p>
      <w:pPr>
        <w:spacing w:line="520" w:lineRule="exact"/>
        <w:ind w:firstLine="640" w:firstLineChars="20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pPr>
        <w:spacing w:line="520" w:lineRule="exact"/>
        <w:ind w:firstLine="640" w:firstLineChars="20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pPr>
        <w:spacing w:line="520" w:lineRule="exact"/>
        <w:ind w:firstLine="640" w:firstLineChars="200"/>
        <w:rPr>
          <w:rFonts w:eastAsia="黑体"/>
          <w:color w:val="000000"/>
          <w:szCs w:val="32"/>
        </w:rPr>
      </w:pPr>
      <w:r>
        <w:rPr>
          <w:rFonts w:eastAsia="黑体"/>
          <w:color w:val="000000"/>
          <w:szCs w:val="32"/>
        </w:rPr>
        <w:t>一、适用范围</w:t>
      </w:r>
    </w:p>
    <w:p>
      <w:pPr>
        <w:spacing w:line="520" w:lineRule="exact"/>
        <w:ind w:firstLine="640" w:firstLineChars="200"/>
        <w:rPr>
          <w:rFonts w:eastAsia="仿宋_GB2312"/>
          <w:color w:val="0000FF"/>
          <w:szCs w:val="32"/>
        </w:rPr>
      </w:pPr>
      <w:r>
        <w:rPr>
          <w:rFonts w:eastAsia="仿宋_GB2312"/>
          <w:color w:val="auto"/>
          <w:szCs w:val="32"/>
        </w:rPr>
        <w:t>本指导原则适用于</w:t>
      </w:r>
      <w:r>
        <w:rPr>
          <w:rFonts w:hint="eastAsia" w:eastAsia="仿宋_GB2312"/>
          <w:color w:val="auto"/>
          <w:szCs w:val="32"/>
        </w:rPr>
        <w:t>建立有助于血管内器械的经皮进入通路的血管穿刺针</w:t>
      </w:r>
      <w:r>
        <w:rPr>
          <w:rFonts w:eastAsia="仿宋_GB2312"/>
          <w:color w:val="auto"/>
          <w:szCs w:val="32"/>
        </w:rPr>
        <w:t>。</w:t>
      </w:r>
      <w:r>
        <w:rPr>
          <w:rFonts w:hint="eastAsia" w:eastAsia="仿宋_GB2312"/>
          <w:color w:val="auto"/>
          <w:szCs w:val="32"/>
        </w:rPr>
        <w:t>本指导原则不适用于以采集人体样本、注射药物与气体进入体内为目的的穿刺针，也不适用于对人体进行穿刺作为其他器械进入除血管外其他部位的穿刺针</w:t>
      </w:r>
      <w:r>
        <w:rPr>
          <w:rFonts w:hint="eastAsia" w:eastAsia="仿宋_GB2312"/>
          <w:color w:val="0000FF"/>
          <w:szCs w:val="32"/>
        </w:rPr>
        <w:t>。</w:t>
      </w:r>
    </w:p>
    <w:p>
      <w:pPr>
        <w:spacing w:line="520" w:lineRule="exact"/>
        <w:ind w:firstLine="640" w:firstLineChars="200"/>
        <w:rPr>
          <w:rFonts w:eastAsia="黑体"/>
          <w:color w:val="000000"/>
          <w:szCs w:val="32"/>
        </w:rPr>
      </w:pPr>
      <w:r>
        <w:rPr>
          <w:rFonts w:eastAsia="黑体"/>
          <w:color w:val="000000"/>
          <w:szCs w:val="32"/>
        </w:rPr>
        <w:t>二、注册审查要点</w:t>
      </w:r>
    </w:p>
    <w:p>
      <w:pPr>
        <w:spacing w:line="520" w:lineRule="exact"/>
        <w:ind w:firstLine="640" w:firstLineChars="200"/>
        <w:rPr>
          <w:rFonts w:eastAsia="楷体_GB2312"/>
          <w:color w:val="000000"/>
          <w:szCs w:val="32"/>
        </w:rPr>
      </w:pPr>
      <w:r>
        <w:rPr>
          <w:rFonts w:eastAsia="楷体_GB2312"/>
          <w:color w:val="000000"/>
          <w:szCs w:val="32"/>
        </w:rPr>
        <w:t>（一）监管信息</w:t>
      </w:r>
    </w:p>
    <w:p>
      <w:pPr>
        <w:spacing w:line="520" w:lineRule="exact"/>
        <w:ind w:firstLine="640" w:firstLineChars="200"/>
        <w:rPr>
          <w:rFonts w:eastAsia="仿宋_GB2312"/>
          <w:color w:val="000000"/>
          <w:szCs w:val="32"/>
        </w:rPr>
      </w:pPr>
      <w:r>
        <w:rPr>
          <w:rFonts w:eastAsia="仿宋_GB2312"/>
          <w:color w:val="000000"/>
          <w:szCs w:val="32"/>
        </w:rPr>
        <w:t>1.产品名称</w:t>
      </w:r>
    </w:p>
    <w:p>
      <w:pPr>
        <w:spacing w:line="520" w:lineRule="exact"/>
        <w:ind w:firstLine="640" w:firstLineChars="200"/>
        <w:rPr>
          <w:rFonts w:eastAsia="仿宋_GB2312"/>
          <w:color w:val="000000"/>
          <w:szCs w:val="32"/>
        </w:rPr>
      </w:pPr>
      <w:r>
        <w:rPr>
          <w:rFonts w:hint="eastAsia" w:eastAsia="仿宋_GB2312"/>
          <w:color w:val="000000"/>
          <w:szCs w:val="32"/>
        </w:rPr>
        <w:t>穿刺针</w:t>
      </w:r>
      <w:r>
        <w:rPr>
          <w:rFonts w:eastAsia="仿宋_GB2312"/>
          <w:color w:val="000000"/>
          <w:szCs w:val="32"/>
        </w:rPr>
        <w:t>产品的命名需采用《医疗器械分类目录》或国家标准、行业标准中的通用名称，或以产品结构和预期目的为依据命名，需符合《医疗器械通用名称命名规则》《无源植入器械通用名称命名指导原则》等相关规范性文件的要求。本产品特征词可包括“</w:t>
      </w:r>
      <w:r>
        <w:rPr>
          <w:rFonts w:hint="eastAsia" w:eastAsia="仿宋_GB2312"/>
          <w:color w:val="000000"/>
          <w:szCs w:val="32"/>
        </w:rPr>
        <w:t>一次性使用</w:t>
      </w:r>
      <w:r>
        <w:rPr>
          <w:rFonts w:eastAsia="仿宋_GB2312"/>
          <w:color w:val="000000"/>
          <w:szCs w:val="32"/>
        </w:rPr>
        <w:t>”“</w:t>
      </w:r>
      <w:r>
        <w:rPr>
          <w:rFonts w:hint="eastAsia" w:eastAsia="仿宋_GB2312"/>
          <w:color w:val="000000"/>
          <w:szCs w:val="32"/>
        </w:rPr>
        <w:t>介入</w:t>
      </w:r>
      <w:r>
        <w:rPr>
          <w:rFonts w:eastAsia="仿宋_GB2312"/>
          <w:color w:val="000000"/>
          <w:szCs w:val="32"/>
        </w:rPr>
        <w:t>”“</w:t>
      </w:r>
      <w:r>
        <w:rPr>
          <w:rFonts w:hint="eastAsia" w:eastAsia="仿宋_GB2312"/>
          <w:color w:val="000000"/>
          <w:szCs w:val="32"/>
        </w:rPr>
        <w:t>血管</w:t>
      </w:r>
      <w:r>
        <w:rPr>
          <w:rFonts w:eastAsia="仿宋_GB2312"/>
          <w:color w:val="000000"/>
          <w:szCs w:val="32"/>
        </w:rPr>
        <w:t>”</w:t>
      </w:r>
      <w:r>
        <w:rPr>
          <w:rFonts w:hint="eastAsia" w:eastAsia="仿宋_GB2312"/>
          <w:color w:val="000000"/>
          <w:szCs w:val="32"/>
        </w:rPr>
        <w:t>等，核心词为</w:t>
      </w:r>
      <w:r>
        <w:rPr>
          <w:rFonts w:eastAsia="仿宋_GB2312"/>
          <w:color w:val="000000"/>
          <w:szCs w:val="32"/>
        </w:rPr>
        <w:t>“</w:t>
      </w:r>
      <w:r>
        <w:rPr>
          <w:rFonts w:hint="eastAsia" w:eastAsia="仿宋_GB2312"/>
          <w:color w:val="000000"/>
          <w:szCs w:val="32"/>
        </w:rPr>
        <w:t>穿刺针</w:t>
      </w:r>
      <w:r>
        <w:rPr>
          <w:rFonts w:eastAsia="仿宋_GB2312"/>
          <w:color w:val="000000"/>
          <w:szCs w:val="32"/>
        </w:rPr>
        <w:t>”。</w:t>
      </w:r>
    </w:p>
    <w:p>
      <w:pPr>
        <w:spacing w:line="520" w:lineRule="exact"/>
        <w:ind w:firstLine="640" w:firstLineChars="200"/>
        <w:rPr>
          <w:rFonts w:eastAsia="仿宋_GB2312"/>
          <w:color w:val="000000"/>
          <w:szCs w:val="32"/>
        </w:rPr>
      </w:pPr>
      <w:r>
        <w:rPr>
          <w:rFonts w:eastAsia="仿宋_GB2312"/>
          <w:color w:val="000000"/>
          <w:szCs w:val="32"/>
        </w:rPr>
        <w:t>2.分类编码</w:t>
      </w:r>
    </w:p>
    <w:p>
      <w:pPr>
        <w:spacing w:line="520" w:lineRule="exact"/>
        <w:ind w:firstLine="640" w:firstLineChars="200"/>
        <w:rPr>
          <w:rFonts w:eastAsia="仿宋_GB2312"/>
          <w:color w:val="000000"/>
          <w:szCs w:val="32"/>
        </w:rPr>
      </w:pPr>
      <w:r>
        <w:rPr>
          <w:rFonts w:eastAsia="仿宋_GB2312"/>
          <w:color w:val="000000"/>
          <w:szCs w:val="32"/>
        </w:rPr>
        <w:t>根据《医疗器械分类目录》，</w:t>
      </w:r>
      <w:r>
        <w:rPr>
          <w:rFonts w:hint="eastAsia" w:eastAsia="仿宋_GB2312"/>
          <w:color w:val="000000"/>
          <w:szCs w:val="32"/>
        </w:rPr>
        <w:t>该类产品的分类编码为03-13-12</w:t>
      </w:r>
      <w:r>
        <w:rPr>
          <w:rFonts w:eastAsia="仿宋_GB2312"/>
          <w:color w:val="000000"/>
          <w:szCs w:val="32"/>
        </w:rPr>
        <w:t>。管理类别为</w:t>
      </w:r>
      <w:r>
        <w:rPr>
          <w:rFonts w:hint="eastAsia" w:eastAsia="仿宋_GB2312"/>
          <w:color w:val="000000"/>
          <w:szCs w:val="32"/>
        </w:rPr>
        <w:t>Ⅱ</w:t>
      </w:r>
      <w:r>
        <w:rPr>
          <w:rFonts w:eastAsia="仿宋_GB2312"/>
          <w:color w:val="000000"/>
          <w:szCs w:val="32"/>
        </w:rPr>
        <w:t>类。</w:t>
      </w:r>
    </w:p>
    <w:p>
      <w:pPr>
        <w:spacing w:line="520" w:lineRule="exact"/>
        <w:ind w:firstLine="640" w:firstLineChars="200"/>
        <w:rPr>
          <w:rFonts w:eastAsia="仿宋_GB2312"/>
          <w:color w:val="000000"/>
          <w:szCs w:val="32"/>
        </w:rPr>
      </w:pPr>
      <w:r>
        <w:rPr>
          <w:rFonts w:eastAsia="仿宋_GB2312"/>
          <w:color w:val="000000"/>
          <w:szCs w:val="32"/>
        </w:rPr>
        <w:t>3.注册单元划分的原则和实例</w:t>
      </w:r>
    </w:p>
    <w:p>
      <w:pPr>
        <w:spacing w:line="520" w:lineRule="exact"/>
        <w:ind w:firstLine="640" w:firstLineChars="200"/>
        <w:rPr>
          <w:rFonts w:eastAsia="仿宋_GB2312"/>
          <w:color w:val="000000"/>
          <w:szCs w:val="32"/>
        </w:rPr>
      </w:pPr>
      <w:r>
        <w:rPr>
          <w:rFonts w:eastAsia="仿宋_GB2312"/>
          <w:color w:val="000000"/>
          <w:szCs w:val="32"/>
        </w:rPr>
        <w:t>产品注册单元的划分需符合《医疗器械注册单元划分指导原则》的要求。</w:t>
      </w:r>
      <w:r>
        <w:rPr>
          <w:rFonts w:hint="eastAsia" w:eastAsia="仿宋_GB2312"/>
          <w:color w:val="000000"/>
          <w:szCs w:val="32"/>
        </w:rPr>
        <w:t>不同规格的穿刺针可作为同一注册单元。</w:t>
      </w:r>
    </w:p>
    <w:p>
      <w:pPr>
        <w:spacing w:line="520" w:lineRule="exact"/>
        <w:ind w:firstLine="640" w:firstLineChars="200"/>
        <w:rPr>
          <w:rFonts w:eastAsia="仿宋_GB2312"/>
          <w:color w:val="000000"/>
          <w:szCs w:val="32"/>
        </w:rPr>
      </w:pPr>
      <w:r>
        <w:rPr>
          <w:rFonts w:eastAsia="仿宋_GB2312"/>
          <w:color w:val="000000"/>
          <w:szCs w:val="32"/>
        </w:rPr>
        <w:t>4.型号规格</w:t>
      </w:r>
    </w:p>
    <w:p>
      <w:pPr>
        <w:spacing w:line="520" w:lineRule="exact"/>
        <w:ind w:firstLine="640" w:firstLineChars="200"/>
        <w:rPr>
          <w:rFonts w:eastAsia="仿宋_GB2312"/>
          <w:color w:val="000000"/>
          <w:szCs w:val="32"/>
        </w:rPr>
      </w:pPr>
      <w:r>
        <w:rPr>
          <w:rFonts w:eastAsia="仿宋_GB2312"/>
          <w:color w:val="000000"/>
          <w:szCs w:val="32"/>
        </w:rPr>
        <w:t>需提供产品各型号规格的划分原则。对于存在多种型号、规格的产品，需明确各型号、规格的区别。需采用对比表及带有说明性文字的图片、图表，对各种型号、规格的结构组成、功能、产品特征、性能指标等方面加以描述。</w:t>
      </w:r>
    </w:p>
    <w:p>
      <w:pPr>
        <w:spacing w:line="520" w:lineRule="exact"/>
        <w:ind w:firstLine="640" w:firstLineChars="200"/>
        <w:rPr>
          <w:rFonts w:eastAsia="仿宋_GB2312"/>
          <w:color w:val="000000"/>
          <w:szCs w:val="32"/>
        </w:rPr>
      </w:pPr>
      <w:r>
        <w:rPr>
          <w:rFonts w:eastAsia="仿宋_GB2312"/>
          <w:color w:val="000000"/>
          <w:szCs w:val="32"/>
        </w:rPr>
        <w:t>5.结构组成</w:t>
      </w:r>
    </w:p>
    <w:p>
      <w:pPr>
        <w:spacing w:line="520" w:lineRule="exact"/>
        <w:ind w:firstLine="640" w:firstLineChars="200"/>
        <w:rPr>
          <w:rFonts w:eastAsia="仿宋_GB2312"/>
          <w:color w:val="EE0000"/>
          <w:szCs w:val="32"/>
        </w:rPr>
      </w:pPr>
      <w:r>
        <w:rPr>
          <w:rFonts w:hint="eastAsia" w:eastAsia="仿宋_GB2312"/>
          <w:color w:val="000000"/>
          <w:szCs w:val="32"/>
        </w:rPr>
        <w:t>穿刺针通常由针、底座、保护套组成。</w:t>
      </w:r>
      <w:r>
        <w:rPr>
          <w:rFonts w:eastAsia="仿宋_GB2312"/>
          <w:color w:val="000000"/>
          <w:szCs w:val="32"/>
        </w:rPr>
        <w:t>需提供所含组件描述、选用材料及符合标准、材料牌号信息、表面处理方式、交付状态及有效期信息。</w:t>
      </w:r>
    </w:p>
    <w:p>
      <w:pPr>
        <w:spacing w:line="520" w:lineRule="exact"/>
        <w:ind w:firstLine="640" w:firstLineChars="200"/>
        <w:rPr>
          <w:rFonts w:eastAsia="楷体_GB2312"/>
          <w:color w:val="000000"/>
          <w:szCs w:val="32"/>
        </w:rPr>
      </w:pPr>
      <w:r>
        <w:rPr>
          <w:rFonts w:eastAsia="楷体_GB2312"/>
          <w:color w:val="000000"/>
          <w:szCs w:val="32"/>
        </w:rPr>
        <w:t>（二）综述资料</w:t>
      </w:r>
    </w:p>
    <w:p>
      <w:pPr>
        <w:spacing w:line="520" w:lineRule="exact"/>
        <w:ind w:firstLine="640" w:firstLineChars="200"/>
        <w:rPr>
          <w:rFonts w:eastAsia="仿宋_GB2312"/>
          <w:color w:val="000000"/>
          <w:szCs w:val="32"/>
        </w:rPr>
      </w:pPr>
      <w:r>
        <w:rPr>
          <w:rFonts w:hint="eastAsia" w:eastAsia="仿宋_GB2312"/>
          <w:color w:val="000000"/>
          <w:szCs w:val="32"/>
        </w:rPr>
        <w:t>1.概述</w:t>
      </w:r>
    </w:p>
    <w:p>
      <w:pPr>
        <w:spacing w:line="520" w:lineRule="exact"/>
        <w:ind w:firstLine="640" w:firstLineChars="200"/>
        <w:rPr>
          <w:rFonts w:eastAsia="仿宋_GB2312"/>
          <w:color w:val="000000"/>
          <w:szCs w:val="32"/>
        </w:rPr>
      </w:pPr>
      <w:r>
        <w:rPr>
          <w:rFonts w:hint="eastAsia" w:eastAsia="仿宋_GB2312"/>
          <w:color w:val="000000"/>
          <w:szCs w:val="32"/>
        </w:rPr>
        <w:t>申请人需描述申报产品的通用名称及确定依据、管理类别、适用范围，如适用，申请人应提供穿刺针的背景信息概述，如：申报产品的历史概述、历次提交的信息，与其他经批准上市产品的关系等。</w:t>
      </w:r>
    </w:p>
    <w:p>
      <w:pPr>
        <w:spacing w:line="520" w:lineRule="exact"/>
        <w:ind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.器械及操作原理描述</w:t>
      </w:r>
    </w:p>
    <w:p>
      <w:pPr>
        <w:spacing w:line="520" w:lineRule="exact"/>
        <w:ind w:firstLine="640" w:firstLineChars="200"/>
        <w:jc w:val="left"/>
        <w:rPr>
          <w:rFonts w:eastAsia="仿宋_GB2312"/>
          <w:color w:val="000000"/>
          <w:szCs w:val="32"/>
        </w:rPr>
      </w:pPr>
      <w:r>
        <w:rPr>
          <w:rFonts w:hint="eastAsia" w:eastAsia="仿宋_GB2312"/>
          <w:color w:val="000000"/>
          <w:szCs w:val="32"/>
        </w:rPr>
        <w:t>2</w:t>
      </w:r>
      <w:r>
        <w:rPr>
          <w:rFonts w:eastAsia="仿宋_GB2312"/>
          <w:color w:val="000000"/>
          <w:szCs w:val="32"/>
        </w:rPr>
        <w:t>.1提供产品各型号的几何结构外形图，充分描述产品结构信息。</w:t>
      </w:r>
    </w:p>
    <w:p>
      <w:pPr>
        <w:spacing w:line="520" w:lineRule="exact"/>
        <w:ind w:firstLine="640" w:firstLineChars="200"/>
        <w:jc w:val="left"/>
        <w:rPr>
          <w:rFonts w:eastAsia="仿宋_GB2312"/>
          <w:color w:val="000000"/>
          <w:szCs w:val="32"/>
        </w:rPr>
      </w:pPr>
      <w:r>
        <w:rPr>
          <w:rFonts w:hint="eastAsia" w:eastAsia="仿宋_GB2312"/>
          <w:color w:val="000000"/>
          <w:szCs w:val="32"/>
        </w:rPr>
        <w:t>2</w:t>
      </w:r>
      <w:r>
        <w:rPr>
          <w:rFonts w:eastAsia="仿宋_GB2312"/>
          <w:color w:val="000000"/>
          <w:szCs w:val="32"/>
        </w:rPr>
        <w:t>.2</w:t>
      </w:r>
      <w:r>
        <w:rPr>
          <w:rFonts w:hint="eastAsia" w:eastAsia="仿宋_GB2312"/>
          <w:color w:val="000000"/>
          <w:szCs w:val="32"/>
        </w:rPr>
        <w:t>明确产品与患者直接或间接接触各部件材料的基本信息，如通用名称/化学名称、材料商品名（若有）、材料代号/牌号（若有）、符合的材料标准（如适用）等基本信息</w:t>
      </w:r>
      <w:r>
        <w:rPr>
          <w:rFonts w:eastAsia="仿宋_GB2312"/>
          <w:color w:val="000000"/>
          <w:szCs w:val="32"/>
        </w:rPr>
        <w:t>。</w:t>
      </w:r>
    </w:p>
    <w:p>
      <w:pPr>
        <w:spacing w:line="520" w:lineRule="exact"/>
        <w:ind w:firstLine="640" w:firstLineChars="200"/>
        <w:jc w:val="left"/>
        <w:rPr>
          <w:rFonts w:eastAsia="仿宋_GB2312"/>
          <w:color w:val="000000"/>
          <w:szCs w:val="32"/>
        </w:rPr>
      </w:pPr>
      <w:r>
        <w:rPr>
          <w:rFonts w:hint="eastAsia" w:eastAsia="仿宋_GB2312"/>
          <w:color w:val="000000"/>
          <w:szCs w:val="32"/>
        </w:rPr>
        <w:t>2</w:t>
      </w:r>
      <w:r>
        <w:rPr>
          <w:rFonts w:eastAsia="仿宋_GB2312"/>
          <w:color w:val="000000"/>
          <w:szCs w:val="32"/>
        </w:rPr>
        <w:t>.3提供</w:t>
      </w:r>
      <w:r>
        <w:rPr>
          <w:rFonts w:hint="eastAsia" w:eastAsia="仿宋_GB2312"/>
          <w:color w:val="000000"/>
          <w:szCs w:val="32"/>
        </w:rPr>
        <w:t>穿刺针</w:t>
      </w:r>
      <w:r>
        <w:rPr>
          <w:rFonts w:eastAsia="仿宋_GB2312"/>
          <w:color w:val="000000"/>
          <w:szCs w:val="32"/>
        </w:rPr>
        <w:t>的关键尺寸信息，如长度、</w:t>
      </w:r>
      <w:r>
        <w:rPr>
          <w:rFonts w:hint="eastAsia" w:eastAsia="仿宋_GB2312"/>
          <w:color w:val="000000"/>
          <w:szCs w:val="32"/>
        </w:rPr>
        <w:t>外</w:t>
      </w:r>
      <w:r>
        <w:rPr>
          <w:rFonts w:eastAsia="仿宋_GB2312"/>
          <w:color w:val="000000"/>
          <w:szCs w:val="32"/>
        </w:rPr>
        <w:t>径</w:t>
      </w:r>
      <w:r>
        <w:rPr>
          <w:rFonts w:hint="eastAsia" w:eastAsia="仿宋_GB2312"/>
          <w:color w:val="000000"/>
          <w:szCs w:val="32"/>
        </w:rPr>
        <w:t>、内径</w:t>
      </w:r>
      <w:r>
        <w:rPr>
          <w:rFonts w:eastAsia="仿宋_GB2312"/>
          <w:color w:val="000000"/>
          <w:szCs w:val="32"/>
        </w:rPr>
        <w:t>等体现产品设计特征的尺寸及公差。</w:t>
      </w:r>
    </w:p>
    <w:p>
      <w:pPr>
        <w:spacing w:line="520" w:lineRule="exact"/>
        <w:ind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.4明确各型号产品的划分依据。</w:t>
      </w:r>
    </w:p>
    <w:p>
      <w:pPr>
        <w:spacing w:line="520" w:lineRule="exact"/>
        <w:ind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.5提供产品工作原理/作用机理</w:t>
      </w:r>
      <w:r>
        <w:rPr>
          <w:rFonts w:hint="eastAsia" w:eastAsia="仿宋_GB2312"/>
          <w:color w:val="000000"/>
          <w:szCs w:val="32"/>
        </w:rPr>
        <w:t>，应能体现出产品在临床上的使用目的、使用方法、使用过程等方面的信息</w:t>
      </w:r>
      <w:r>
        <w:rPr>
          <w:rFonts w:eastAsia="仿宋_GB2312"/>
          <w:color w:val="000000"/>
          <w:szCs w:val="32"/>
        </w:rPr>
        <w:t>。</w:t>
      </w:r>
    </w:p>
    <w:p>
      <w:pPr>
        <w:spacing w:line="520" w:lineRule="exact"/>
        <w:ind w:firstLine="640" w:firstLineChars="200"/>
        <w:rPr>
          <w:rFonts w:eastAsia="仿宋_GB2312"/>
          <w:color w:val="000000"/>
          <w:szCs w:val="32"/>
        </w:rPr>
      </w:pPr>
      <w:r>
        <w:rPr>
          <w:rFonts w:hint="eastAsia" w:eastAsia="仿宋_GB2312"/>
          <w:color w:val="000000"/>
          <w:szCs w:val="32"/>
        </w:rPr>
        <w:t>3</w:t>
      </w:r>
      <w:r>
        <w:rPr>
          <w:rFonts w:eastAsia="仿宋_GB2312"/>
          <w:color w:val="000000"/>
          <w:szCs w:val="32"/>
        </w:rPr>
        <w:t>.产品的适用范围、适用人群、禁忌证</w:t>
      </w:r>
    </w:p>
    <w:p>
      <w:pPr>
        <w:spacing w:line="520" w:lineRule="exact"/>
        <w:ind w:firstLine="640" w:firstLineChars="200"/>
        <w:rPr>
          <w:rFonts w:eastAsia="仿宋_GB2312"/>
          <w:color w:val="000000"/>
          <w:szCs w:val="32"/>
        </w:rPr>
      </w:pPr>
      <w:r>
        <w:rPr>
          <w:rFonts w:hint="eastAsia" w:eastAsia="仿宋_GB2312"/>
          <w:color w:val="000000"/>
          <w:szCs w:val="32"/>
        </w:rPr>
        <w:t>适用范围：建立有助于血管内器械的经皮进入通路。</w:t>
      </w:r>
    </w:p>
    <w:p>
      <w:pPr>
        <w:spacing w:line="520" w:lineRule="exact"/>
        <w:ind w:firstLine="640" w:firstLineChars="200"/>
        <w:rPr>
          <w:rFonts w:eastAsia="仿宋_GB2312"/>
          <w:color w:val="000000"/>
          <w:szCs w:val="32"/>
        </w:rPr>
      </w:pPr>
      <w:r>
        <w:rPr>
          <w:rFonts w:hint="eastAsia" w:eastAsia="仿宋_GB2312"/>
          <w:color w:val="000000"/>
          <w:szCs w:val="32"/>
        </w:rPr>
        <w:t>禁忌证：</w:t>
      </w:r>
      <w:r>
        <w:rPr>
          <w:rFonts w:eastAsia="仿宋_GB2312"/>
          <w:szCs w:val="32"/>
        </w:rPr>
        <w:t>材质过敏者禁用</w:t>
      </w:r>
      <w:r>
        <w:rPr>
          <w:rFonts w:hint="eastAsia" w:eastAsia="仿宋_GB2312"/>
          <w:szCs w:val="32"/>
        </w:rPr>
        <w:t>。</w:t>
      </w:r>
    </w:p>
    <w:p>
      <w:pPr>
        <w:spacing w:line="520" w:lineRule="exact"/>
        <w:ind w:firstLine="640" w:firstLineChars="200"/>
        <w:rPr>
          <w:rFonts w:eastAsia="仿宋_GB2312"/>
          <w:color w:val="000000"/>
          <w:szCs w:val="32"/>
        </w:rPr>
      </w:pPr>
      <w:r>
        <w:rPr>
          <w:rFonts w:eastAsia="仿宋_GB2312"/>
          <w:color w:val="000000"/>
          <w:szCs w:val="32"/>
        </w:rPr>
        <w:t>产品的适用范围、适用人群、禁忌证需与申报产品的性能、功能相符。</w:t>
      </w:r>
    </w:p>
    <w:p>
      <w:pPr>
        <w:spacing w:line="520" w:lineRule="exact"/>
        <w:ind w:firstLine="640" w:firstLineChars="200"/>
        <w:rPr>
          <w:rFonts w:eastAsia="仿宋_GB2312"/>
          <w:color w:val="000000"/>
          <w:szCs w:val="32"/>
        </w:rPr>
      </w:pPr>
      <w:r>
        <w:rPr>
          <w:rFonts w:eastAsia="仿宋_GB2312"/>
          <w:color w:val="000000"/>
          <w:szCs w:val="32"/>
        </w:rPr>
        <w:t>注册申请人需根据申报产品的设计特征，进一步说明其具体的适用人群、预期使用环境等信息。</w:t>
      </w:r>
    </w:p>
    <w:p>
      <w:pPr>
        <w:spacing w:line="520" w:lineRule="exact"/>
        <w:ind w:firstLine="640" w:firstLineChars="200"/>
        <w:rPr>
          <w:rFonts w:eastAsia="仿宋_GB2312"/>
          <w:color w:val="000000"/>
          <w:szCs w:val="32"/>
        </w:rPr>
      </w:pPr>
      <w:r>
        <w:rPr>
          <w:rFonts w:eastAsia="仿宋_GB2312"/>
          <w:color w:val="000000"/>
          <w:szCs w:val="32"/>
        </w:rPr>
        <w:t>描述产品的禁忌证（包括绝对禁忌证、相对禁忌证），如不适宜使用的人群、疾病等情形。</w:t>
      </w:r>
    </w:p>
    <w:p>
      <w:pPr>
        <w:spacing w:line="520" w:lineRule="exact"/>
        <w:ind w:firstLine="640" w:firstLineChars="200"/>
        <w:rPr>
          <w:rFonts w:eastAsia="仿宋_GB2312"/>
          <w:color w:val="000000"/>
          <w:szCs w:val="32"/>
        </w:rPr>
      </w:pPr>
      <w:r>
        <w:rPr>
          <w:rFonts w:hint="eastAsia" w:eastAsia="仿宋_GB2312"/>
          <w:color w:val="000000"/>
          <w:szCs w:val="32"/>
        </w:rPr>
        <w:t>4</w:t>
      </w:r>
      <w:r>
        <w:rPr>
          <w:rFonts w:eastAsia="仿宋_GB2312"/>
          <w:color w:val="000000"/>
          <w:szCs w:val="32"/>
        </w:rPr>
        <w:t>.包装说明</w:t>
      </w:r>
    </w:p>
    <w:p>
      <w:pPr>
        <w:spacing w:line="520" w:lineRule="exact"/>
        <w:ind w:firstLine="640" w:firstLineChars="200"/>
        <w:rPr>
          <w:rFonts w:eastAsia="仿宋_GB2312"/>
          <w:color w:val="000000"/>
          <w:szCs w:val="32"/>
        </w:rPr>
      </w:pPr>
      <w:r>
        <w:rPr>
          <w:rFonts w:hint="eastAsia" w:eastAsia="仿宋_GB2312"/>
          <w:color w:val="000000"/>
          <w:szCs w:val="32"/>
        </w:rPr>
        <w:t>应说明申报</w:t>
      </w:r>
      <w:r>
        <w:rPr>
          <w:rFonts w:eastAsia="仿宋_GB2312"/>
          <w:color w:val="000000"/>
          <w:szCs w:val="32"/>
        </w:rPr>
        <w:t>产品</w:t>
      </w:r>
      <w:r>
        <w:rPr>
          <w:rFonts w:hint="eastAsia" w:eastAsia="仿宋_GB2312"/>
          <w:color w:val="000000"/>
          <w:szCs w:val="32"/>
        </w:rPr>
        <w:t>所有</w:t>
      </w:r>
      <w:r>
        <w:rPr>
          <w:rFonts w:eastAsia="仿宋_GB2312"/>
          <w:color w:val="000000"/>
          <w:szCs w:val="32"/>
        </w:rPr>
        <w:t>的包装信息，包括包装形式、包装材料、包装工艺以及无菌屏障系统等信息</w:t>
      </w:r>
      <w:r>
        <w:rPr>
          <w:rFonts w:hint="eastAsia" w:eastAsia="仿宋_GB2312"/>
          <w:color w:val="000000"/>
          <w:szCs w:val="32"/>
        </w:rPr>
        <w:t>，如有多层包装应分别提供，并提供各层包装的图示</w:t>
      </w:r>
      <w:r>
        <w:rPr>
          <w:rFonts w:eastAsia="仿宋_GB2312"/>
          <w:color w:val="000000"/>
          <w:szCs w:val="32"/>
        </w:rPr>
        <w:t>。</w:t>
      </w:r>
    </w:p>
    <w:p>
      <w:pPr>
        <w:pStyle w:val="18"/>
        <w:ind w:firstLine="640"/>
        <w:rPr>
          <w:rFonts w:eastAsia="仿宋_GB2312"/>
        </w:rPr>
      </w:pPr>
      <w:r>
        <w:rPr>
          <w:rFonts w:eastAsia="仿宋_GB2312"/>
        </w:rPr>
        <w:t>5</w:t>
      </w:r>
      <w:r>
        <w:rPr>
          <w:rFonts w:hint="eastAsia" w:eastAsia="仿宋_GB2312"/>
        </w:rPr>
        <w:t>研发历程</w:t>
      </w:r>
    </w:p>
    <w:p>
      <w:pPr>
        <w:pStyle w:val="18"/>
        <w:ind w:firstLine="640"/>
        <w:rPr>
          <w:rFonts w:eastAsia="仿宋_GB2312"/>
          <w:szCs w:val="20"/>
        </w:rPr>
      </w:pPr>
      <w:r>
        <w:rPr>
          <w:rFonts w:hint="eastAsia" w:eastAsia="仿宋_GB2312"/>
          <w:szCs w:val="20"/>
        </w:rPr>
        <w:t>如本公司已有同类产品上市，应在研发背景中描述相比同类产品的区别，包括改进的内容、实现方式、解决的技术问题或临床问题等。</w:t>
      </w:r>
    </w:p>
    <w:p>
      <w:pPr>
        <w:pStyle w:val="18"/>
        <w:ind w:firstLine="640"/>
        <w:rPr>
          <w:rFonts w:eastAsia="仿宋_GB2312"/>
          <w:szCs w:val="20"/>
        </w:rPr>
      </w:pPr>
      <w:r>
        <w:rPr>
          <w:rFonts w:hint="eastAsia" w:eastAsia="仿宋_GB2312"/>
          <w:szCs w:val="20"/>
        </w:rPr>
        <w:t>6与同类和/或前代产品的参考和比较</w:t>
      </w:r>
    </w:p>
    <w:p>
      <w:pPr>
        <w:pStyle w:val="18"/>
        <w:ind w:firstLine="640"/>
      </w:pPr>
      <w:r>
        <w:rPr>
          <w:rFonts w:hint="eastAsia" w:eastAsia="仿宋_GB2312"/>
          <w:szCs w:val="20"/>
        </w:rPr>
        <w:t>与同类和/或前代产品的参考和比较，应说明选择其作为研发参考的原因，同时列表说明在工作原理、结构组成、制造材料、性能指标、作用方式以及适用范围等方面的异同。</w:t>
      </w:r>
    </w:p>
    <w:p>
      <w:pPr>
        <w:spacing w:line="520" w:lineRule="exact"/>
        <w:ind w:firstLine="640" w:firstLineChars="200"/>
        <w:rPr>
          <w:rFonts w:eastAsia="楷体_GB2312"/>
          <w:b/>
          <w:color w:val="000000"/>
          <w:szCs w:val="32"/>
        </w:rPr>
      </w:pPr>
      <w:r>
        <w:rPr>
          <w:rFonts w:eastAsia="楷体_GB2312"/>
          <w:color w:val="000000"/>
          <w:szCs w:val="32"/>
        </w:rPr>
        <w:t>（三）非临床资料</w:t>
      </w:r>
    </w:p>
    <w:p>
      <w:pPr>
        <w:spacing w:line="520" w:lineRule="exact"/>
        <w:ind w:firstLine="640" w:firstLineChars="200"/>
        <w:rPr>
          <w:rFonts w:eastAsia="仿宋_GB2312"/>
          <w:color w:val="000000"/>
          <w:szCs w:val="32"/>
        </w:rPr>
      </w:pPr>
      <w:r>
        <w:rPr>
          <w:rFonts w:eastAsia="仿宋_GB2312"/>
          <w:color w:val="000000"/>
          <w:szCs w:val="32"/>
        </w:rPr>
        <w:t>1.产品风险管理资料</w:t>
      </w:r>
    </w:p>
    <w:p>
      <w:pPr>
        <w:spacing w:line="520" w:lineRule="exact"/>
        <w:ind w:firstLine="640" w:firstLineChars="200"/>
        <w:rPr>
          <w:rFonts w:eastAsia="仿宋_GB2312"/>
          <w:color w:val="000000"/>
          <w:szCs w:val="32"/>
        </w:rPr>
      </w:pPr>
      <w:r>
        <w:rPr>
          <w:rFonts w:eastAsia="仿宋_GB2312"/>
          <w:color w:val="000000"/>
          <w:szCs w:val="32"/>
        </w:rPr>
        <w:t>注册申请人需对产品全生命周期实施风险管理，提交风险管理资料</w:t>
      </w:r>
      <w:r>
        <w:rPr>
          <w:rFonts w:hint="eastAsia" w:eastAsia="仿宋_GB2312"/>
          <w:color w:val="000000"/>
          <w:szCs w:val="32"/>
        </w:rPr>
        <w:t>，</w:t>
      </w:r>
      <w:r>
        <w:rPr>
          <w:rFonts w:eastAsia="仿宋_GB2312"/>
          <w:color w:val="000000"/>
          <w:szCs w:val="32"/>
        </w:rPr>
        <w:t>参照GB/T 42062《医疗器械风险管理对医疗器械的应用》</w:t>
      </w:r>
      <w:r>
        <w:rPr>
          <w:rFonts w:hint="eastAsia" w:eastAsia="仿宋_GB2312"/>
          <w:color w:val="000000"/>
          <w:szCs w:val="32"/>
        </w:rPr>
        <w:t>的有关要求，审查要点包括：</w:t>
      </w:r>
    </w:p>
    <w:p>
      <w:pPr>
        <w:spacing w:line="520" w:lineRule="exact"/>
        <w:ind w:firstLine="640" w:firstLineChars="200"/>
        <w:rPr>
          <w:rFonts w:eastAsia="仿宋_GB2312"/>
          <w:color w:val="000000"/>
          <w:szCs w:val="32"/>
        </w:rPr>
      </w:pPr>
      <w:r>
        <w:rPr>
          <w:rFonts w:hint="eastAsia" w:eastAsia="仿宋_GB2312"/>
          <w:color w:val="000000"/>
          <w:szCs w:val="32"/>
        </w:rPr>
        <w:t>1.1与安全有关的特性的识别可参考YY/T 1437标准附录A。确定与安全有关的特性应具有合理的可预见性，应从所有涉及人员的角度提出关于医疗器械的制造、预期用户、预期用途、合理可预见的误使用和最终处置的问题，识别影响安全的医疗器械的特性和相关的危险；</w:t>
      </w:r>
    </w:p>
    <w:p>
      <w:pPr>
        <w:spacing w:line="520" w:lineRule="exact"/>
        <w:ind w:firstLine="640" w:firstLineChars="200"/>
        <w:rPr>
          <w:rFonts w:eastAsia="仿宋_GB2312"/>
          <w:color w:val="000000"/>
          <w:szCs w:val="32"/>
        </w:rPr>
      </w:pPr>
      <w:r>
        <w:rPr>
          <w:rFonts w:hint="eastAsia" w:eastAsia="仿宋_GB2312"/>
          <w:color w:val="000000"/>
          <w:szCs w:val="32"/>
        </w:rPr>
        <w:t>1.2危险和危险情况的识别可参考GB/T 42062标准附录C；</w:t>
      </w:r>
    </w:p>
    <w:p>
      <w:pPr>
        <w:spacing w:line="520" w:lineRule="exact"/>
        <w:ind w:firstLine="640" w:firstLineChars="200"/>
        <w:rPr>
          <w:rFonts w:eastAsia="仿宋_GB2312"/>
          <w:color w:val="000000"/>
          <w:szCs w:val="32"/>
        </w:rPr>
      </w:pPr>
      <w:r>
        <w:rPr>
          <w:rFonts w:hint="eastAsia" w:eastAsia="仿宋_GB2312"/>
          <w:color w:val="000000"/>
          <w:szCs w:val="32"/>
        </w:rPr>
        <w:t>1.3风险控制的方案、方案实施的验证、方案有效性的验证，及综合剩余风险的评价可参考GB/T 42062标准第7、第8章的相关要求；</w:t>
      </w:r>
    </w:p>
    <w:p>
      <w:pPr>
        <w:spacing w:line="520" w:lineRule="exact"/>
        <w:ind w:firstLine="640" w:firstLineChars="200"/>
        <w:rPr>
          <w:rFonts w:eastAsia="仿宋_GB2312"/>
          <w:color w:val="000000"/>
          <w:szCs w:val="32"/>
        </w:rPr>
      </w:pPr>
      <w:r>
        <w:rPr>
          <w:rFonts w:hint="eastAsia" w:eastAsia="仿宋_GB2312"/>
          <w:color w:val="000000"/>
          <w:szCs w:val="32"/>
        </w:rPr>
        <w:t>1.4应提供采取风险控制措施前后的风险矩阵表，应包括综合剩余风险是否可接受的判定。</w:t>
      </w:r>
    </w:p>
    <w:p>
      <w:pPr>
        <w:spacing w:line="520" w:lineRule="exact"/>
        <w:ind w:firstLine="640" w:firstLineChars="200"/>
        <w:rPr>
          <w:rFonts w:eastAsia="仿宋_GB2312"/>
          <w:color w:val="000000"/>
          <w:szCs w:val="32"/>
        </w:rPr>
      </w:pPr>
      <w:r>
        <w:rPr>
          <w:rFonts w:hint="eastAsia" w:eastAsia="仿宋_GB2312"/>
          <w:color w:val="000000"/>
          <w:szCs w:val="32"/>
        </w:rPr>
        <w:t>1.5识别出的基本性能及其识别过程。</w:t>
      </w:r>
    </w:p>
    <w:p>
      <w:pPr>
        <w:spacing w:line="520" w:lineRule="exact"/>
        <w:ind w:firstLine="640" w:firstLineChars="200"/>
        <w:rPr>
          <w:rFonts w:eastAsia="仿宋_GB2312"/>
          <w:color w:val="000000"/>
          <w:szCs w:val="32"/>
        </w:rPr>
      </w:pPr>
      <w:r>
        <w:rPr>
          <w:rFonts w:hint="eastAsia" w:eastAsia="仿宋_GB2312"/>
          <w:color w:val="000000"/>
          <w:szCs w:val="32"/>
        </w:rPr>
        <w:t>根据YY/T1437对该产品已知或可预见的风险进行判定，</w:t>
      </w:r>
      <w:r>
        <w:rPr>
          <w:rFonts w:hint="eastAsia" w:eastAsia="仿宋_GB2312"/>
          <w:color w:val="000000"/>
          <w:szCs w:val="32"/>
          <w:lang w:eastAsia="zh-CN"/>
        </w:rPr>
        <w:t>穿刺针</w:t>
      </w:r>
      <w:r>
        <w:rPr>
          <w:rFonts w:hint="eastAsia" w:eastAsia="仿宋_GB2312"/>
          <w:color w:val="000000"/>
          <w:szCs w:val="32"/>
        </w:rPr>
        <w:t>产品在进行风险分析时至少应包括对以下的主要危害，企业还应根据自身产品特点确定其他危害。针对产品的各项风险，企业应采取应对措施，确保风险降到可接受的程度。</w:t>
      </w:r>
    </w:p>
    <w:p>
      <w:pPr>
        <w:spacing w:line="520" w:lineRule="exact"/>
        <w:ind w:firstLine="640" w:firstLineChars="200"/>
        <w:rPr>
          <w:rFonts w:eastAsia="仿宋_GB2312"/>
          <w:color w:val="000000"/>
          <w:szCs w:val="32"/>
        </w:rPr>
      </w:pPr>
      <w:r>
        <w:rPr>
          <w:rFonts w:hint="eastAsia" w:eastAsia="仿宋_GB2312"/>
          <w:color w:val="000000"/>
          <w:szCs w:val="32"/>
        </w:rPr>
        <w:t>附录1依据GB/T 42062标准附录C列举了产品有关的可能危险示例的不完全清单，以帮助判定与产品有关的危险。本章给出的风险要素及其示例是常见的而不是全部的。申请人应按照GB/T 42062中规定的过程和方法，在产品整个生命周期内建立、形成文件和保持一个持续的过程，用以判定与医疗器械有关的危险、估计和评价相关的风险、控制这些风险并监视上述控制的有效性，以充分保证产品的安全和有效</w:t>
      </w:r>
      <w:r>
        <w:rPr>
          <w:rFonts w:eastAsia="仿宋_GB2312"/>
          <w:color w:val="000000"/>
          <w:szCs w:val="32"/>
        </w:rPr>
        <w:t>。</w:t>
      </w:r>
    </w:p>
    <w:p>
      <w:pPr>
        <w:spacing w:line="520" w:lineRule="exact"/>
        <w:ind w:firstLine="640" w:firstLineChars="200"/>
        <w:rPr>
          <w:rFonts w:eastAsia="仿宋_GB2312"/>
          <w:color w:val="000000"/>
          <w:szCs w:val="32"/>
        </w:rPr>
      </w:pPr>
      <w:r>
        <w:rPr>
          <w:rFonts w:eastAsia="仿宋_GB2312"/>
          <w:color w:val="000000"/>
          <w:szCs w:val="32"/>
        </w:rPr>
        <w:t>2.产品技术要求的主要性能指标</w:t>
      </w:r>
    </w:p>
    <w:p>
      <w:pPr>
        <w:spacing w:line="520" w:lineRule="exact"/>
        <w:ind w:firstLine="640" w:firstLineChars="200"/>
        <w:rPr>
          <w:rFonts w:eastAsia="仿宋_GB2312"/>
          <w:color w:val="000000"/>
          <w:szCs w:val="32"/>
        </w:rPr>
      </w:pPr>
      <w:r>
        <w:rPr>
          <w:rFonts w:eastAsia="仿宋_GB2312"/>
          <w:color w:val="000000"/>
          <w:szCs w:val="32"/>
        </w:rPr>
        <w:t>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w:t>
      </w:r>
    </w:p>
    <w:p>
      <w:pPr>
        <w:spacing w:line="520" w:lineRule="exact"/>
        <w:ind w:firstLine="640" w:firstLineChars="200"/>
        <w:rPr>
          <w:rFonts w:eastAsia="仿宋_GB2312"/>
          <w:color w:val="000000"/>
          <w:szCs w:val="32"/>
        </w:rPr>
      </w:pPr>
      <w:r>
        <w:rPr>
          <w:rFonts w:eastAsia="仿宋_GB2312"/>
          <w:color w:val="000000"/>
          <w:szCs w:val="32"/>
        </w:rPr>
        <w:t>2.1产品型号/规格及其划分的说明</w:t>
      </w:r>
    </w:p>
    <w:p>
      <w:pPr>
        <w:spacing w:line="520" w:lineRule="exact"/>
        <w:ind w:firstLine="640" w:firstLineChars="200"/>
        <w:rPr>
          <w:rFonts w:eastAsia="仿宋_GB2312"/>
          <w:color w:val="000000"/>
          <w:szCs w:val="32"/>
        </w:rPr>
      </w:pPr>
      <w:r>
        <w:rPr>
          <w:rFonts w:eastAsia="仿宋_GB2312"/>
          <w:color w:val="000000"/>
          <w:szCs w:val="32"/>
        </w:rPr>
        <w:t>列表说明产品的型号、规格，明确产品型号、规格的划分说明。需包含以下产品相关信息：</w:t>
      </w:r>
    </w:p>
    <w:p>
      <w:pPr>
        <w:spacing w:line="520" w:lineRule="exact"/>
        <w:ind w:firstLine="640" w:firstLineChars="200"/>
        <w:jc w:val="left"/>
        <w:rPr>
          <w:rFonts w:eastAsia="仿宋_GB2312"/>
          <w:color w:val="0000FF"/>
          <w:szCs w:val="32"/>
        </w:rPr>
      </w:pPr>
      <w:r>
        <w:rPr>
          <w:rFonts w:eastAsia="仿宋_GB2312"/>
          <w:color w:val="auto"/>
          <w:szCs w:val="32"/>
        </w:rPr>
        <w:t>2.1.1明示产品的组成、各组成部分的材料牌号/商品名及符合的国家标准、行业标准、国际标准</w:t>
      </w:r>
      <w:r>
        <w:rPr>
          <w:rFonts w:eastAsia="仿宋_GB2312"/>
          <w:color w:val="0000FF"/>
          <w:szCs w:val="32"/>
        </w:rPr>
        <w:t>。</w:t>
      </w:r>
    </w:p>
    <w:p>
      <w:pPr>
        <w:spacing w:line="520" w:lineRule="exact"/>
        <w:ind w:firstLine="640" w:firstLineChars="200"/>
        <w:rPr>
          <w:rFonts w:eastAsia="仿宋_GB2312"/>
          <w:color w:val="000000"/>
          <w:szCs w:val="32"/>
        </w:rPr>
      </w:pPr>
      <w:r>
        <w:rPr>
          <w:rFonts w:eastAsia="仿宋_GB2312"/>
          <w:color w:val="000000"/>
          <w:szCs w:val="32"/>
        </w:rPr>
        <w:t>2.1.2提供各型号产品的结构图并标识关键尺寸。</w:t>
      </w:r>
    </w:p>
    <w:p>
      <w:pPr>
        <w:spacing w:line="520" w:lineRule="exact"/>
        <w:ind w:firstLine="640" w:firstLineChars="200"/>
        <w:rPr>
          <w:rFonts w:eastAsia="仿宋_GB2312"/>
          <w:color w:val="000000"/>
          <w:szCs w:val="32"/>
        </w:rPr>
      </w:pPr>
      <w:r>
        <w:rPr>
          <w:rFonts w:eastAsia="仿宋_GB2312"/>
          <w:color w:val="000000"/>
          <w:szCs w:val="32"/>
        </w:rPr>
        <w:t>2.1.3提供产品关键尺寸信息，如长度、</w:t>
      </w:r>
      <w:r>
        <w:rPr>
          <w:rFonts w:hint="eastAsia" w:eastAsia="仿宋_GB2312"/>
          <w:color w:val="000000"/>
          <w:szCs w:val="32"/>
        </w:rPr>
        <w:t>外径、内径</w:t>
      </w:r>
      <w:r>
        <w:rPr>
          <w:rFonts w:eastAsia="仿宋_GB2312"/>
          <w:color w:val="000000"/>
          <w:szCs w:val="32"/>
        </w:rPr>
        <w:t>等。</w:t>
      </w:r>
    </w:p>
    <w:p>
      <w:pPr>
        <w:spacing w:line="520" w:lineRule="exact"/>
        <w:ind w:firstLine="640" w:firstLineChars="200"/>
        <w:rPr>
          <w:rFonts w:eastAsia="仿宋_GB2312"/>
          <w:color w:val="000000"/>
          <w:szCs w:val="32"/>
          <w:highlight w:val="yellow"/>
        </w:rPr>
      </w:pPr>
      <w:r>
        <w:rPr>
          <w:rFonts w:eastAsia="仿宋_GB2312"/>
          <w:color w:val="000000"/>
          <w:szCs w:val="32"/>
          <w:highlight w:val="yellow"/>
        </w:rPr>
        <w:t>2.2性能指标</w:t>
      </w:r>
    </w:p>
    <w:p>
      <w:pPr>
        <w:spacing w:line="520" w:lineRule="exact"/>
        <w:ind w:firstLine="640" w:firstLineChars="200"/>
        <w:rPr>
          <w:rFonts w:eastAsia="仿宋_GB2312"/>
          <w:color w:val="000000"/>
          <w:szCs w:val="32"/>
        </w:rPr>
      </w:pPr>
      <w:r>
        <w:rPr>
          <w:rFonts w:eastAsia="仿宋_GB2312"/>
          <w:color w:val="000000"/>
          <w:szCs w:val="32"/>
        </w:rPr>
        <w:t>产品技术要求的主要性能指标需包括以下适用内容：</w:t>
      </w:r>
    </w:p>
    <w:p>
      <w:pPr>
        <w:spacing w:line="520" w:lineRule="exact"/>
        <w:ind w:firstLine="640" w:firstLineChars="200"/>
        <w:rPr>
          <w:rFonts w:eastAsia="仿宋_GB2312"/>
          <w:color w:val="0000FF"/>
          <w:szCs w:val="32"/>
        </w:rPr>
      </w:pPr>
      <w:r>
        <w:rPr>
          <w:rFonts w:eastAsia="仿宋_GB2312"/>
          <w:color w:val="0000FF"/>
          <w:szCs w:val="32"/>
        </w:rPr>
        <w:t>2.2.1外观</w:t>
      </w:r>
      <w:r>
        <w:rPr>
          <w:rFonts w:hint="eastAsia" w:eastAsia="仿宋_GB2312"/>
          <w:color w:val="0000FF"/>
          <w:szCs w:val="32"/>
        </w:rPr>
        <w:t>；</w:t>
      </w:r>
    </w:p>
    <w:p>
      <w:pPr>
        <w:spacing w:line="520" w:lineRule="exact"/>
        <w:ind w:firstLine="640" w:firstLineChars="200"/>
        <w:rPr>
          <w:rFonts w:eastAsia="仿宋_GB2312"/>
          <w:color w:val="000000"/>
          <w:szCs w:val="32"/>
        </w:rPr>
      </w:pPr>
      <w:r>
        <w:rPr>
          <w:rFonts w:eastAsia="仿宋_GB2312"/>
          <w:color w:val="000000"/>
          <w:szCs w:val="32"/>
        </w:rPr>
        <w:t>2.2.2重要部位尺寸和公差</w:t>
      </w:r>
      <w:r>
        <w:rPr>
          <w:rFonts w:hint="eastAsia" w:eastAsia="仿宋_GB2312"/>
          <w:color w:val="000000"/>
          <w:szCs w:val="32"/>
        </w:rPr>
        <w:t>；</w:t>
      </w:r>
    </w:p>
    <w:p>
      <w:pPr>
        <w:spacing w:line="520" w:lineRule="exact"/>
        <w:ind w:firstLine="640" w:firstLineChars="200"/>
        <w:rPr>
          <w:rFonts w:eastAsia="仿宋_GB2312"/>
          <w:color w:val="000000"/>
          <w:szCs w:val="32"/>
        </w:rPr>
      </w:pPr>
      <w:r>
        <w:rPr>
          <w:rFonts w:eastAsia="仿宋_GB2312"/>
          <w:color w:val="000000"/>
          <w:szCs w:val="32"/>
        </w:rPr>
        <w:t>2.2.3</w:t>
      </w:r>
      <w:r>
        <w:rPr>
          <w:rFonts w:hint="eastAsia" w:eastAsia="仿宋_GB2312"/>
          <w:color w:val="000000"/>
          <w:szCs w:val="32"/>
        </w:rPr>
        <w:t>针座</w:t>
      </w:r>
    </w:p>
    <w:p>
      <w:pPr>
        <w:spacing w:line="520" w:lineRule="exact"/>
        <w:ind w:firstLine="640" w:firstLineChars="200"/>
        <w:rPr>
          <w:rFonts w:eastAsia="仿宋_GB2312"/>
          <w:color w:val="000000"/>
          <w:szCs w:val="32"/>
        </w:rPr>
      </w:pPr>
      <w:r>
        <w:rPr>
          <w:rFonts w:eastAsia="仿宋_GB2312"/>
          <w:color w:val="000000"/>
          <w:szCs w:val="32"/>
        </w:rPr>
        <w:t>2.2.4</w:t>
      </w:r>
      <w:r>
        <w:rPr>
          <w:rFonts w:hint="eastAsia" w:eastAsia="仿宋_GB2312"/>
          <w:color w:val="000000"/>
          <w:szCs w:val="32"/>
        </w:rPr>
        <w:t>正直：针座与针管连接应正直，针管不应有明显的歪斜；</w:t>
      </w:r>
    </w:p>
    <w:p>
      <w:pPr>
        <w:spacing w:line="520" w:lineRule="exact"/>
        <w:ind w:firstLine="640" w:firstLineChars="200"/>
        <w:rPr>
          <w:rFonts w:eastAsia="仿宋_GB2312"/>
          <w:color w:val="000000"/>
          <w:szCs w:val="32"/>
          <w:lang w:val="zh-CN"/>
        </w:rPr>
      </w:pPr>
      <w:r>
        <w:rPr>
          <w:rFonts w:hint="eastAsia" w:eastAsia="仿宋_GB2312"/>
          <w:color w:val="000000"/>
          <w:szCs w:val="32"/>
        </w:rPr>
        <w:t>2.2.5</w:t>
      </w:r>
      <w:r>
        <w:rPr>
          <w:rFonts w:hint="eastAsia" w:eastAsia="仿宋_GB2312"/>
          <w:color w:val="000000"/>
          <w:szCs w:val="32"/>
          <w:lang w:val="zh-CN"/>
        </w:rPr>
        <w:t>连接牢固度</w:t>
      </w:r>
      <w:r>
        <w:rPr>
          <w:rFonts w:hint="eastAsia" w:eastAsia="仿宋_GB2312"/>
          <w:color w:val="000000"/>
          <w:szCs w:val="32"/>
        </w:rPr>
        <w:t>；</w:t>
      </w:r>
    </w:p>
    <w:p>
      <w:pPr>
        <w:spacing w:line="520" w:lineRule="exact"/>
        <w:ind w:firstLine="640" w:firstLineChars="200"/>
        <w:rPr>
          <w:rFonts w:eastAsia="仿宋_GB2312"/>
          <w:color w:val="000000"/>
          <w:szCs w:val="32"/>
        </w:rPr>
      </w:pPr>
      <w:r>
        <w:rPr>
          <w:rFonts w:eastAsia="仿宋_GB2312"/>
          <w:color w:val="000000"/>
          <w:szCs w:val="32"/>
        </w:rPr>
        <w:t>2.2.</w:t>
      </w:r>
      <w:r>
        <w:rPr>
          <w:rFonts w:hint="eastAsia" w:eastAsia="仿宋_GB2312"/>
          <w:color w:val="000000"/>
          <w:szCs w:val="32"/>
        </w:rPr>
        <w:t>6穿刺力；</w:t>
      </w:r>
    </w:p>
    <w:p>
      <w:pPr>
        <w:spacing w:line="520" w:lineRule="exact"/>
        <w:ind w:firstLine="640" w:firstLineChars="200"/>
        <w:rPr>
          <w:rFonts w:eastAsia="仿宋_GB2312"/>
          <w:color w:val="000000"/>
          <w:szCs w:val="32"/>
        </w:rPr>
      </w:pPr>
      <w:r>
        <w:rPr>
          <w:rFonts w:eastAsia="仿宋_GB2312"/>
          <w:color w:val="000000"/>
          <w:szCs w:val="32"/>
        </w:rPr>
        <w:t>2.2.</w:t>
      </w:r>
      <w:r>
        <w:rPr>
          <w:rFonts w:hint="eastAsia" w:eastAsia="仿宋_GB2312"/>
          <w:color w:val="000000"/>
          <w:szCs w:val="32"/>
        </w:rPr>
        <w:t>7针尖强度和锋利度；</w:t>
      </w:r>
    </w:p>
    <w:p>
      <w:pPr>
        <w:spacing w:line="520" w:lineRule="exact"/>
        <w:ind w:firstLine="640" w:firstLineChars="200"/>
        <w:rPr>
          <w:rFonts w:eastAsia="仿宋_GB2312"/>
          <w:color w:val="000000"/>
          <w:szCs w:val="32"/>
        </w:rPr>
      </w:pPr>
      <w:r>
        <w:rPr>
          <w:rFonts w:hint="eastAsia" w:eastAsia="仿宋_GB2312"/>
          <w:color w:val="000000"/>
          <w:szCs w:val="32"/>
        </w:rPr>
        <w:t>2.2.8 针管刚性和韧性；</w:t>
      </w:r>
    </w:p>
    <w:p>
      <w:pPr>
        <w:spacing w:line="520" w:lineRule="exact"/>
        <w:ind w:firstLine="640" w:firstLineChars="200"/>
        <w:rPr>
          <w:rFonts w:eastAsia="仿宋_GB2312"/>
          <w:color w:val="000000"/>
          <w:szCs w:val="32"/>
        </w:rPr>
      </w:pPr>
      <w:r>
        <w:rPr>
          <w:rFonts w:hint="eastAsia" w:eastAsia="仿宋_GB2312"/>
          <w:color w:val="000000"/>
          <w:szCs w:val="32"/>
        </w:rPr>
        <w:t>2.2.9耐腐蚀性；</w:t>
      </w:r>
    </w:p>
    <w:p>
      <w:pPr>
        <w:spacing w:line="520" w:lineRule="exact"/>
        <w:ind w:firstLine="640" w:firstLineChars="200"/>
        <w:rPr>
          <w:rFonts w:eastAsia="仿宋_GB2312"/>
          <w:color w:val="000000"/>
          <w:szCs w:val="32"/>
        </w:rPr>
      </w:pPr>
      <w:r>
        <w:rPr>
          <w:rFonts w:hint="eastAsia" w:eastAsia="仿宋_GB2312"/>
          <w:color w:val="000000"/>
          <w:szCs w:val="32"/>
        </w:rPr>
        <w:t>2.2.10表面粗糙度；</w:t>
      </w:r>
    </w:p>
    <w:p>
      <w:pPr>
        <w:spacing w:line="520" w:lineRule="exact"/>
        <w:ind w:firstLine="640" w:firstLineChars="200"/>
        <w:rPr>
          <w:rFonts w:eastAsia="仿宋_GB2312"/>
          <w:color w:val="000000"/>
          <w:szCs w:val="32"/>
        </w:rPr>
      </w:pPr>
      <w:r>
        <w:rPr>
          <w:rFonts w:hint="eastAsia" w:eastAsia="仿宋_GB2312"/>
          <w:color w:val="000000"/>
          <w:szCs w:val="32"/>
        </w:rPr>
        <w:t>2.2.11无菌；</w:t>
      </w:r>
    </w:p>
    <w:p>
      <w:pPr>
        <w:spacing w:line="520" w:lineRule="exact"/>
        <w:ind w:firstLine="640" w:firstLineChars="200"/>
        <w:rPr>
          <w:rFonts w:eastAsia="仿宋_GB2312"/>
          <w:color w:val="000000"/>
          <w:szCs w:val="32"/>
        </w:rPr>
      </w:pPr>
      <w:r>
        <w:rPr>
          <w:rFonts w:hint="eastAsia" w:eastAsia="仿宋_GB2312"/>
          <w:color w:val="000000"/>
          <w:szCs w:val="32"/>
        </w:rPr>
        <w:t>2.2.12环氧乙烷残留（如适用）；</w:t>
      </w:r>
    </w:p>
    <w:p>
      <w:pPr>
        <w:spacing w:line="520" w:lineRule="exact"/>
        <w:ind w:firstLine="640" w:firstLineChars="200"/>
        <w:rPr>
          <w:rFonts w:hint="eastAsia" w:eastAsia="仿宋_GB2312"/>
          <w:color w:val="000000"/>
          <w:szCs w:val="32"/>
        </w:rPr>
      </w:pPr>
      <w:r>
        <w:rPr>
          <w:rFonts w:hint="eastAsia" w:eastAsia="仿宋_GB2312"/>
          <w:color w:val="000000"/>
          <w:szCs w:val="32"/>
        </w:rPr>
        <w:t>2.2.13细菌内毒素；</w:t>
      </w:r>
    </w:p>
    <w:p>
      <w:pPr>
        <w:spacing w:line="520" w:lineRule="exact"/>
        <w:ind w:firstLine="640" w:firstLineChars="200"/>
        <w:rPr>
          <w:rFonts w:hint="eastAsia" w:eastAsia="仿宋_GB2312"/>
          <w:color w:val="000000"/>
          <w:szCs w:val="32"/>
          <w:lang w:eastAsia="zh-CN"/>
        </w:rPr>
      </w:pPr>
      <w:r>
        <w:rPr>
          <w:rFonts w:hint="eastAsia" w:eastAsia="仿宋_GB2312"/>
          <w:color w:val="000000"/>
          <w:szCs w:val="32"/>
          <w:lang w:val="en-US" w:eastAsia="zh-CN"/>
        </w:rPr>
        <w:t>2.2.14</w:t>
      </w:r>
      <w:r>
        <w:rPr>
          <w:rFonts w:hint="eastAsia" w:eastAsia="仿宋_GB2312"/>
          <w:color w:val="000000"/>
          <w:szCs w:val="32"/>
          <w:lang w:eastAsia="zh-CN"/>
        </w:rPr>
        <w:t>微粒</w:t>
      </w:r>
    </w:p>
    <w:p>
      <w:pPr>
        <w:spacing w:line="520" w:lineRule="exact"/>
        <w:ind w:firstLine="640" w:firstLineChars="200"/>
        <w:rPr>
          <w:rFonts w:eastAsia="仿宋_GB2312"/>
          <w:color w:val="000000"/>
          <w:szCs w:val="32"/>
        </w:rPr>
      </w:pPr>
      <w:r>
        <w:rPr>
          <w:rFonts w:hint="eastAsia" w:eastAsia="仿宋_GB2312"/>
          <w:color w:val="000000"/>
          <w:szCs w:val="32"/>
        </w:rPr>
        <w:t>2.2.1</w:t>
      </w:r>
      <w:r>
        <w:rPr>
          <w:rFonts w:hint="eastAsia" w:eastAsia="仿宋_GB2312"/>
          <w:color w:val="000000"/>
          <w:szCs w:val="32"/>
          <w:lang w:val="en-US" w:eastAsia="zh-CN"/>
        </w:rPr>
        <w:t>5</w:t>
      </w:r>
      <w:r>
        <w:rPr>
          <w:rFonts w:hint="eastAsia" w:eastAsia="仿宋_GB2312"/>
          <w:color w:val="000000"/>
          <w:szCs w:val="32"/>
        </w:rPr>
        <w:t>其他：</w:t>
      </w:r>
      <w:r>
        <w:rPr>
          <w:rFonts w:eastAsia="仿宋_GB2312"/>
          <w:bCs/>
          <w:szCs w:val="32"/>
        </w:rPr>
        <w:t>为了保证器械安全有效而设定的其他性能</w:t>
      </w:r>
      <w:r>
        <w:rPr>
          <w:rFonts w:hint="eastAsia" w:eastAsia="仿宋_GB2312"/>
          <w:color w:val="000000"/>
          <w:szCs w:val="32"/>
        </w:rPr>
        <w:t>。</w:t>
      </w:r>
    </w:p>
    <w:p>
      <w:pPr>
        <w:spacing w:line="520" w:lineRule="exact"/>
        <w:ind w:firstLine="640" w:firstLineChars="200"/>
        <w:rPr>
          <w:rFonts w:eastAsia="仿宋_GB2312"/>
          <w:color w:val="000000"/>
          <w:szCs w:val="32"/>
        </w:rPr>
      </w:pPr>
      <w:r>
        <w:rPr>
          <w:rFonts w:eastAsia="仿宋_GB2312"/>
          <w:color w:val="000000"/>
          <w:szCs w:val="32"/>
        </w:rPr>
        <w:t>2.3检验方法</w:t>
      </w:r>
    </w:p>
    <w:p>
      <w:pPr>
        <w:spacing w:line="520" w:lineRule="exact"/>
        <w:ind w:firstLine="640" w:firstLineChars="200"/>
        <w:rPr>
          <w:rFonts w:eastAsia="仿宋_GB2312"/>
          <w:color w:val="000000"/>
          <w:szCs w:val="32"/>
        </w:rPr>
      </w:pPr>
      <w:r>
        <w:rPr>
          <w:rFonts w:eastAsia="仿宋_GB2312"/>
          <w:color w:val="000000"/>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pPr>
        <w:numPr>
          <w:ilvl w:val="0"/>
          <w:numId w:val="1"/>
        </w:numPr>
        <w:autoSpaceDE w:val="0"/>
        <w:autoSpaceDN w:val="0"/>
        <w:spacing w:line="520" w:lineRule="exact"/>
        <w:ind w:firstLine="0" w:firstLineChars="0"/>
        <w:rPr>
          <w:rFonts w:hint="eastAsia" w:eastAsia="仿宋_GB2312"/>
          <w:spacing w:val="-6"/>
          <w:sz w:val="32"/>
          <w:szCs w:val="32"/>
        </w:rPr>
      </w:pPr>
      <w:r>
        <w:rPr>
          <w:rFonts w:hint="eastAsia" w:eastAsia="仿宋_GB2312"/>
          <w:spacing w:val="-6"/>
          <w:sz w:val="32"/>
          <w:szCs w:val="32"/>
        </w:rPr>
        <w:t>产品检验报告</w:t>
      </w:r>
    </w:p>
    <w:p>
      <w:pPr>
        <w:pStyle w:val="18"/>
        <w:ind w:firstLine="640"/>
        <w:rPr>
          <w:rFonts w:hint="eastAsia" w:eastAsia="仿宋_GB2312"/>
          <w:szCs w:val="20"/>
        </w:rPr>
      </w:pPr>
      <w:r>
        <w:rPr>
          <w:rFonts w:eastAsia="仿宋_GB2312"/>
          <w:bCs/>
          <w:szCs w:val="32"/>
        </w:rPr>
        <w:t>产品检验报告应符合国务院药品监督管理部门的要求，产品检验报</w:t>
      </w:r>
      <w:r>
        <w:rPr>
          <w:rFonts w:hint="eastAsia" w:eastAsia="仿宋_GB2312"/>
          <w:bCs/>
          <w:szCs w:val="32"/>
        </w:rPr>
        <w:t>告</w:t>
      </w:r>
      <w:r>
        <w:rPr>
          <w:rFonts w:eastAsia="仿宋_GB2312"/>
          <w:bCs/>
          <w:szCs w:val="32"/>
        </w:rPr>
        <w:t>可以是医疗器械注册申请人的自检报告，也可以是委托具有医疗器械检验资质的医疗器械检验机构出具的检验报告</w:t>
      </w:r>
      <w:r>
        <w:rPr>
          <w:rFonts w:hint="eastAsia" w:eastAsia="仿宋_GB2312"/>
          <w:szCs w:val="20"/>
        </w:rPr>
        <w:t>。</w:t>
      </w:r>
    </w:p>
    <w:p>
      <w:pPr>
        <w:pStyle w:val="18"/>
        <w:ind w:firstLine="640"/>
        <w:rPr>
          <w:rFonts w:eastAsia="仿宋_GB2312"/>
          <w:kern w:val="0"/>
          <w:szCs w:val="32"/>
        </w:rPr>
      </w:pPr>
      <w:r>
        <w:rPr>
          <w:rFonts w:eastAsia="仿宋_GB2312"/>
          <w:bCs/>
          <w:sz w:val="32"/>
          <w:szCs w:val="32"/>
        </w:rPr>
        <w:t>注册申请人应提供典型性检验样品的选择说明，</w:t>
      </w:r>
      <w:r>
        <w:rPr>
          <w:rFonts w:eastAsia="仿宋_GB2312"/>
          <w:szCs w:val="32"/>
        </w:rPr>
        <w:t>典型产品应是同一注册单元内能够代表本单元内其他产品安全性和有效性的产品。应考虑功能最齐全、结构最复杂、风险最高的产品。如其他产品的主要性能与被检产品不一致，则该产品也应</w:t>
      </w:r>
      <w:r>
        <w:rPr>
          <w:rFonts w:hint="eastAsia" w:eastAsia="仿宋_GB2312"/>
          <w:szCs w:val="32"/>
        </w:rPr>
        <w:t>进行差异性检验</w:t>
      </w:r>
      <w:r>
        <w:rPr>
          <w:rFonts w:eastAsia="仿宋_GB2312"/>
          <w:szCs w:val="32"/>
        </w:rPr>
        <w:t>。</w:t>
      </w:r>
    </w:p>
    <w:p>
      <w:pPr>
        <w:spacing w:line="520" w:lineRule="exact"/>
        <w:ind w:firstLine="640" w:firstLineChars="200"/>
        <w:rPr>
          <w:rFonts w:eastAsia="仿宋_GB2312"/>
          <w:color w:val="000000"/>
          <w:szCs w:val="32"/>
        </w:rPr>
      </w:pPr>
      <w:r>
        <w:rPr>
          <w:rFonts w:eastAsia="仿宋_GB2312"/>
          <w:color w:val="000000"/>
          <w:szCs w:val="32"/>
        </w:rPr>
        <w:t>4.研究资料</w:t>
      </w:r>
    </w:p>
    <w:p>
      <w:pPr>
        <w:spacing w:line="520" w:lineRule="exact"/>
        <w:ind w:firstLine="640" w:firstLineChars="200"/>
        <w:jc w:val="left"/>
        <w:rPr>
          <w:rFonts w:eastAsia="仿宋_GB2312"/>
          <w:color w:val="000000"/>
          <w:szCs w:val="32"/>
        </w:rPr>
      </w:pPr>
      <w:r>
        <w:rPr>
          <w:rFonts w:eastAsia="仿宋_GB2312"/>
          <w:color w:val="000000"/>
          <w:szCs w:val="32"/>
        </w:rPr>
        <w:t>4.1</w:t>
      </w:r>
      <w:r>
        <w:rPr>
          <w:rFonts w:eastAsia="仿宋_GB2312"/>
          <w:szCs w:val="32"/>
        </w:rPr>
        <w:t>化学和物理性能研究</w:t>
      </w:r>
    </w:p>
    <w:p>
      <w:pPr>
        <w:spacing w:line="520" w:lineRule="exact"/>
        <w:ind w:firstLine="640" w:firstLineChars="200"/>
        <w:rPr>
          <w:rFonts w:eastAsia="仿宋_GB2312"/>
          <w:color w:val="000000"/>
          <w:szCs w:val="32"/>
        </w:rPr>
      </w:pPr>
      <w:r>
        <w:rPr>
          <w:rFonts w:eastAsia="仿宋_GB2312"/>
          <w:szCs w:val="32"/>
        </w:rPr>
        <w:t>在开展产品性能研究时，应当提供产品性能研究资料以及产品技术要求的研究和编写说明，应提交</w:t>
      </w:r>
      <w:r>
        <w:rPr>
          <w:rFonts w:hint="eastAsia" w:eastAsia="仿宋_GB2312"/>
          <w:szCs w:val="20"/>
        </w:rPr>
        <w:t>产品技术要求中化学/材料表征、物理和/或机械性能指标的确定依据、设计输入来源以及临床意义，</w:t>
      </w:r>
      <w:r>
        <w:rPr>
          <w:rFonts w:eastAsia="仿宋_GB2312"/>
          <w:szCs w:val="32"/>
        </w:rPr>
        <w:t>所采用的标准或方法、采用的原因及理论基础</w:t>
      </w:r>
      <w:r>
        <w:rPr>
          <w:rFonts w:eastAsia="仿宋_GB2312"/>
          <w:color w:val="000000"/>
          <w:szCs w:val="32"/>
        </w:rPr>
        <w:t>。</w:t>
      </w:r>
    </w:p>
    <w:p>
      <w:pPr>
        <w:spacing w:line="520" w:lineRule="exact"/>
        <w:ind w:firstLine="640" w:firstLineChars="200"/>
        <w:rPr>
          <w:rFonts w:eastAsia="仿宋_GB2312"/>
          <w:color w:val="000000"/>
          <w:szCs w:val="32"/>
        </w:rPr>
      </w:pPr>
      <w:r>
        <w:rPr>
          <w:rFonts w:eastAsia="仿宋_GB2312"/>
          <w:color w:val="000000"/>
          <w:szCs w:val="32"/>
        </w:rPr>
        <w:t>4.2生物学特性研究</w:t>
      </w:r>
    </w:p>
    <w:p>
      <w:pPr>
        <w:spacing w:line="520" w:lineRule="exact"/>
        <w:ind w:firstLine="640" w:firstLineChars="200"/>
        <w:rPr>
          <w:rFonts w:eastAsia="仿宋_GB2312"/>
          <w:color w:val="000000"/>
          <w:szCs w:val="32"/>
        </w:rPr>
      </w:pPr>
      <w:r>
        <w:rPr>
          <w:rFonts w:hint="eastAsia" w:eastAsia="仿宋_GB2312"/>
          <w:szCs w:val="32"/>
        </w:rPr>
        <w:t>应对成品中与患者直接或间接接触的材料进行生物学评价。应根据GB/T 16886.1《医疗器械生物学评价 第1部分：风险管理过程中的评价与试验》，确定生物学评价终点，对产品满足生物学要求进行评价，应包括：产品所用材料及与人体接触性质，设计和生产过程中可能引入/产生的污染物、残留物、析出物（包括滤沥物和/或蒸发物）、产品的物理和/或化学信息（考虑材料表征）、生物学评价的策略、依据和方法、已有数据和结果的评价、选择或豁免生物学试验的理由和论证、完成生物学评价所需的其他数据。</w:t>
      </w:r>
      <w:r>
        <w:rPr>
          <w:rFonts w:eastAsia="仿宋_GB2312"/>
          <w:color w:val="000000"/>
          <w:szCs w:val="32"/>
        </w:rPr>
        <w:t>生物学评价终点通常可能包括</w:t>
      </w:r>
      <w:r>
        <w:rPr>
          <w:rFonts w:eastAsia="仿宋_GB2312"/>
          <w:color w:val="000000"/>
          <w:szCs w:val="32"/>
          <w:highlight w:val="yellow"/>
        </w:rPr>
        <w:t>细胞毒性、致敏反应、刺激或皮内反应、材料介导的致热性、急性全身毒性、</w:t>
      </w:r>
      <w:r>
        <w:rPr>
          <w:rFonts w:hint="eastAsia" w:eastAsia="仿宋_GB2312"/>
          <w:color w:val="000000"/>
          <w:szCs w:val="32"/>
          <w:highlight w:val="yellow"/>
        </w:rPr>
        <w:t>血液相容性</w:t>
      </w:r>
      <w:r>
        <w:rPr>
          <w:rFonts w:eastAsia="仿宋_GB2312"/>
          <w:color w:val="000000"/>
          <w:szCs w:val="32"/>
          <w:highlight w:val="yellow"/>
        </w:rPr>
        <w:t>。</w:t>
      </w:r>
    </w:p>
    <w:p>
      <w:pPr>
        <w:spacing w:line="520" w:lineRule="exact"/>
        <w:ind w:firstLine="640" w:firstLineChars="200"/>
        <w:rPr>
          <w:rFonts w:eastAsia="仿宋_GB2312"/>
          <w:color w:val="000000"/>
          <w:szCs w:val="32"/>
        </w:rPr>
      </w:pPr>
      <w:r>
        <w:rPr>
          <w:rFonts w:eastAsia="仿宋_GB2312"/>
          <w:color w:val="000000"/>
          <w:szCs w:val="32"/>
        </w:rPr>
        <w:t>4.</w:t>
      </w:r>
      <w:r>
        <w:rPr>
          <w:rFonts w:hint="eastAsia" w:eastAsia="仿宋_GB2312"/>
          <w:color w:val="000000"/>
          <w:szCs w:val="32"/>
          <w:lang w:val="en-US" w:eastAsia="zh-CN"/>
        </w:rPr>
        <w:t>3</w:t>
      </w:r>
      <w:r>
        <w:rPr>
          <w:rFonts w:eastAsia="仿宋_GB2312"/>
          <w:color w:val="000000"/>
          <w:szCs w:val="32"/>
        </w:rPr>
        <w:t>清洁、灭菌研究</w:t>
      </w:r>
    </w:p>
    <w:p>
      <w:pPr>
        <w:spacing w:line="520" w:lineRule="exact"/>
        <w:ind w:firstLine="640" w:firstLineChars="200"/>
        <w:rPr>
          <w:rFonts w:eastAsia="仿宋_GB2312"/>
          <w:color w:val="000000"/>
          <w:szCs w:val="32"/>
        </w:rPr>
      </w:pPr>
      <w:r>
        <w:rPr>
          <w:rFonts w:eastAsia="仿宋_GB2312"/>
          <w:color w:val="000000"/>
          <w:szCs w:val="32"/>
        </w:rPr>
        <w:t>描述用于保证产品无菌的质量保证体系，明确灭菌工艺（方法和参数）和无菌保证水平（SAL）。</w:t>
      </w:r>
      <w:r>
        <w:rPr>
          <w:rFonts w:hint="eastAsia" w:eastAsia="仿宋_GB2312"/>
          <w:color w:val="000000"/>
          <w:szCs w:val="32"/>
        </w:rPr>
        <w:t>穿刺针产品</w:t>
      </w:r>
      <w:r>
        <w:rPr>
          <w:rFonts w:eastAsia="仿宋_GB2312"/>
          <w:color w:val="000000"/>
          <w:szCs w:val="32"/>
        </w:rPr>
        <w:t>的无菌保证水平（SAL）需达到10</w:t>
      </w:r>
      <w:r>
        <w:rPr>
          <w:rFonts w:eastAsia="仿宋_GB2312"/>
          <w:color w:val="000000"/>
          <w:szCs w:val="32"/>
          <w:vertAlign w:val="superscript"/>
        </w:rPr>
        <w:t>-6</w:t>
      </w:r>
      <w:r>
        <w:rPr>
          <w:rFonts w:eastAsia="仿宋_GB2312"/>
          <w:color w:val="000000"/>
          <w:szCs w:val="32"/>
        </w:rPr>
        <w:t>。</w:t>
      </w:r>
    </w:p>
    <w:p>
      <w:pPr>
        <w:spacing w:line="520" w:lineRule="exact"/>
        <w:ind w:firstLine="640" w:firstLineChars="200"/>
        <w:rPr>
          <w:rFonts w:eastAsia="仿宋_GB2312"/>
          <w:color w:val="000000"/>
          <w:szCs w:val="32"/>
        </w:rPr>
      </w:pPr>
      <w:r>
        <w:rPr>
          <w:rFonts w:eastAsia="仿宋_GB2312"/>
          <w:color w:val="000000"/>
          <w:szCs w:val="32"/>
        </w:rPr>
        <w:t>对于灭菌包装交付产品，需提供灭菌工艺验证报告。对于经辐照灭菌的产品，需明确射线种类、辐照剂量及相关的验证报告</w:t>
      </w:r>
      <w:r>
        <w:rPr>
          <w:rFonts w:hint="eastAsia" w:eastAsia="仿宋_GB2312"/>
          <w:color w:val="000000"/>
          <w:szCs w:val="32"/>
        </w:rPr>
        <w:t>，</w:t>
      </w:r>
      <w:r>
        <w:rPr>
          <w:rFonts w:eastAsia="仿宋_GB2312"/>
          <w:color w:val="000000"/>
          <w:szCs w:val="32"/>
        </w:rPr>
        <w:t>其中具体的剂量确定依据可参照GB 18280系列标准。对于经环氧乙烷灭菌的产品，需提供灭菌结果确认和过程控制报告</w:t>
      </w:r>
      <w:r>
        <w:rPr>
          <w:rFonts w:hint="eastAsia" w:eastAsia="仿宋_GB2312"/>
          <w:color w:val="000000"/>
          <w:szCs w:val="32"/>
        </w:rPr>
        <w:t>，</w:t>
      </w:r>
      <w:r>
        <w:rPr>
          <w:rFonts w:eastAsia="仿宋_GB2312"/>
          <w:color w:val="000000"/>
          <w:szCs w:val="32"/>
        </w:rPr>
        <w:t>具体可参照GB 18279。</w:t>
      </w:r>
    </w:p>
    <w:p>
      <w:pPr>
        <w:spacing w:line="520" w:lineRule="exact"/>
        <w:ind w:firstLine="640" w:firstLineChars="200"/>
        <w:rPr>
          <w:rFonts w:eastAsia="仿宋_GB2312"/>
          <w:color w:val="000000"/>
          <w:szCs w:val="32"/>
        </w:rPr>
      </w:pPr>
      <w:r>
        <w:rPr>
          <w:rFonts w:eastAsia="仿宋_GB2312"/>
          <w:color w:val="000000"/>
          <w:szCs w:val="32"/>
        </w:rPr>
        <w:t>需评价灭菌方法（包括不同辐照源）对于产品性能的影响，并提供验证性能的确定依据、验证方案及报告以及接受指标的确定依据。</w:t>
      </w:r>
    </w:p>
    <w:p>
      <w:pPr>
        <w:spacing w:line="520" w:lineRule="exact"/>
        <w:ind w:firstLine="640" w:firstLineChars="200"/>
        <w:rPr>
          <w:rFonts w:eastAsia="仿宋_GB2312"/>
          <w:color w:val="000000"/>
          <w:szCs w:val="32"/>
        </w:rPr>
      </w:pPr>
      <w:r>
        <w:rPr>
          <w:rFonts w:eastAsia="仿宋_GB2312"/>
          <w:color w:val="000000"/>
          <w:szCs w:val="32"/>
        </w:rPr>
        <w:t>若使用的灭菌方法涉及残留物，需明确残留物信息、控制指标及应采取的具体处理方法和条件，论述可接受性并提供研究资料。</w:t>
      </w:r>
    </w:p>
    <w:p>
      <w:pPr>
        <w:pStyle w:val="18"/>
        <w:ind w:firstLine="640"/>
        <w:rPr>
          <w:rFonts w:eastAsia="仿宋_GB2312"/>
        </w:rPr>
      </w:pPr>
      <w:r>
        <w:rPr>
          <w:rFonts w:hint="eastAsia" w:eastAsia="仿宋_GB2312"/>
        </w:rPr>
        <w:t>4.</w:t>
      </w:r>
      <w:r>
        <w:rPr>
          <w:rFonts w:hint="eastAsia" w:eastAsia="仿宋_GB2312"/>
          <w:lang w:val="en-US" w:eastAsia="zh-CN"/>
        </w:rPr>
        <w:t>4</w:t>
      </w:r>
      <w:r>
        <w:rPr>
          <w:rFonts w:hint="eastAsia" w:eastAsia="仿宋_GB2312"/>
        </w:rPr>
        <w:t xml:space="preserve"> </w:t>
      </w:r>
      <w:r>
        <w:rPr>
          <w:rFonts w:hint="eastAsia" w:eastAsia="仿宋_GB2312" w:cs="宋体"/>
          <w:bCs/>
          <w:kern w:val="0"/>
          <w:szCs w:val="24"/>
        </w:rPr>
        <w:t>可用性工程研究</w:t>
      </w:r>
    </w:p>
    <w:p>
      <w:pPr>
        <w:pStyle w:val="18"/>
        <w:ind w:firstLine="640"/>
        <w:rPr>
          <w:rFonts w:eastAsia="仿宋_GB2312"/>
          <w:color w:val="000000"/>
          <w:szCs w:val="32"/>
        </w:rPr>
      </w:pPr>
      <w:r>
        <w:rPr>
          <w:rFonts w:hint="eastAsia" w:eastAsia="仿宋_GB2312"/>
          <w:szCs w:val="32"/>
        </w:rPr>
        <w:t>应参照《医疗器械可用性工程注册审查指导原则》提供相应资料。</w:t>
      </w:r>
    </w:p>
    <w:p>
      <w:pPr>
        <w:spacing w:line="520" w:lineRule="exact"/>
        <w:ind w:firstLine="640" w:firstLineChars="200"/>
        <w:rPr>
          <w:rFonts w:eastAsia="仿宋_GB2312"/>
          <w:color w:val="000000"/>
          <w:szCs w:val="32"/>
        </w:rPr>
      </w:pPr>
      <w:r>
        <w:rPr>
          <w:rFonts w:eastAsia="仿宋_GB2312"/>
          <w:color w:val="000000"/>
          <w:szCs w:val="32"/>
        </w:rPr>
        <w:t>4.</w:t>
      </w:r>
      <w:r>
        <w:rPr>
          <w:rFonts w:hint="eastAsia" w:eastAsia="仿宋_GB2312"/>
          <w:color w:val="000000"/>
          <w:szCs w:val="32"/>
          <w:lang w:val="en-US" w:eastAsia="zh-CN"/>
        </w:rPr>
        <w:t>5</w:t>
      </w:r>
      <w:r>
        <w:rPr>
          <w:rFonts w:eastAsia="仿宋_GB2312"/>
          <w:color w:val="000000"/>
          <w:szCs w:val="32"/>
        </w:rPr>
        <w:t>稳定性研究</w:t>
      </w:r>
    </w:p>
    <w:p>
      <w:pPr>
        <w:spacing w:line="520" w:lineRule="exact"/>
        <w:ind w:firstLine="640" w:firstLineChars="200"/>
        <w:rPr>
          <w:rFonts w:eastAsia="仿宋_GB2312"/>
          <w:color w:val="000000"/>
          <w:szCs w:val="32"/>
        </w:rPr>
      </w:pPr>
      <w:r>
        <w:rPr>
          <w:rFonts w:eastAsia="仿宋_GB2312"/>
          <w:color w:val="000000"/>
          <w:szCs w:val="32"/>
        </w:rPr>
        <w:t>4.</w:t>
      </w:r>
      <w:r>
        <w:rPr>
          <w:rFonts w:hint="eastAsia" w:eastAsia="仿宋_GB2312"/>
          <w:color w:val="000000"/>
          <w:szCs w:val="32"/>
          <w:lang w:val="en-US" w:eastAsia="zh-CN"/>
        </w:rPr>
        <w:t>5</w:t>
      </w:r>
      <w:r>
        <w:rPr>
          <w:rFonts w:eastAsia="仿宋_GB2312"/>
          <w:color w:val="000000"/>
          <w:szCs w:val="32"/>
        </w:rPr>
        <w:t>.1货架有效期</w:t>
      </w:r>
    </w:p>
    <w:p>
      <w:pPr>
        <w:spacing w:line="520" w:lineRule="exact"/>
        <w:ind w:firstLine="640" w:firstLineChars="200"/>
        <w:rPr>
          <w:rFonts w:eastAsia="仿宋_GB2312"/>
          <w:color w:val="000000"/>
          <w:szCs w:val="32"/>
        </w:rPr>
      </w:pPr>
      <w:r>
        <w:rPr>
          <w:rFonts w:hint="eastAsia" w:eastAsia="仿宋_GB2312"/>
          <w:color w:val="000000"/>
          <w:szCs w:val="32"/>
        </w:rPr>
        <w:t>货架有效期验证试验通常可分为加速稳定性试验和实时稳定性试验两类。加速稳定性试验方案设计可参考YY/T 0681.1《无菌医疗器械包装试验方法第1部分：加速老化试验指南》标准进行，其中“室温或环境温度（TRT）”应选择能代表实际产品储存和使用条件的温度，建议注册申请人采用保守值设计。在进行实时老化试验设计时，注册申请人应根据产品的实际运输和储存条件确定适当的温度、湿度、光照等条件。</w:t>
      </w:r>
    </w:p>
    <w:p>
      <w:pPr>
        <w:spacing w:line="520" w:lineRule="exact"/>
        <w:ind w:firstLine="640" w:firstLineChars="200"/>
        <w:rPr>
          <w:rFonts w:eastAsia="仿宋_GB2312"/>
          <w:color w:val="000000"/>
          <w:szCs w:val="32"/>
        </w:rPr>
      </w:pPr>
      <w:r>
        <w:rPr>
          <w:rFonts w:hint="eastAsia" w:eastAsia="仿宋_GB2312"/>
          <w:color w:val="000000"/>
          <w:szCs w:val="32"/>
        </w:rPr>
        <w:t>加速稳定性试验确定的有效期必须通过产品正常储存和使用条件下的实时试验结果进一步验证。如果注册时提交的是加速稳定性验证资料，注册申请人需继续进行实时稳定性试验。当加速稳定性试验结果与其不一致时，以实时稳定性试验结果为准。</w:t>
      </w:r>
    </w:p>
    <w:p>
      <w:pPr>
        <w:spacing w:line="520" w:lineRule="exact"/>
        <w:ind w:firstLine="640" w:firstLineChars="200"/>
        <w:rPr>
          <w:rFonts w:eastAsia="仿宋_GB2312"/>
          <w:color w:val="000000"/>
          <w:szCs w:val="32"/>
        </w:rPr>
      </w:pPr>
      <w:r>
        <w:rPr>
          <w:rFonts w:hint="eastAsia" w:eastAsia="仿宋_GB2312"/>
          <w:color w:val="000000"/>
          <w:szCs w:val="32"/>
        </w:rPr>
        <w:t>货架有效期验证试验需采用与常规生产相同的产品进行。验证项目包括产品自身性能验证和包装系统性能验证两方面。前者需选择与医疗器械产品有效期密切相关的物理、化学检测项目，涉及产品生物相容性可能发生改变的医疗器械，需进行生物学评价。后者包括包装完整性、包装强度和微生物屏障性能等验证项目。其中，包装完整性验证项目可包括在设定的时间间隔点目力检测产品包装（是否污染、破损等）及标签（完整性、粘附牢固度、印刷内容清晰度等）、泄漏试验等；包装强度测试项目包括软性屏障材料密封强度试验、无约束包装抗内压破坏试验和模拟运输试验等</w:t>
      </w:r>
      <w:r>
        <w:rPr>
          <w:rFonts w:eastAsia="仿宋_GB2312"/>
          <w:color w:val="000000"/>
          <w:szCs w:val="32"/>
        </w:rPr>
        <w:t>。</w:t>
      </w:r>
    </w:p>
    <w:p>
      <w:pPr>
        <w:spacing w:line="520" w:lineRule="exact"/>
        <w:ind w:firstLine="640" w:firstLineChars="200"/>
        <w:rPr>
          <w:rFonts w:eastAsia="仿宋_GB2312"/>
          <w:color w:val="000000"/>
          <w:szCs w:val="32"/>
        </w:rPr>
      </w:pPr>
      <w:r>
        <w:rPr>
          <w:rFonts w:eastAsia="仿宋_GB2312"/>
          <w:color w:val="000000"/>
          <w:szCs w:val="32"/>
        </w:rPr>
        <w:t>4.</w:t>
      </w:r>
      <w:r>
        <w:rPr>
          <w:rFonts w:hint="eastAsia" w:eastAsia="仿宋_GB2312"/>
          <w:color w:val="000000"/>
          <w:szCs w:val="32"/>
          <w:lang w:val="en-US" w:eastAsia="zh-CN"/>
        </w:rPr>
        <w:t>5</w:t>
      </w:r>
      <w:r>
        <w:rPr>
          <w:rFonts w:eastAsia="仿宋_GB2312"/>
          <w:color w:val="000000"/>
          <w:szCs w:val="32"/>
        </w:rPr>
        <w:t>.2运输稳定性</w:t>
      </w:r>
    </w:p>
    <w:p>
      <w:pPr>
        <w:spacing w:line="520" w:lineRule="exact"/>
        <w:ind w:firstLine="640" w:firstLineChars="200"/>
        <w:rPr>
          <w:rFonts w:eastAsia="仿宋_GB2312"/>
          <w:color w:val="000000"/>
          <w:szCs w:val="32"/>
        </w:rPr>
      </w:pPr>
      <w:r>
        <w:rPr>
          <w:rFonts w:eastAsia="仿宋_GB2312"/>
          <w:color w:val="000000"/>
          <w:szCs w:val="32"/>
        </w:rPr>
        <w:t>注册申请人需提交运输稳定性验证资料，证明在规定的运输条件下，运输过程中环境条件（例如：震动、振动、温度和湿度的波动）不会对医疗器械的特性和性能，包括完整性和清洁度，造成不利影响。</w:t>
      </w:r>
    </w:p>
    <w:p>
      <w:pPr>
        <w:spacing w:line="520" w:lineRule="exact"/>
        <w:ind w:firstLine="640" w:firstLineChars="200"/>
        <w:rPr>
          <w:rFonts w:eastAsia="仿宋_GB2312"/>
          <w:color w:val="000000"/>
          <w:szCs w:val="32"/>
        </w:rPr>
      </w:pPr>
      <w:r>
        <w:rPr>
          <w:rFonts w:hint="eastAsia" w:eastAsia="仿宋_GB2312"/>
          <w:color w:val="000000"/>
          <w:szCs w:val="32"/>
        </w:rPr>
        <w:t>4.</w:t>
      </w:r>
      <w:r>
        <w:rPr>
          <w:rFonts w:hint="eastAsia" w:eastAsia="仿宋_GB2312"/>
          <w:color w:val="000000"/>
          <w:szCs w:val="32"/>
          <w:lang w:val="en-US" w:eastAsia="zh-CN"/>
        </w:rPr>
        <w:t>6</w:t>
      </w:r>
      <w:r>
        <w:rPr>
          <w:rFonts w:hint="eastAsia" w:eastAsia="仿宋_GB2312"/>
          <w:color w:val="000000"/>
          <w:szCs w:val="32"/>
        </w:rPr>
        <w:t>其他资料</w:t>
      </w:r>
    </w:p>
    <w:p>
      <w:pPr>
        <w:spacing w:line="520" w:lineRule="exact"/>
        <w:ind w:firstLine="640" w:firstLineChars="200"/>
        <w:rPr>
          <w:rFonts w:eastAsia="仿宋_GB2312"/>
          <w:szCs w:val="32"/>
        </w:rPr>
      </w:pPr>
      <w:r>
        <w:rPr>
          <w:rFonts w:hint="eastAsia" w:eastAsia="仿宋_GB2312" w:cs="仿宋_GB2312"/>
          <w:snapToGrid w:val="0"/>
          <w:szCs w:val="32"/>
        </w:rPr>
        <w:t>该产品已列入《免于进行临床评价医疗器械目录》（以下简称《目录》），对于符合《目录》中分类编码为03-13-12的，注册申请人需提交申报产品相关信息与《目录》所述内容的对比资料，和申报产品与已获准境内注册的《目录》中医疗器械的对比表，</w:t>
      </w:r>
      <w:r>
        <w:rPr>
          <w:rFonts w:eastAsia="仿宋_GB2312"/>
          <w:szCs w:val="32"/>
        </w:rPr>
        <w:t>从基本原理、结构组成、性能、安全性、适用范围等方面，证明产品的安全有效性。申报产品与对比产品存在差异的，还应提交差异部分对安全有效性影响的分析研究资料</w:t>
      </w:r>
      <w:r>
        <w:rPr>
          <w:rFonts w:hint="eastAsia" w:eastAsia="仿宋_GB2312"/>
          <w:szCs w:val="32"/>
        </w:rPr>
        <w:t>。</w:t>
      </w:r>
      <w:r>
        <w:rPr>
          <w:rFonts w:hint="eastAsia" w:eastAsia="仿宋_GB2312" w:cs="仿宋_GB2312"/>
          <w:snapToGrid w:val="0"/>
          <w:szCs w:val="32"/>
        </w:rPr>
        <w:t>具体提交资料的要求可参照《列入免于进行临床评价医疗器械目录产品对比说明技术指导原则》。</w:t>
      </w:r>
    </w:p>
    <w:p>
      <w:pPr>
        <w:spacing w:line="520" w:lineRule="exact"/>
        <w:ind w:firstLine="640" w:firstLineChars="200"/>
        <w:rPr>
          <w:rFonts w:eastAsia="楷体_GB2312"/>
          <w:color w:val="000000"/>
          <w:szCs w:val="32"/>
        </w:rPr>
      </w:pPr>
      <w:r>
        <w:rPr>
          <w:rFonts w:eastAsia="楷体_GB2312"/>
          <w:color w:val="000000"/>
          <w:szCs w:val="32"/>
        </w:rPr>
        <w:t>（四）临床评价资料</w:t>
      </w:r>
    </w:p>
    <w:p>
      <w:pPr>
        <w:spacing w:line="520" w:lineRule="exact"/>
        <w:ind w:firstLine="640" w:firstLineChars="200"/>
        <w:rPr>
          <w:rFonts w:eastAsia="仿宋_GB2312"/>
          <w:szCs w:val="32"/>
        </w:rPr>
      </w:pPr>
      <w:r>
        <w:rPr>
          <w:rFonts w:hint="eastAsia" w:eastAsia="仿宋_GB2312"/>
          <w:szCs w:val="32"/>
        </w:rPr>
        <w:t>该产品列入《免于进行临床评价医疗器械目录》，申请人无需提交临床评价资料。若无法证明申报产品与《目录》产品具有等同性，则应按照《医疗器械临床评价技术指导原则》提交临床评价资料</w:t>
      </w:r>
      <w:r>
        <w:rPr>
          <w:rFonts w:eastAsia="仿宋_GB2312"/>
          <w:szCs w:val="32"/>
        </w:rPr>
        <w:t>。</w:t>
      </w:r>
    </w:p>
    <w:p>
      <w:pPr>
        <w:spacing w:line="520" w:lineRule="exact"/>
        <w:ind w:firstLine="640" w:firstLineChars="200"/>
        <w:rPr>
          <w:rFonts w:eastAsia="楷体_GB2312"/>
          <w:color w:val="000000"/>
          <w:szCs w:val="32"/>
        </w:rPr>
      </w:pPr>
      <w:r>
        <w:rPr>
          <w:rFonts w:eastAsia="楷体_GB2312"/>
          <w:color w:val="000000"/>
          <w:szCs w:val="32"/>
        </w:rPr>
        <w:t>（五）产品说明书和标签样稿</w:t>
      </w:r>
    </w:p>
    <w:p>
      <w:pPr>
        <w:spacing w:line="520" w:lineRule="exact"/>
        <w:ind w:firstLine="640" w:firstLineChars="200"/>
        <w:rPr>
          <w:rFonts w:eastAsia="仿宋_GB2312"/>
          <w:szCs w:val="32"/>
        </w:rPr>
      </w:pPr>
      <w:r>
        <w:rPr>
          <w:rFonts w:hint="eastAsia" w:eastAsia="仿宋_GB2312"/>
          <w:szCs w:val="20"/>
        </w:rPr>
        <w:t>产品说明书、标签应符合《医疗器械说明书和标签管理规定》、产品适用标准的相关要求。产品说明书和标签的内容应当科学、真实、完整、准确，并与产品特性一致。说明书应重点关注以</w:t>
      </w:r>
      <w:r>
        <w:rPr>
          <w:rFonts w:eastAsia="仿宋_GB2312"/>
          <w:spacing w:val="2"/>
          <w:szCs w:val="28"/>
        </w:rPr>
        <w:t>下内容</w:t>
      </w:r>
      <w:r>
        <w:rPr>
          <w:rFonts w:eastAsia="仿宋"/>
          <w:szCs w:val="32"/>
        </w:rPr>
        <w:t>：</w:t>
      </w:r>
    </w:p>
    <w:p>
      <w:pPr>
        <w:pStyle w:val="18"/>
        <w:ind w:firstLine="640"/>
        <w:rPr>
          <w:rFonts w:eastAsia="仿宋_GB2312"/>
          <w:szCs w:val="32"/>
        </w:rPr>
      </w:pPr>
      <w:r>
        <w:rPr>
          <w:rFonts w:hint="eastAsia" w:eastAsia="仿宋_GB2312"/>
          <w:szCs w:val="32"/>
        </w:rPr>
        <w:t>1.</w:t>
      </w:r>
      <w:r>
        <w:rPr>
          <w:rFonts w:eastAsia="仿宋_GB2312"/>
          <w:szCs w:val="32"/>
        </w:rPr>
        <w:t>产品性能、主要结构组成</w:t>
      </w:r>
      <w:r>
        <w:rPr>
          <w:rFonts w:hint="eastAsia" w:eastAsia="仿宋_GB2312"/>
          <w:szCs w:val="32"/>
        </w:rPr>
        <w:t>和材料/</w:t>
      </w:r>
      <w:r>
        <w:rPr>
          <w:rFonts w:eastAsia="仿宋_GB2312"/>
          <w:szCs w:val="32"/>
        </w:rPr>
        <w:t>成分、适用范围；</w:t>
      </w:r>
    </w:p>
    <w:p>
      <w:pPr>
        <w:pStyle w:val="18"/>
        <w:ind w:firstLine="640"/>
        <w:rPr>
          <w:rFonts w:eastAsia="仿宋_GB2312"/>
          <w:szCs w:val="32"/>
        </w:rPr>
      </w:pPr>
      <w:r>
        <w:rPr>
          <w:rFonts w:hint="eastAsia" w:eastAsia="仿宋_GB2312"/>
          <w:szCs w:val="32"/>
        </w:rPr>
        <w:t>2.</w:t>
      </w:r>
      <w:r>
        <w:rPr>
          <w:rFonts w:eastAsia="仿宋_GB2312"/>
          <w:szCs w:val="32"/>
        </w:rPr>
        <w:t>使用说明或者图示；</w:t>
      </w:r>
    </w:p>
    <w:p>
      <w:pPr>
        <w:pStyle w:val="18"/>
        <w:ind w:firstLine="640"/>
        <w:rPr>
          <w:rFonts w:eastAsia="仿宋_GB2312"/>
          <w:szCs w:val="32"/>
        </w:rPr>
      </w:pPr>
      <w:r>
        <w:rPr>
          <w:rFonts w:hint="eastAsia" w:eastAsia="仿宋_GB2312"/>
          <w:szCs w:val="32"/>
        </w:rPr>
        <w:t>3.</w:t>
      </w:r>
      <w:r>
        <w:rPr>
          <w:rFonts w:eastAsia="仿宋_GB2312"/>
          <w:szCs w:val="32"/>
        </w:rPr>
        <w:t>注意事项、警示以及提示的内容；</w:t>
      </w:r>
    </w:p>
    <w:p>
      <w:pPr>
        <w:pStyle w:val="18"/>
        <w:ind w:firstLine="640"/>
        <w:rPr>
          <w:rFonts w:eastAsia="仿宋_GB2312"/>
          <w:szCs w:val="32"/>
        </w:rPr>
      </w:pPr>
      <w:r>
        <w:rPr>
          <w:rFonts w:hint="eastAsia" w:eastAsia="仿宋_GB2312"/>
          <w:szCs w:val="32"/>
        </w:rPr>
        <w:t>4.</w:t>
      </w:r>
      <w:r>
        <w:rPr>
          <w:rFonts w:eastAsia="仿宋_GB2312"/>
          <w:szCs w:val="32"/>
        </w:rPr>
        <w:t>产品特殊储存、运输条件、方法；</w:t>
      </w:r>
    </w:p>
    <w:p>
      <w:pPr>
        <w:pStyle w:val="18"/>
        <w:ind w:firstLine="640"/>
        <w:rPr>
          <w:rFonts w:eastAsia="仿宋_GB2312"/>
          <w:szCs w:val="32"/>
          <w:highlight w:val="yellow"/>
        </w:rPr>
      </w:pPr>
      <w:r>
        <w:rPr>
          <w:rFonts w:hint="eastAsia" w:eastAsia="仿宋_GB2312"/>
          <w:szCs w:val="32"/>
        </w:rPr>
        <w:t>5.</w:t>
      </w:r>
      <w:r>
        <w:rPr>
          <w:rFonts w:eastAsia="仿宋_GB2312"/>
          <w:szCs w:val="32"/>
        </w:rPr>
        <w:t>生产日期，使用期限或者失效日期；</w:t>
      </w:r>
    </w:p>
    <w:p>
      <w:pPr>
        <w:pStyle w:val="18"/>
        <w:ind w:firstLine="640"/>
        <w:rPr>
          <w:rFonts w:eastAsia="仿宋_GB2312"/>
          <w:szCs w:val="32"/>
        </w:rPr>
      </w:pPr>
      <w:r>
        <w:rPr>
          <w:rFonts w:hint="eastAsia" w:eastAsia="仿宋_GB2312"/>
          <w:szCs w:val="32"/>
        </w:rPr>
        <w:t>6.</w:t>
      </w:r>
      <w:r>
        <w:rPr>
          <w:rFonts w:eastAsia="仿宋_GB2312"/>
          <w:bCs/>
          <w:szCs w:val="32"/>
        </w:rPr>
        <w:t>本产品应当注明“一次性使用”字样或符号，禁止重复使用，不得多人共用；本产品应当注明操作者应为具有相关资质的专业人员</w:t>
      </w:r>
      <w:r>
        <w:rPr>
          <w:rFonts w:eastAsia="仿宋_GB2312"/>
          <w:szCs w:val="32"/>
        </w:rPr>
        <w:t>；</w:t>
      </w:r>
    </w:p>
    <w:p>
      <w:pPr>
        <w:pStyle w:val="18"/>
        <w:ind w:firstLine="640"/>
        <w:rPr>
          <w:rFonts w:eastAsia="仿宋_GB2312"/>
          <w:szCs w:val="32"/>
        </w:rPr>
      </w:pPr>
      <w:r>
        <w:rPr>
          <w:rFonts w:hint="eastAsia" w:eastAsia="仿宋_GB2312"/>
          <w:szCs w:val="32"/>
        </w:rPr>
        <w:t>7.</w:t>
      </w:r>
      <w:r>
        <w:rPr>
          <w:rFonts w:eastAsia="仿宋_GB2312"/>
          <w:szCs w:val="32"/>
        </w:rPr>
        <w:t>医疗器械标签所用的图形、符号、缩写等内容的解释；</w:t>
      </w:r>
    </w:p>
    <w:p>
      <w:pPr>
        <w:pStyle w:val="18"/>
        <w:ind w:firstLine="640"/>
        <w:rPr>
          <w:rFonts w:eastAsia="仿宋_GB2312"/>
          <w:szCs w:val="32"/>
        </w:rPr>
      </w:pPr>
      <w:r>
        <w:rPr>
          <w:rFonts w:hint="eastAsia" w:eastAsia="仿宋_GB2312"/>
          <w:szCs w:val="32"/>
        </w:rPr>
        <w:t>8.</w:t>
      </w:r>
      <w:r>
        <w:rPr>
          <w:rFonts w:eastAsia="仿宋_GB2312"/>
          <w:bCs/>
          <w:szCs w:val="32"/>
        </w:rPr>
        <w:t>已灭菌产品应当注明灭菌方式、灭菌包装损坏后的处理方法、“无菌”、“无菌失效年月”、“灭菌日期及灭菌批号”等字样或者符号</w:t>
      </w:r>
      <w:r>
        <w:rPr>
          <w:rFonts w:hint="eastAsia" w:eastAsia="仿宋_GB2312"/>
          <w:szCs w:val="32"/>
        </w:rPr>
        <w:t>；</w:t>
      </w:r>
    </w:p>
    <w:p>
      <w:pPr>
        <w:spacing w:line="520" w:lineRule="exact"/>
        <w:ind w:firstLine="640" w:firstLineChars="200"/>
        <w:rPr>
          <w:rFonts w:eastAsia="仿宋_GB2312"/>
          <w:color w:val="000000"/>
          <w:szCs w:val="32"/>
        </w:rPr>
      </w:pPr>
      <w:r>
        <w:rPr>
          <w:rFonts w:hint="eastAsia" w:eastAsia="仿宋_GB2312"/>
          <w:szCs w:val="32"/>
        </w:rPr>
        <w:t>9.</w:t>
      </w:r>
      <w:r>
        <w:rPr>
          <w:rFonts w:eastAsia="仿宋_GB2312"/>
          <w:color w:val="000000"/>
          <w:szCs w:val="32"/>
        </w:rPr>
        <w:t>使用前检查包装是否完好，如有破损，严禁使用</w:t>
      </w:r>
      <w:r>
        <w:rPr>
          <w:rFonts w:hint="eastAsia" w:eastAsia="仿宋_GB2312"/>
          <w:color w:val="000000"/>
          <w:szCs w:val="32"/>
        </w:rPr>
        <w:t>；</w:t>
      </w:r>
    </w:p>
    <w:p>
      <w:pPr>
        <w:spacing w:line="520" w:lineRule="exact"/>
        <w:ind w:firstLine="640" w:firstLineChars="200"/>
        <w:rPr>
          <w:rFonts w:eastAsia="仿宋_GB2312"/>
          <w:color w:val="000000"/>
          <w:szCs w:val="32"/>
        </w:rPr>
      </w:pPr>
      <w:r>
        <w:rPr>
          <w:rFonts w:hint="eastAsia" w:eastAsia="仿宋_GB2312"/>
          <w:color w:val="000000"/>
          <w:szCs w:val="32"/>
        </w:rPr>
        <w:t>10.</w:t>
      </w:r>
      <w:r>
        <w:rPr>
          <w:rFonts w:eastAsia="仿宋_GB2312"/>
          <w:color w:val="000000"/>
          <w:szCs w:val="32"/>
        </w:rPr>
        <w:t>产品有效期内才可使用</w:t>
      </w:r>
      <w:r>
        <w:rPr>
          <w:rFonts w:hint="eastAsia" w:eastAsia="仿宋_GB2312"/>
          <w:color w:val="000000"/>
          <w:szCs w:val="32"/>
        </w:rPr>
        <w:t>；</w:t>
      </w:r>
    </w:p>
    <w:p>
      <w:pPr>
        <w:spacing w:line="520" w:lineRule="exact"/>
        <w:ind w:firstLine="640" w:firstLineChars="200"/>
        <w:rPr>
          <w:rFonts w:eastAsia="仿宋_GB2312"/>
          <w:color w:val="000000"/>
          <w:szCs w:val="32"/>
        </w:rPr>
      </w:pPr>
      <w:r>
        <w:rPr>
          <w:rFonts w:hint="eastAsia" w:eastAsia="仿宋_GB2312"/>
          <w:color w:val="000000"/>
          <w:szCs w:val="32"/>
        </w:rPr>
        <w:t>11.</w:t>
      </w:r>
      <w:r>
        <w:rPr>
          <w:rFonts w:eastAsia="仿宋_GB2312"/>
          <w:color w:val="000000"/>
          <w:szCs w:val="32"/>
        </w:rPr>
        <w:t>产品使用后，应按照《医疗废物管理条例》的要求处理</w:t>
      </w:r>
      <w:r>
        <w:rPr>
          <w:rFonts w:hint="eastAsia" w:eastAsia="仿宋_GB2312"/>
          <w:color w:val="000000"/>
          <w:szCs w:val="32"/>
        </w:rPr>
        <w:t>；</w:t>
      </w:r>
    </w:p>
    <w:p>
      <w:pPr>
        <w:spacing w:line="520" w:lineRule="exact"/>
        <w:ind w:firstLine="640" w:firstLineChars="200"/>
        <w:rPr>
          <w:rFonts w:eastAsia="仿宋_GB2312"/>
          <w:color w:val="000000"/>
          <w:szCs w:val="32"/>
        </w:rPr>
      </w:pPr>
      <w:r>
        <w:rPr>
          <w:rFonts w:hint="eastAsia" w:eastAsia="仿宋_GB2312"/>
          <w:szCs w:val="32"/>
        </w:rPr>
        <w:t>12</w:t>
      </w:r>
      <w:r>
        <w:rPr>
          <w:rFonts w:eastAsia="仿宋_GB2312"/>
          <w:szCs w:val="32"/>
        </w:rPr>
        <w:t>法律、法规规定禁止的其他内容</w:t>
      </w:r>
      <w:r>
        <w:rPr>
          <w:rFonts w:eastAsia="仿宋_GB2312"/>
          <w:color w:val="000000"/>
          <w:szCs w:val="32"/>
        </w:rPr>
        <w:t>。</w:t>
      </w:r>
    </w:p>
    <w:p>
      <w:pPr>
        <w:spacing w:line="520" w:lineRule="exact"/>
        <w:ind w:firstLine="640" w:firstLineChars="200"/>
        <w:rPr>
          <w:rFonts w:eastAsia="仿宋_GB2312"/>
          <w:color w:val="000000"/>
          <w:szCs w:val="32"/>
        </w:rPr>
      </w:pPr>
      <w:r>
        <w:rPr>
          <w:rFonts w:hint="eastAsia" w:eastAsia="仿宋_GB2312"/>
          <w:color w:val="000000"/>
          <w:szCs w:val="32"/>
          <w:lang w:val="en-US" w:eastAsia="zh-CN"/>
        </w:rPr>
        <w:t>13.</w:t>
      </w:r>
      <w:r>
        <w:rPr>
          <w:rFonts w:hint="eastAsia" w:eastAsia="仿宋_GB2312"/>
          <w:color w:val="000000"/>
          <w:szCs w:val="32"/>
        </w:rPr>
        <w:t>补充产品尺寸信息以及配合使用产品的说明</w:t>
      </w:r>
    </w:p>
    <w:p>
      <w:pPr>
        <w:spacing w:line="520" w:lineRule="exact"/>
        <w:ind w:firstLine="640" w:firstLineChars="200"/>
        <w:rPr>
          <w:rFonts w:eastAsia="楷体_GB2312"/>
          <w:color w:val="000000"/>
          <w:szCs w:val="32"/>
        </w:rPr>
      </w:pPr>
      <w:r>
        <w:rPr>
          <w:rFonts w:eastAsia="楷体_GB2312"/>
          <w:color w:val="000000"/>
          <w:szCs w:val="32"/>
        </w:rPr>
        <w:t>（六）质量管理体系文件</w:t>
      </w:r>
    </w:p>
    <w:p>
      <w:pPr>
        <w:spacing w:line="520" w:lineRule="exact"/>
        <w:ind w:firstLine="640" w:firstLineChars="200"/>
        <w:rPr>
          <w:rFonts w:eastAsia="仿宋_GB2312"/>
          <w:szCs w:val="20"/>
        </w:rPr>
      </w:pPr>
      <w:r>
        <w:rPr>
          <w:rFonts w:eastAsia="仿宋_GB2312"/>
          <w:szCs w:val="20"/>
        </w:rPr>
        <w:t>应依据</w:t>
      </w:r>
      <w:r>
        <w:rPr>
          <w:rFonts w:hint="eastAsia" w:eastAsia="仿宋_GB2312"/>
          <w:szCs w:val="20"/>
        </w:rPr>
        <w:t>《</w:t>
      </w:r>
      <w:r>
        <w:rPr>
          <w:rFonts w:eastAsia="仿宋_GB2312"/>
          <w:szCs w:val="20"/>
        </w:rPr>
        <w:t>关于公布医疗器械注册申报资料要求和批准证明文件格式的公告</w:t>
      </w:r>
      <w:r>
        <w:rPr>
          <w:rFonts w:hint="eastAsia" w:eastAsia="仿宋_GB2312"/>
          <w:szCs w:val="20"/>
        </w:rPr>
        <w:t>》</w:t>
      </w:r>
      <w:r>
        <w:rPr>
          <w:rFonts w:eastAsia="仿宋_GB2312"/>
          <w:szCs w:val="20"/>
        </w:rPr>
        <w:t>要求提供质量管理体系核查文件。</w:t>
      </w:r>
    </w:p>
    <w:p>
      <w:pPr>
        <w:pStyle w:val="12"/>
        <w:spacing w:line="520" w:lineRule="exact"/>
        <w:ind w:firstLine="640"/>
        <w:jc w:val="left"/>
        <w:outlineLvl w:val="0"/>
        <w:rPr>
          <w:rFonts w:eastAsia="黑体"/>
        </w:rPr>
      </w:pPr>
      <w:bookmarkStart w:id="0" w:name="_Toc265839389"/>
    </w:p>
    <w:p>
      <w:pPr>
        <w:pStyle w:val="12"/>
        <w:spacing w:line="520" w:lineRule="exact"/>
        <w:ind w:firstLine="640"/>
        <w:jc w:val="left"/>
        <w:outlineLvl w:val="0"/>
        <w:rPr>
          <w:rFonts w:eastAsia="黑体"/>
        </w:rPr>
      </w:pPr>
      <w:r>
        <w:rPr>
          <w:rFonts w:hint="eastAsia" w:eastAsia="黑体"/>
        </w:rPr>
        <w:t>三、</w:t>
      </w:r>
      <w:r>
        <w:rPr>
          <w:rFonts w:eastAsia="黑体"/>
        </w:rPr>
        <w:t>参考文献</w:t>
      </w:r>
      <w:bookmarkEnd w:id="0"/>
    </w:p>
    <w:p>
      <w:pPr>
        <w:spacing w:line="520" w:lineRule="exact"/>
        <w:ind w:right="-102" w:rightChars="-32" w:firstLine="640" w:firstLineChars="200"/>
        <w:rPr>
          <w:rFonts w:eastAsia="仿宋_GB2312"/>
          <w:color w:val="000000"/>
          <w:szCs w:val="32"/>
        </w:rPr>
      </w:pPr>
      <w:r>
        <w:rPr>
          <w:rFonts w:eastAsia="仿宋_GB2312"/>
          <w:color w:val="000000"/>
          <w:szCs w:val="32"/>
        </w:rPr>
        <w:t>[1]</w:t>
      </w:r>
      <w:r>
        <w:rPr>
          <w:rFonts w:eastAsia="仿宋_GB2312"/>
          <w:szCs w:val="32"/>
          <w:lang w:val="en"/>
        </w:rPr>
        <w:t>中华人民共和国国务院</w:t>
      </w:r>
      <w:r>
        <w:rPr>
          <w:rFonts w:hint="eastAsia" w:eastAsia="仿宋_GB2312"/>
          <w:szCs w:val="32"/>
          <w:lang w:val="en"/>
        </w:rPr>
        <w:t>.</w:t>
      </w:r>
      <w:r>
        <w:rPr>
          <w:rFonts w:eastAsia="仿宋_GB2312"/>
          <w:szCs w:val="32"/>
        </w:rPr>
        <w:t>医疗器械监督管理条例</w:t>
      </w:r>
      <w:r>
        <w:rPr>
          <w:rFonts w:hint="eastAsia" w:eastAsia="仿宋_GB2312"/>
          <w:szCs w:val="32"/>
        </w:rPr>
        <w:t>:</w:t>
      </w:r>
      <w:r>
        <w:rPr>
          <w:rFonts w:eastAsia="仿宋_GB2312"/>
          <w:szCs w:val="32"/>
          <w:lang w:val="en"/>
        </w:rPr>
        <w:t>中华人民共和国国务院令第739号</w:t>
      </w:r>
      <w:r>
        <w:rPr>
          <w:rFonts w:eastAsia="仿宋_GB2312"/>
          <w:szCs w:val="32"/>
        </w:rPr>
        <w:t>[Z].</w:t>
      </w:r>
    </w:p>
    <w:p>
      <w:pPr>
        <w:spacing w:line="520" w:lineRule="exact"/>
        <w:ind w:firstLine="640" w:firstLineChars="200"/>
        <w:rPr>
          <w:rFonts w:eastAsia="仿宋_GB2312"/>
          <w:szCs w:val="32"/>
        </w:rPr>
      </w:pPr>
      <w:r>
        <w:rPr>
          <w:rFonts w:eastAsia="仿宋_GB2312"/>
          <w:color w:val="000000"/>
          <w:szCs w:val="32"/>
        </w:rPr>
        <w:t>[2]</w:t>
      </w:r>
      <w:r>
        <w:rPr>
          <w:rFonts w:eastAsia="仿宋_GB2312"/>
          <w:szCs w:val="32"/>
        </w:rPr>
        <w:t>国家市场监督管理总局</w:t>
      </w:r>
      <w:r>
        <w:rPr>
          <w:rFonts w:hint="eastAsia" w:eastAsia="仿宋_GB2312"/>
          <w:szCs w:val="32"/>
        </w:rPr>
        <w:t>.</w:t>
      </w:r>
      <w:r>
        <w:rPr>
          <w:rFonts w:eastAsia="仿宋_GB2312"/>
          <w:szCs w:val="32"/>
        </w:rPr>
        <w:t>医疗器械注册与备案管理办法:国家市场监督管理总局令第47号[Z].</w:t>
      </w:r>
    </w:p>
    <w:p>
      <w:pPr>
        <w:spacing w:line="520" w:lineRule="exact"/>
        <w:ind w:firstLine="640" w:firstLineChars="200"/>
        <w:rPr>
          <w:rFonts w:eastAsia="仿宋_GB2312"/>
          <w:color w:val="auto"/>
          <w:szCs w:val="32"/>
        </w:rPr>
      </w:pPr>
      <w:r>
        <w:rPr>
          <w:rFonts w:eastAsia="仿宋_GB2312"/>
          <w:color w:val="auto"/>
          <w:szCs w:val="32"/>
        </w:rPr>
        <w:t>[3]国家药品监督管理局</w:t>
      </w:r>
      <w:r>
        <w:rPr>
          <w:rFonts w:hint="eastAsia" w:eastAsia="仿宋_GB2312"/>
          <w:color w:val="auto"/>
          <w:szCs w:val="32"/>
        </w:rPr>
        <w:t>.</w:t>
      </w:r>
      <w:r>
        <w:rPr>
          <w:rFonts w:eastAsia="仿宋_GB2312"/>
          <w:color w:val="auto"/>
          <w:szCs w:val="32"/>
        </w:rPr>
        <w:t>医疗器械生产质量管理规范</w:t>
      </w:r>
      <w:r>
        <w:rPr>
          <w:rFonts w:hint="eastAsia" w:eastAsia="仿宋_GB2312"/>
          <w:color w:val="auto"/>
          <w:szCs w:val="32"/>
        </w:rPr>
        <w:t>:</w:t>
      </w:r>
      <w:r>
        <w:rPr>
          <w:rFonts w:eastAsia="仿宋_GB2312"/>
          <w:color w:val="auto"/>
          <w:szCs w:val="32"/>
        </w:rPr>
        <w:t>国家药品监督管理局20</w:t>
      </w:r>
      <w:r>
        <w:rPr>
          <w:rFonts w:hint="eastAsia" w:eastAsia="仿宋_GB2312"/>
          <w:color w:val="auto"/>
          <w:szCs w:val="32"/>
          <w:lang w:val="en-US" w:eastAsia="zh-CN"/>
        </w:rPr>
        <w:t>25</w:t>
      </w:r>
      <w:r>
        <w:rPr>
          <w:rFonts w:eastAsia="仿宋_GB2312"/>
          <w:color w:val="auto"/>
          <w:szCs w:val="32"/>
        </w:rPr>
        <w:t>年第</w:t>
      </w:r>
      <w:r>
        <w:rPr>
          <w:rFonts w:hint="eastAsia" w:eastAsia="仿宋_GB2312"/>
          <w:color w:val="auto"/>
          <w:szCs w:val="32"/>
          <w:lang w:val="en-US" w:eastAsia="zh-CN"/>
        </w:rPr>
        <w:t>107</w:t>
      </w:r>
      <w:r>
        <w:rPr>
          <w:rFonts w:eastAsia="仿宋_GB2312"/>
          <w:color w:val="auto"/>
          <w:szCs w:val="32"/>
        </w:rPr>
        <w:t>号[Z].</w:t>
      </w:r>
    </w:p>
    <w:p>
      <w:pPr>
        <w:spacing w:line="520" w:lineRule="exact"/>
        <w:ind w:right="-102" w:rightChars="-32" w:firstLine="640" w:firstLineChars="200"/>
        <w:rPr>
          <w:rFonts w:eastAsia="仿宋_GB2312"/>
          <w:color w:val="000000"/>
          <w:szCs w:val="32"/>
        </w:rPr>
      </w:pPr>
      <w:r>
        <w:rPr>
          <w:rFonts w:eastAsia="仿宋_GB2312"/>
          <w:color w:val="000000"/>
          <w:szCs w:val="32"/>
        </w:rPr>
        <w:t>[4]</w:t>
      </w:r>
      <w:r>
        <w:rPr>
          <w:rFonts w:hint="eastAsia" w:eastAsia="仿宋_GB2312"/>
          <w:szCs w:val="32"/>
        </w:rPr>
        <w:t>国家药品监督管理局.</w:t>
      </w:r>
      <w:r>
        <w:rPr>
          <w:rFonts w:eastAsia="仿宋_GB2312"/>
          <w:szCs w:val="32"/>
        </w:rPr>
        <w:t>医疗器械注册申报资料要求和批准证明文件格式</w:t>
      </w:r>
      <w:r>
        <w:rPr>
          <w:rFonts w:hint="eastAsia" w:eastAsia="仿宋_GB2312"/>
          <w:szCs w:val="32"/>
        </w:rPr>
        <w:t>:国家药监局公告2021年第121号</w:t>
      </w:r>
      <w:r>
        <w:rPr>
          <w:rFonts w:eastAsia="仿宋_GB2312"/>
          <w:szCs w:val="32"/>
        </w:rPr>
        <w:t>[Z].</w:t>
      </w:r>
    </w:p>
    <w:p>
      <w:pPr>
        <w:spacing w:line="520" w:lineRule="exact"/>
        <w:ind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5</w:t>
      </w:r>
      <w:r>
        <w:rPr>
          <w:rFonts w:eastAsia="仿宋_GB2312"/>
          <w:color w:val="000000"/>
          <w:szCs w:val="32"/>
        </w:rPr>
        <w:t>]</w:t>
      </w:r>
      <w:r>
        <w:rPr>
          <w:rFonts w:hint="eastAsia" w:eastAsia="仿宋_GB2312"/>
          <w:color w:val="000000"/>
          <w:szCs w:val="32"/>
        </w:rPr>
        <w:t>国家食品药品监督管理局.</w:t>
      </w:r>
      <w:r>
        <w:rPr>
          <w:rFonts w:hint="eastAsia" w:eastAsia="仿宋_GB2312"/>
          <w:szCs w:val="32"/>
        </w:rPr>
        <w:t>医疗器械说明书和标签管理规定:国家食品药品监督管理总局令第6号[Z].</w:t>
      </w:r>
    </w:p>
    <w:p>
      <w:pPr>
        <w:spacing w:line="520" w:lineRule="exact"/>
        <w:ind w:firstLine="640" w:firstLineChars="200"/>
        <w:rPr>
          <w:rFonts w:eastAsia="仿宋_GB2312"/>
          <w:szCs w:val="32"/>
        </w:rPr>
      </w:pPr>
      <w:r>
        <w:rPr>
          <w:rFonts w:eastAsia="仿宋_GB2312"/>
          <w:color w:val="000000"/>
          <w:szCs w:val="32"/>
        </w:rPr>
        <w:t>[</w:t>
      </w:r>
      <w:r>
        <w:rPr>
          <w:rFonts w:hint="eastAsia" w:eastAsia="仿宋_GB2312"/>
          <w:color w:val="000000"/>
          <w:szCs w:val="32"/>
        </w:rPr>
        <w:t>6</w:t>
      </w:r>
      <w:r>
        <w:rPr>
          <w:rFonts w:eastAsia="仿宋_GB2312"/>
          <w:color w:val="000000"/>
          <w:szCs w:val="32"/>
        </w:rPr>
        <w:t>]</w:t>
      </w:r>
      <w:r>
        <w:rPr>
          <w:rFonts w:hint="eastAsia" w:eastAsia="仿宋_GB2312"/>
          <w:szCs w:val="32"/>
        </w:rPr>
        <w:t>国家食品药品监督管理局.</w:t>
      </w:r>
      <w:r>
        <w:rPr>
          <w:rFonts w:eastAsia="仿宋_GB2312"/>
          <w:szCs w:val="32"/>
        </w:rPr>
        <w:t>医疗器械分类规则</w:t>
      </w:r>
      <w:r>
        <w:rPr>
          <w:rFonts w:hint="eastAsia" w:eastAsia="仿宋_GB2312"/>
          <w:szCs w:val="32"/>
        </w:rPr>
        <w:t>:</w:t>
      </w:r>
      <w:r>
        <w:rPr>
          <w:rFonts w:eastAsia="仿宋_GB2312"/>
          <w:szCs w:val="32"/>
          <w:lang w:val="en"/>
        </w:rPr>
        <w:t>国家食品药品监督管理总局令第15号</w:t>
      </w:r>
      <w:r>
        <w:rPr>
          <w:rFonts w:eastAsia="仿宋_GB2312"/>
          <w:szCs w:val="32"/>
        </w:rPr>
        <w:t>[Z].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7</w:t>
      </w:r>
      <w:r>
        <w:rPr>
          <w:rFonts w:eastAsia="仿宋_GB2312"/>
          <w:color w:val="000000"/>
          <w:szCs w:val="32"/>
        </w:rPr>
        <w:t>]</w:t>
      </w:r>
      <w:r>
        <w:rPr>
          <w:rFonts w:eastAsia="仿宋_GB2312"/>
          <w:szCs w:val="28"/>
        </w:rPr>
        <w:t>国家食品药品监督管理局</w:t>
      </w:r>
      <w:r>
        <w:rPr>
          <w:rFonts w:hint="eastAsia" w:eastAsia="仿宋_GB2312"/>
          <w:szCs w:val="32"/>
        </w:rPr>
        <w:t>.</w:t>
      </w:r>
      <w:r>
        <w:rPr>
          <w:rFonts w:eastAsia="仿宋_GB2312"/>
          <w:szCs w:val="32"/>
        </w:rPr>
        <w:t>医疗器械通用名称命名规则</w:t>
      </w:r>
      <w:r>
        <w:rPr>
          <w:rFonts w:hint="eastAsia" w:eastAsia="仿宋_GB2312"/>
          <w:szCs w:val="32"/>
        </w:rPr>
        <w:t>：</w:t>
      </w:r>
      <w:r>
        <w:rPr>
          <w:rFonts w:eastAsia="仿宋_GB2312"/>
          <w:szCs w:val="28"/>
        </w:rPr>
        <w:t>国家食品药品监督管理总局令第19号</w:t>
      </w:r>
      <w:r>
        <w:rPr>
          <w:rFonts w:eastAsia="仿宋_GB2312"/>
          <w:szCs w:val="32"/>
        </w:rPr>
        <w:t>[Z].</w:t>
      </w:r>
    </w:p>
    <w:p>
      <w:pPr>
        <w:spacing w:line="520" w:lineRule="exact"/>
        <w:ind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8</w:t>
      </w:r>
      <w:r>
        <w:rPr>
          <w:rFonts w:eastAsia="仿宋_GB2312"/>
          <w:color w:val="000000"/>
          <w:szCs w:val="32"/>
        </w:rPr>
        <w:t>]</w:t>
      </w:r>
      <w:r>
        <w:rPr>
          <w:rFonts w:eastAsia="仿宋_GB2312"/>
          <w:szCs w:val="32"/>
          <w:lang w:val="en"/>
        </w:rPr>
        <w:t>国家食品药品监督管理局</w:t>
      </w:r>
      <w:r>
        <w:rPr>
          <w:rFonts w:eastAsia="仿宋_GB2312"/>
          <w:szCs w:val="32"/>
        </w:rPr>
        <w:t>.医疗器械分类目录</w:t>
      </w:r>
      <w:r>
        <w:rPr>
          <w:rFonts w:hint="eastAsia" w:eastAsia="仿宋_GB2312"/>
          <w:szCs w:val="32"/>
        </w:rPr>
        <w:t>:</w:t>
      </w:r>
      <w:r>
        <w:rPr>
          <w:rFonts w:eastAsia="仿宋_GB2312"/>
          <w:szCs w:val="32"/>
          <w:lang w:val="en"/>
        </w:rPr>
        <w:t>国家食品药品监督管理总局</w:t>
      </w:r>
      <w:r>
        <w:rPr>
          <w:rFonts w:hint="eastAsia" w:eastAsia="仿宋_GB2312"/>
          <w:szCs w:val="32"/>
          <w:lang w:val="en"/>
        </w:rPr>
        <w:t>公告</w:t>
      </w:r>
      <w:r>
        <w:rPr>
          <w:rFonts w:eastAsia="仿宋_GB2312"/>
          <w:szCs w:val="32"/>
          <w:lang w:val="en"/>
        </w:rPr>
        <w:t>2017年第104号</w:t>
      </w:r>
      <w:r>
        <w:rPr>
          <w:rFonts w:eastAsia="仿宋_GB2312"/>
          <w:szCs w:val="32"/>
        </w:rPr>
        <w:t>[Z].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9</w:t>
      </w:r>
      <w:r>
        <w:rPr>
          <w:rFonts w:eastAsia="仿宋_GB2312"/>
          <w:color w:val="000000"/>
          <w:szCs w:val="32"/>
        </w:rPr>
        <w:t>]</w:t>
      </w:r>
      <w:r>
        <w:rPr>
          <w:rFonts w:eastAsia="仿宋_GB2312"/>
          <w:szCs w:val="32"/>
          <w:lang w:val="en"/>
        </w:rPr>
        <w:t>国家食品药品监督管理局</w:t>
      </w:r>
      <w:r>
        <w:rPr>
          <w:rFonts w:eastAsia="仿宋_GB2312"/>
          <w:szCs w:val="32"/>
        </w:rPr>
        <w:t>.医疗器械注册单元划分指导原则</w:t>
      </w:r>
      <w:r>
        <w:rPr>
          <w:rFonts w:hint="eastAsia" w:eastAsia="仿宋_GB2312"/>
          <w:szCs w:val="32"/>
        </w:rPr>
        <w:t>:总局通</w:t>
      </w:r>
      <w:r>
        <w:rPr>
          <w:rFonts w:eastAsia="仿宋_GB2312"/>
          <w:szCs w:val="32"/>
          <w:lang w:val="en"/>
        </w:rPr>
        <w:t>告2017年第187号</w:t>
      </w:r>
      <w:r>
        <w:rPr>
          <w:rFonts w:eastAsia="仿宋_GB2312"/>
          <w:szCs w:val="32"/>
        </w:rPr>
        <w:t>[Z].</w:t>
      </w:r>
    </w:p>
    <w:p>
      <w:pPr>
        <w:spacing w:line="520" w:lineRule="exact"/>
        <w:ind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0</w:t>
      </w:r>
      <w:r>
        <w:rPr>
          <w:rFonts w:eastAsia="仿宋_GB2312"/>
          <w:color w:val="000000"/>
          <w:szCs w:val="32"/>
        </w:rPr>
        <w:t>]</w:t>
      </w:r>
      <w:r>
        <w:rPr>
          <w:rFonts w:hint="eastAsia" w:eastAsia="仿宋_GB2312"/>
          <w:szCs w:val="32"/>
        </w:rPr>
        <w:t>国家药品监督管理局.</w:t>
      </w:r>
      <w:r>
        <w:rPr>
          <w:rFonts w:eastAsia="仿宋_GB2312"/>
          <w:color w:val="000000"/>
          <w:szCs w:val="32"/>
        </w:rPr>
        <w:t>医疗器械动物试验研究注册审查指导原则第一部分：决策原则（2021年修订版）</w:t>
      </w:r>
      <w:r>
        <w:rPr>
          <w:rFonts w:hint="eastAsia" w:eastAsia="仿宋_GB2312"/>
          <w:color w:val="000000"/>
          <w:szCs w:val="32"/>
        </w:rPr>
        <w:t>:</w:t>
      </w:r>
      <w:r>
        <w:rPr>
          <w:rFonts w:eastAsia="仿宋_GB2312"/>
          <w:color w:val="000000"/>
          <w:szCs w:val="32"/>
        </w:rPr>
        <w:t>国家药监局2021年第75号通告[Z].</w:t>
      </w:r>
    </w:p>
    <w:p>
      <w:pPr>
        <w:pStyle w:val="15"/>
        <w:overflowPunct w:val="0"/>
        <w:autoSpaceDE w:val="0"/>
        <w:autoSpaceDN w:val="0"/>
        <w:spacing w:line="520" w:lineRule="exact"/>
        <w:ind w:firstLine="640"/>
        <w:outlineLvl w:val="2"/>
        <w:rPr>
          <w:rFonts w:eastAsia="仿宋_GB2312"/>
          <w:color w:val="auto"/>
          <w:szCs w:val="32"/>
        </w:rPr>
      </w:pPr>
      <w:r>
        <w:rPr>
          <w:rFonts w:hint="eastAsia" w:eastAsia="仿宋_GB2312"/>
          <w:color w:val="auto"/>
          <w:szCs w:val="32"/>
        </w:rPr>
        <w:t>[11]国家药品监督管理局.关于发布免于</w:t>
      </w:r>
      <w:r>
        <w:rPr>
          <w:rFonts w:hint="eastAsia" w:eastAsia="仿宋_GB2312"/>
          <w:color w:val="auto"/>
          <w:szCs w:val="32"/>
          <w:lang w:eastAsia="zh-CN"/>
        </w:rPr>
        <w:t>进行</w:t>
      </w:r>
      <w:r>
        <w:rPr>
          <w:rFonts w:hint="eastAsia" w:eastAsia="仿宋_GB2312"/>
          <w:color w:val="auto"/>
          <w:szCs w:val="32"/>
        </w:rPr>
        <w:t>临床评价医疗器械目录的通告:2025年第19号[Z].</w:t>
      </w:r>
    </w:p>
    <w:p>
      <w:pPr>
        <w:spacing w:line="520" w:lineRule="exact"/>
        <w:ind w:firstLine="640" w:firstLineChars="200"/>
        <w:rPr>
          <w:rFonts w:eastAsia="仿宋_GB2312"/>
          <w:szCs w:val="32"/>
        </w:rPr>
      </w:pPr>
      <w:r>
        <w:rPr>
          <w:rFonts w:eastAsia="仿宋_GB2312"/>
          <w:szCs w:val="32"/>
        </w:rPr>
        <w:t>[1</w:t>
      </w:r>
      <w:r>
        <w:rPr>
          <w:rFonts w:hint="eastAsia" w:eastAsia="仿宋_GB2312"/>
          <w:szCs w:val="32"/>
        </w:rPr>
        <w:t>2</w:t>
      </w:r>
      <w:r>
        <w:rPr>
          <w:rFonts w:eastAsia="仿宋_GB2312"/>
          <w:szCs w:val="32"/>
        </w:rPr>
        <w:t>]国家药品监督管理局.关于发布医疗器械产品技术要求编写指导原则的通告:2022年第8号[Z].</w:t>
      </w:r>
    </w:p>
    <w:p>
      <w:pPr>
        <w:spacing w:line="520" w:lineRule="exact"/>
        <w:ind w:firstLine="640" w:firstLineChars="200"/>
        <w:rPr>
          <w:rFonts w:eastAsia="仿宋_GB2312"/>
          <w:szCs w:val="32"/>
        </w:rPr>
      </w:pPr>
      <w:r>
        <w:rPr>
          <w:rFonts w:eastAsia="仿宋_GB2312"/>
          <w:szCs w:val="32"/>
        </w:rPr>
        <w:t>[1</w:t>
      </w:r>
      <w:r>
        <w:rPr>
          <w:rFonts w:hint="eastAsia" w:eastAsia="仿宋_GB2312"/>
          <w:szCs w:val="32"/>
        </w:rPr>
        <w:t>3</w:t>
      </w:r>
      <w:r>
        <w:rPr>
          <w:rFonts w:eastAsia="仿宋_GB2312"/>
          <w:szCs w:val="32"/>
        </w:rPr>
        <w:t>]国家药品监督管理局医疗器械技术审评中心.关于发布医疗器械安全和性能基本原则符合性技术指南的通告:2022年第29号 [Z].</w:t>
      </w:r>
    </w:p>
    <w:p>
      <w:pPr>
        <w:spacing w:line="520" w:lineRule="exact"/>
        <w:ind w:firstLine="640" w:firstLineChars="200"/>
        <w:rPr>
          <w:rFonts w:eastAsia="仿宋_GB2312"/>
          <w:szCs w:val="32"/>
        </w:rPr>
      </w:pPr>
      <w:r>
        <w:rPr>
          <w:rFonts w:eastAsia="仿宋_GB2312"/>
          <w:szCs w:val="32"/>
        </w:rPr>
        <w:t>[</w:t>
      </w:r>
      <w:r>
        <w:rPr>
          <w:rFonts w:hint="eastAsia" w:eastAsia="仿宋_GB2312"/>
          <w:szCs w:val="32"/>
        </w:rPr>
        <w:t>14</w:t>
      </w:r>
      <w:r>
        <w:rPr>
          <w:rFonts w:eastAsia="仿宋_GB2312"/>
          <w:szCs w:val="32"/>
        </w:rPr>
        <w:t>]国家药品监督管理局.关于发布医疗器械安全和性能基本原则的通告:2020年第18号 [Z].</w:t>
      </w:r>
    </w:p>
    <w:p>
      <w:pPr>
        <w:spacing w:line="520" w:lineRule="exact"/>
        <w:ind w:firstLine="640" w:firstLineChars="200"/>
        <w:rPr>
          <w:rFonts w:eastAsia="仿宋_GB2312"/>
          <w:szCs w:val="32"/>
        </w:rPr>
      </w:pPr>
      <w:r>
        <w:rPr>
          <w:rFonts w:hint="eastAsia" w:eastAsia="仿宋_GB2312"/>
          <w:szCs w:val="32"/>
        </w:rPr>
        <w:t>[1</w:t>
      </w:r>
      <w:r>
        <w:rPr>
          <w:rFonts w:hint="eastAsia" w:eastAsia="仿宋_GB2312"/>
          <w:szCs w:val="32"/>
          <w:lang w:val="en-US" w:eastAsia="zh-CN"/>
        </w:rPr>
        <w:t>5</w:t>
      </w:r>
      <w:r>
        <w:rPr>
          <w:rFonts w:hint="eastAsia" w:eastAsia="仿宋_GB2312"/>
          <w:szCs w:val="32"/>
        </w:rPr>
        <w:t>]国家药品监督管理局.关于调整《医疗器械分类目录》部分内容的公告</w:t>
      </w:r>
      <w:r>
        <w:rPr>
          <w:rFonts w:hint="eastAsia" w:eastAsia="仿宋_GB2312"/>
          <w:szCs w:val="32"/>
          <w:lang w:eastAsia="zh-CN"/>
        </w:rPr>
        <w:t>：</w:t>
      </w:r>
      <w:r>
        <w:rPr>
          <w:rFonts w:hint="eastAsia" w:eastAsia="仿宋_GB2312"/>
          <w:szCs w:val="32"/>
        </w:rPr>
        <w:t>2022年第25号 [Z].</w:t>
      </w:r>
    </w:p>
    <w:p>
      <w:pPr>
        <w:spacing w:line="520" w:lineRule="exact"/>
        <w:ind w:firstLine="640" w:firstLineChars="200"/>
        <w:rPr>
          <w:rFonts w:eastAsia="仿宋_GB2312"/>
          <w:color w:val="000000"/>
          <w:szCs w:val="32"/>
        </w:rPr>
      </w:pPr>
      <w:r>
        <w:rPr>
          <w:rFonts w:eastAsia="仿宋_GB2312"/>
          <w:szCs w:val="32"/>
        </w:rPr>
        <w:t>[1</w:t>
      </w:r>
      <w:r>
        <w:rPr>
          <w:rFonts w:hint="eastAsia" w:eastAsia="仿宋_GB2312"/>
          <w:szCs w:val="32"/>
          <w:lang w:val="en-US" w:eastAsia="zh-CN"/>
        </w:rPr>
        <w:t>6</w:t>
      </w:r>
      <w:r>
        <w:rPr>
          <w:rFonts w:eastAsia="仿宋_GB2312"/>
          <w:szCs w:val="32"/>
        </w:rPr>
        <w:t>]GB/T 4857,包装运输包装件系列标准[S].</w:t>
      </w:r>
    </w:p>
    <w:p>
      <w:pPr>
        <w:spacing w:line="520" w:lineRule="exact"/>
        <w:ind w:firstLine="640" w:firstLineChars="200"/>
        <w:rPr>
          <w:rFonts w:eastAsia="仿宋_GB2312"/>
          <w:szCs w:val="32"/>
        </w:rPr>
      </w:pPr>
      <w:r>
        <w:rPr>
          <w:rFonts w:eastAsia="仿宋_GB2312"/>
          <w:szCs w:val="32"/>
        </w:rPr>
        <w:t>[1</w:t>
      </w:r>
      <w:r>
        <w:rPr>
          <w:rFonts w:hint="eastAsia" w:eastAsia="仿宋_GB2312"/>
          <w:szCs w:val="32"/>
          <w:lang w:val="en-US" w:eastAsia="zh-CN"/>
        </w:rPr>
        <w:t>7</w:t>
      </w:r>
      <w:r>
        <w:rPr>
          <w:rFonts w:eastAsia="仿宋_GB2312"/>
          <w:szCs w:val="32"/>
        </w:rPr>
        <w:t>]GB/T 16886.1,医疗器械生物学评价 第1部分：风险管理过程中的评价与试验[S].</w:t>
      </w:r>
    </w:p>
    <w:p>
      <w:pPr>
        <w:spacing w:line="520" w:lineRule="exact"/>
        <w:ind w:firstLine="640" w:firstLineChars="200"/>
        <w:rPr>
          <w:rFonts w:eastAsia="仿宋_GB2312"/>
          <w:szCs w:val="32"/>
        </w:rPr>
      </w:pPr>
      <w:r>
        <w:rPr>
          <w:rFonts w:eastAsia="仿宋_GB2312"/>
          <w:szCs w:val="32"/>
        </w:rPr>
        <w:t>[</w:t>
      </w:r>
      <w:r>
        <w:rPr>
          <w:rFonts w:hint="eastAsia" w:eastAsia="仿宋_GB2312"/>
          <w:szCs w:val="32"/>
        </w:rPr>
        <w:t>1</w:t>
      </w:r>
      <w:r>
        <w:rPr>
          <w:rFonts w:hint="eastAsia" w:eastAsia="仿宋_GB2312"/>
          <w:szCs w:val="32"/>
          <w:lang w:val="en-US" w:eastAsia="zh-CN"/>
        </w:rPr>
        <w:t>8</w:t>
      </w:r>
      <w:r>
        <w:rPr>
          <w:rFonts w:eastAsia="仿宋_GB2312"/>
          <w:szCs w:val="32"/>
        </w:rPr>
        <w:t>]GB/T 42062,医疗器械 风险管理对医疗器械的应用[S].</w:t>
      </w:r>
    </w:p>
    <w:p>
      <w:pPr>
        <w:spacing w:line="520" w:lineRule="exact"/>
        <w:ind w:firstLine="640" w:firstLineChars="200"/>
        <w:rPr>
          <w:rFonts w:hint="eastAsia" w:eastAsia="仿宋_GB2312"/>
          <w:szCs w:val="32"/>
        </w:rPr>
      </w:pPr>
      <w:r>
        <w:rPr>
          <w:rFonts w:hint="eastAsia" w:eastAsia="仿宋_GB2312"/>
          <w:szCs w:val="32"/>
        </w:rPr>
        <w:t>[1</w:t>
      </w:r>
      <w:r>
        <w:rPr>
          <w:rFonts w:hint="eastAsia" w:eastAsia="仿宋_GB2312"/>
          <w:szCs w:val="32"/>
          <w:lang w:val="en-US" w:eastAsia="zh-CN"/>
        </w:rPr>
        <w:t>9</w:t>
      </w:r>
      <w:r>
        <w:rPr>
          <w:rFonts w:hint="eastAsia" w:eastAsia="仿宋_GB2312"/>
          <w:szCs w:val="32"/>
        </w:rPr>
        <w:t>]GB/T 16886.5, 医疗器械生物学评价 第5部分：体外细胞毒性试验[S].</w:t>
      </w:r>
    </w:p>
    <w:p>
      <w:pPr>
        <w:spacing w:line="520" w:lineRule="exact"/>
        <w:ind w:firstLine="640" w:firstLineChars="200"/>
        <w:rPr>
          <w:rFonts w:hint="eastAsia" w:eastAsia="仿宋_GB2312"/>
          <w:szCs w:val="32"/>
        </w:rPr>
      </w:pPr>
      <w:r>
        <w:rPr>
          <w:rFonts w:hint="eastAsia" w:eastAsia="仿宋_GB2312"/>
          <w:szCs w:val="32"/>
        </w:rPr>
        <w:t>[</w:t>
      </w:r>
      <w:r>
        <w:rPr>
          <w:rFonts w:hint="eastAsia" w:eastAsia="仿宋_GB2312"/>
          <w:szCs w:val="32"/>
          <w:lang w:val="en-US" w:eastAsia="zh-CN"/>
        </w:rPr>
        <w:t>20</w:t>
      </w:r>
      <w:r>
        <w:rPr>
          <w:rFonts w:hint="eastAsia" w:eastAsia="仿宋_GB2312"/>
          <w:szCs w:val="32"/>
        </w:rPr>
        <w:t>]GB/T 16886.10, 医疗器械生物学评价 第10部分：皮肤致敏试验[S].</w:t>
      </w:r>
      <w:r>
        <w:rPr>
          <w:rFonts w:hint="eastAsia" w:eastAsia="仿宋_GB2312"/>
          <w:szCs w:val="32"/>
        </w:rPr>
        <w:tab/>
      </w:r>
    </w:p>
    <w:p>
      <w:pPr>
        <w:spacing w:line="520" w:lineRule="exact"/>
        <w:ind w:firstLine="640" w:firstLineChars="200"/>
        <w:rPr>
          <w:rFonts w:hint="eastAsia" w:eastAsia="仿宋_GB2312"/>
          <w:szCs w:val="32"/>
        </w:rPr>
      </w:pPr>
      <w:r>
        <w:rPr>
          <w:rFonts w:hint="eastAsia" w:eastAsia="仿宋_GB2312"/>
          <w:szCs w:val="32"/>
        </w:rPr>
        <w:t>[</w:t>
      </w:r>
      <w:r>
        <w:rPr>
          <w:rFonts w:hint="eastAsia" w:eastAsia="仿宋_GB2312"/>
          <w:szCs w:val="32"/>
          <w:lang w:val="en-US" w:eastAsia="zh-CN"/>
        </w:rPr>
        <w:t>21</w:t>
      </w:r>
      <w:r>
        <w:rPr>
          <w:rFonts w:hint="eastAsia" w:eastAsia="仿宋_GB2312"/>
          <w:szCs w:val="32"/>
        </w:rPr>
        <w:t>]GB/T 16886.11, 医疗器械生物学评价 第11部分：全身毒性试验[S].</w:t>
      </w:r>
    </w:p>
    <w:p>
      <w:pPr>
        <w:spacing w:line="520" w:lineRule="exact"/>
        <w:ind w:firstLine="640" w:firstLineChars="200"/>
        <w:rPr>
          <w:rFonts w:hint="eastAsia" w:eastAsia="仿宋_GB2312"/>
          <w:szCs w:val="32"/>
        </w:rPr>
      </w:pPr>
      <w:r>
        <w:rPr>
          <w:rFonts w:hint="eastAsia" w:eastAsia="仿宋_GB2312"/>
          <w:szCs w:val="32"/>
        </w:rPr>
        <w:t>[2</w:t>
      </w:r>
      <w:r>
        <w:rPr>
          <w:rFonts w:hint="eastAsia" w:eastAsia="仿宋_GB2312"/>
          <w:szCs w:val="32"/>
          <w:lang w:val="en-US" w:eastAsia="zh-CN"/>
        </w:rPr>
        <w:t>2</w:t>
      </w:r>
      <w:r>
        <w:rPr>
          <w:rFonts w:hint="eastAsia" w:eastAsia="仿宋_GB2312"/>
          <w:szCs w:val="32"/>
        </w:rPr>
        <w:t>]GB/T 16886.</w:t>
      </w:r>
      <w:r>
        <w:rPr>
          <w:rFonts w:hint="eastAsia" w:eastAsia="仿宋_GB2312"/>
          <w:szCs w:val="32"/>
          <w:lang w:val="en-US" w:eastAsia="zh-CN"/>
        </w:rPr>
        <w:t>23</w:t>
      </w:r>
      <w:r>
        <w:rPr>
          <w:rFonts w:hint="eastAsia" w:eastAsia="仿宋_GB2312"/>
          <w:szCs w:val="32"/>
        </w:rPr>
        <w:t>, 医疗器械生物学评价 第</w:t>
      </w:r>
      <w:r>
        <w:rPr>
          <w:rFonts w:hint="eastAsia" w:eastAsia="仿宋_GB2312"/>
          <w:szCs w:val="32"/>
          <w:lang w:val="en-US" w:eastAsia="zh-CN"/>
        </w:rPr>
        <w:t>23</w:t>
      </w:r>
      <w:r>
        <w:rPr>
          <w:rFonts w:hint="eastAsia" w:eastAsia="仿宋_GB2312"/>
          <w:szCs w:val="32"/>
        </w:rPr>
        <w:t>部分：</w:t>
      </w:r>
      <w:r>
        <w:rPr>
          <w:rFonts w:hint="eastAsia" w:eastAsia="仿宋_GB2312"/>
          <w:szCs w:val="32"/>
          <w:lang w:eastAsia="zh-CN"/>
        </w:rPr>
        <w:t>刺激</w:t>
      </w:r>
      <w:r>
        <w:rPr>
          <w:rFonts w:hint="eastAsia" w:eastAsia="仿宋_GB2312"/>
          <w:szCs w:val="32"/>
        </w:rPr>
        <w:t>试验[S].</w:t>
      </w:r>
    </w:p>
    <w:p>
      <w:pPr>
        <w:spacing w:line="520" w:lineRule="exact"/>
        <w:ind w:firstLine="640" w:firstLineChars="200"/>
        <w:rPr>
          <w:rFonts w:hint="eastAsia" w:eastAsia="仿宋_GB2312"/>
          <w:szCs w:val="32"/>
        </w:rPr>
      </w:pPr>
      <w:r>
        <w:rPr>
          <w:rFonts w:hint="eastAsia" w:eastAsia="仿宋_GB2312"/>
          <w:szCs w:val="32"/>
        </w:rPr>
        <w:t>[2</w:t>
      </w:r>
      <w:r>
        <w:rPr>
          <w:rFonts w:hint="eastAsia" w:eastAsia="仿宋_GB2312"/>
          <w:szCs w:val="32"/>
          <w:lang w:val="en-US" w:eastAsia="zh-CN"/>
        </w:rPr>
        <w:t>3</w:t>
      </w:r>
      <w:r>
        <w:rPr>
          <w:rFonts w:hint="eastAsia" w:eastAsia="仿宋_GB2312"/>
          <w:szCs w:val="32"/>
        </w:rPr>
        <w:t xml:space="preserve">]GB/T 1962.1, </w:t>
      </w:r>
      <w:r>
        <w:rPr>
          <w:rFonts w:hint="eastAsia" w:eastAsia="仿宋_GB2312"/>
          <w:szCs w:val="32"/>
          <w:lang w:eastAsia="zh-CN"/>
        </w:rPr>
        <w:t>注射器、注射针及其他医疗器械</w:t>
      </w:r>
      <w:r>
        <w:rPr>
          <w:rFonts w:hint="eastAsia" w:eastAsia="仿宋_GB2312"/>
          <w:szCs w:val="32"/>
          <w:lang w:val="en-US" w:eastAsia="zh-CN"/>
        </w:rPr>
        <w:t>6%（鲁尔）圆锥接头 第1部分：通用要求</w:t>
      </w:r>
      <w:r>
        <w:rPr>
          <w:rFonts w:hint="eastAsia" w:eastAsia="仿宋_GB2312"/>
          <w:szCs w:val="32"/>
        </w:rPr>
        <w:t>[S].</w:t>
      </w:r>
    </w:p>
    <w:p>
      <w:pPr>
        <w:spacing w:line="520" w:lineRule="exact"/>
        <w:ind w:firstLine="640" w:firstLineChars="200"/>
        <w:rPr>
          <w:rFonts w:hint="eastAsia" w:eastAsia="仿宋_GB2312"/>
          <w:szCs w:val="32"/>
        </w:rPr>
      </w:pPr>
      <w:r>
        <w:rPr>
          <w:rFonts w:hint="eastAsia" w:eastAsia="仿宋_GB2312"/>
          <w:szCs w:val="32"/>
        </w:rPr>
        <w:t>[2</w:t>
      </w:r>
      <w:r>
        <w:rPr>
          <w:rFonts w:hint="eastAsia" w:eastAsia="仿宋_GB2312"/>
          <w:szCs w:val="32"/>
          <w:lang w:val="en-US" w:eastAsia="zh-CN"/>
        </w:rPr>
        <w:t>4</w:t>
      </w:r>
      <w:r>
        <w:rPr>
          <w:rFonts w:hint="eastAsia" w:eastAsia="仿宋_GB2312"/>
          <w:szCs w:val="32"/>
        </w:rPr>
        <w:t>]GB/T 1962.</w:t>
      </w:r>
      <w:r>
        <w:rPr>
          <w:rFonts w:hint="eastAsia" w:eastAsia="仿宋_GB2312"/>
          <w:szCs w:val="32"/>
          <w:lang w:val="en-US" w:eastAsia="zh-CN"/>
        </w:rPr>
        <w:t>2</w:t>
      </w:r>
      <w:r>
        <w:rPr>
          <w:rFonts w:hint="eastAsia" w:eastAsia="仿宋_GB2312"/>
          <w:szCs w:val="32"/>
        </w:rPr>
        <w:t>, 注射器、注射针及其他医疗器械6%（鲁尔）圆锥接头 第</w:t>
      </w:r>
      <w:r>
        <w:rPr>
          <w:rFonts w:hint="eastAsia" w:eastAsia="仿宋_GB2312"/>
          <w:szCs w:val="32"/>
          <w:lang w:val="en-US" w:eastAsia="zh-CN"/>
        </w:rPr>
        <w:t>2</w:t>
      </w:r>
      <w:r>
        <w:rPr>
          <w:rFonts w:hint="eastAsia" w:eastAsia="仿宋_GB2312"/>
          <w:szCs w:val="32"/>
        </w:rPr>
        <w:t>部分：</w:t>
      </w:r>
      <w:r>
        <w:rPr>
          <w:rFonts w:hint="eastAsia" w:eastAsia="仿宋_GB2312"/>
          <w:szCs w:val="32"/>
          <w:lang w:eastAsia="zh-CN"/>
        </w:rPr>
        <w:t>锁定接头</w:t>
      </w:r>
      <w:r>
        <w:rPr>
          <w:rFonts w:hint="eastAsia" w:eastAsia="仿宋_GB2312"/>
          <w:szCs w:val="32"/>
        </w:rPr>
        <w:t>[S].</w:t>
      </w:r>
    </w:p>
    <w:p>
      <w:pPr>
        <w:spacing w:line="520" w:lineRule="exact"/>
        <w:ind w:firstLine="640" w:firstLineChars="200"/>
        <w:rPr>
          <w:rFonts w:hint="eastAsia" w:eastAsia="仿宋_GB2312"/>
          <w:szCs w:val="32"/>
        </w:rPr>
      </w:pPr>
      <w:r>
        <w:rPr>
          <w:rFonts w:hint="eastAsia" w:eastAsia="仿宋_GB2312"/>
          <w:szCs w:val="32"/>
        </w:rPr>
        <w:t>[2</w:t>
      </w:r>
      <w:r>
        <w:rPr>
          <w:rFonts w:hint="eastAsia" w:eastAsia="仿宋_GB2312"/>
          <w:szCs w:val="32"/>
          <w:lang w:val="en-US" w:eastAsia="zh-CN"/>
        </w:rPr>
        <w:t>5</w:t>
      </w:r>
      <w:r>
        <w:rPr>
          <w:rFonts w:hint="eastAsia" w:eastAsia="仿宋_GB2312"/>
          <w:szCs w:val="32"/>
        </w:rPr>
        <w:t>]GB/T 1</w:t>
      </w:r>
      <w:r>
        <w:rPr>
          <w:rFonts w:hint="eastAsia" w:eastAsia="仿宋_GB2312"/>
          <w:szCs w:val="32"/>
          <w:lang w:val="en-US" w:eastAsia="zh-CN"/>
        </w:rPr>
        <w:t>8457</w:t>
      </w:r>
      <w:r>
        <w:rPr>
          <w:rFonts w:hint="eastAsia" w:eastAsia="仿宋_GB2312"/>
          <w:szCs w:val="32"/>
        </w:rPr>
        <w:t xml:space="preserve">, </w:t>
      </w:r>
      <w:r>
        <w:rPr>
          <w:rFonts w:hint="eastAsia" w:eastAsia="仿宋_GB2312"/>
          <w:szCs w:val="32"/>
          <w:lang w:eastAsia="zh-CN"/>
        </w:rPr>
        <w:t>制造医疗器械用不锈钢针管要求和试验方法</w:t>
      </w:r>
      <w:r>
        <w:rPr>
          <w:rFonts w:hint="eastAsia" w:eastAsia="仿宋_GB2312"/>
          <w:szCs w:val="32"/>
        </w:rPr>
        <w:t>[S].</w:t>
      </w:r>
    </w:p>
    <w:p>
      <w:pPr>
        <w:spacing w:line="520" w:lineRule="exact"/>
        <w:ind w:firstLine="640" w:firstLineChars="200"/>
        <w:rPr>
          <w:rFonts w:hint="eastAsia" w:eastAsia="仿宋_GB2312"/>
          <w:szCs w:val="32"/>
        </w:rPr>
      </w:pPr>
      <w:r>
        <w:rPr>
          <w:rFonts w:hint="eastAsia" w:eastAsia="仿宋_GB2312"/>
          <w:szCs w:val="32"/>
        </w:rPr>
        <w:t>[2</w:t>
      </w:r>
      <w:r>
        <w:rPr>
          <w:rFonts w:hint="eastAsia" w:eastAsia="仿宋_GB2312"/>
          <w:szCs w:val="32"/>
          <w:lang w:val="en-US" w:eastAsia="zh-CN"/>
        </w:rPr>
        <w:t>6</w:t>
      </w:r>
      <w:r>
        <w:rPr>
          <w:rFonts w:hint="eastAsia" w:eastAsia="仿宋_GB2312"/>
          <w:szCs w:val="32"/>
        </w:rPr>
        <w:t>]GB 1</w:t>
      </w:r>
      <w:r>
        <w:rPr>
          <w:rFonts w:hint="eastAsia" w:eastAsia="仿宋_GB2312"/>
          <w:szCs w:val="32"/>
          <w:lang w:val="en-US" w:eastAsia="zh-CN"/>
        </w:rPr>
        <w:t>8280.1</w:t>
      </w:r>
      <w:r>
        <w:rPr>
          <w:rFonts w:hint="eastAsia" w:eastAsia="仿宋_GB2312"/>
          <w:szCs w:val="32"/>
        </w:rPr>
        <w:t>, 医疗</w:t>
      </w:r>
      <w:r>
        <w:rPr>
          <w:rFonts w:hint="eastAsia" w:eastAsia="仿宋_GB2312"/>
          <w:szCs w:val="32"/>
          <w:lang w:eastAsia="zh-CN"/>
        </w:rPr>
        <w:t>保健产品灭菌</w:t>
      </w:r>
      <w:r>
        <w:rPr>
          <w:rFonts w:hint="eastAsia" w:eastAsia="仿宋_GB2312"/>
          <w:szCs w:val="32"/>
          <w:lang w:val="en-US" w:eastAsia="zh-CN"/>
        </w:rPr>
        <w:t xml:space="preserve"> 辐射</w:t>
      </w:r>
      <w:r>
        <w:rPr>
          <w:rFonts w:hint="eastAsia" w:eastAsia="仿宋_GB2312"/>
          <w:szCs w:val="32"/>
        </w:rPr>
        <w:t xml:space="preserve"> 第</w:t>
      </w:r>
      <w:r>
        <w:rPr>
          <w:rFonts w:hint="eastAsia" w:eastAsia="仿宋_GB2312"/>
          <w:szCs w:val="32"/>
          <w:lang w:val="en-US" w:eastAsia="zh-CN"/>
        </w:rPr>
        <w:t>1</w:t>
      </w:r>
      <w:r>
        <w:rPr>
          <w:rFonts w:hint="eastAsia" w:eastAsia="仿宋_GB2312"/>
          <w:szCs w:val="32"/>
        </w:rPr>
        <w:t>部分：</w:t>
      </w:r>
      <w:r>
        <w:rPr>
          <w:rFonts w:hint="eastAsia" w:eastAsia="仿宋_GB2312"/>
          <w:szCs w:val="32"/>
          <w:lang w:eastAsia="zh-CN"/>
        </w:rPr>
        <w:t>医疗器械灭菌过程的开发、确认和常规控制要求</w:t>
      </w:r>
      <w:r>
        <w:rPr>
          <w:rFonts w:hint="eastAsia" w:eastAsia="仿宋_GB2312"/>
          <w:szCs w:val="32"/>
        </w:rPr>
        <w:t>[S].</w:t>
      </w:r>
    </w:p>
    <w:p>
      <w:pPr>
        <w:spacing w:line="520" w:lineRule="exact"/>
        <w:ind w:firstLine="640" w:firstLineChars="200"/>
        <w:rPr>
          <w:rFonts w:hint="eastAsia" w:eastAsia="仿宋_GB2312"/>
          <w:szCs w:val="32"/>
        </w:rPr>
      </w:pPr>
      <w:r>
        <w:rPr>
          <w:rFonts w:hint="eastAsia" w:eastAsia="仿宋_GB2312"/>
          <w:szCs w:val="32"/>
        </w:rPr>
        <w:t>[2</w:t>
      </w:r>
      <w:r>
        <w:rPr>
          <w:rFonts w:hint="eastAsia" w:eastAsia="仿宋_GB2312"/>
          <w:szCs w:val="32"/>
          <w:lang w:val="en-US" w:eastAsia="zh-CN"/>
        </w:rPr>
        <w:t>7</w:t>
      </w:r>
      <w:r>
        <w:rPr>
          <w:rFonts w:hint="eastAsia" w:eastAsia="仿宋_GB2312"/>
          <w:szCs w:val="32"/>
        </w:rPr>
        <w:t>]GB 1</w:t>
      </w:r>
      <w:r>
        <w:rPr>
          <w:rFonts w:hint="eastAsia" w:eastAsia="仿宋_GB2312"/>
          <w:szCs w:val="32"/>
          <w:lang w:val="en-US" w:eastAsia="zh-CN"/>
        </w:rPr>
        <w:t>8279</w:t>
      </w:r>
      <w:r>
        <w:rPr>
          <w:rFonts w:hint="eastAsia" w:eastAsia="仿宋_GB2312"/>
          <w:szCs w:val="32"/>
        </w:rPr>
        <w:t>, 医疗保健产品灭菌</w:t>
      </w:r>
      <w:r>
        <w:rPr>
          <w:rFonts w:hint="eastAsia" w:eastAsia="仿宋_GB2312"/>
          <w:szCs w:val="32"/>
          <w:lang w:val="en-US" w:eastAsia="zh-CN"/>
        </w:rPr>
        <w:t xml:space="preserve"> 环氧乙烷</w:t>
      </w:r>
      <w:r>
        <w:rPr>
          <w:rFonts w:hint="eastAsia" w:eastAsia="仿宋_GB2312"/>
          <w:szCs w:val="32"/>
        </w:rPr>
        <w:t xml:space="preserve"> </w:t>
      </w:r>
      <w:r>
        <w:rPr>
          <w:rFonts w:hint="eastAsia" w:eastAsia="仿宋_GB2312"/>
          <w:szCs w:val="32"/>
          <w:lang w:eastAsia="zh-CN"/>
        </w:rPr>
        <w:t>医疗器械灭菌</w:t>
      </w:r>
      <w:r>
        <w:rPr>
          <w:rFonts w:hint="eastAsia" w:eastAsia="仿宋_GB2312"/>
          <w:szCs w:val="32"/>
        </w:rPr>
        <w:t>过程的开发、确认和常规控制要求[S].</w:t>
      </w:r>
    </w:p>
    <w:p>
      <w:pPr>
        <w:spacing w:line="520" w:lineRule="exact"/>
        <w:ind w:firstLine="640" w:firstLineChars="200"/>
        <w:rPr>
          <w:rFonts w:hint="eastAsia" w:eastAsia="仿宋_GB2312"/>
          <w:szCs w:val="32"/>
        </w:rPr>
      </w:pPr>
      <w:r>
        <w:rPr>
          <w:rFonts w:hint="eastAsia" w:eastAsia="仿宋_GB2312"/>
          <w:szCs w:val="32"/>
        </w:rPr>
        <w:t>[2</w:t>
      </w:r>
      <w:r>
        <w:rPr>
          <w:rFonts w:hint="eastAsia" w:eastAsia="仿宋_GB2312"/>
          <w:szCs w:val="32"/>
          <w:lang w:val="en-US" w:eastAsia="zh-CN"/>
        </w:rPr>
        <w:t>8</w:t>
      </w:r>
      <w:r>
        <w:rPr>
          <w:rFonts w:hint="eastAsia" w:eastAsia="仿宋_GB2312"/>
          <w:szCs w:val="32"/>
        </w:rPr>
        <w:t>]YY/T 0466.1, 医疗器械 用于医疗器械标签、标记和提供信息的符号第1部分：通用要求[S].</w:t>
      </w:r>
    </w:p>
    <w:p>
      <w:pPr>
        <w:spacing w:line="520" w:lineRule="exact"/>
        <w:ind w:firstLine="640" w:firstLineChars="200"/>
        <w:rPr>
          <w:rFonts w:hint="eastAsia" w:eastAsia="仿宋_GB2312"/>
          <w:szCs w:val="32"/>
          <w:lang w:val="en-US" w:eastAsia="zh-CN"/>
        </w:rPr>
      </w:pPr>
      <w:r>
        <w:rPr>
          <w:rFonts w:hint="eastAsia" w:eastAsia="仿宋_GB2312"/>
          <w:szCs w:val="32"/>
        </w:rPr>
        <w:t>[2</w:t>
      </w:r>
      <w:r>
        <w:rPr>
          <w:rFonts w:hint="eastAsia" w:eastAsia="仿宋_GB2312"/>
          <w:szCs w:val="32"/>
          <w:lang w:val="en-US" w:eastAsia="zh-CN"/>
        </w:rPr>
        <w:t>9</w:t>
      </w:r>
      <w:r>
        <w:rPr>
          <w:rFonts w:hint="eastAsia" w:eastAsia="仿宋_GB2312"/>
          <w:szCs w:val="32"/>
        </w:rPr>
        <w:t>]YY/T 1437, 医疗器械 GB/T 42062</w:t>
      </w:r>
      <w:r>
        <w:rPr>
          <w:rFonts w:hint="eastAsia" w:eastAsia="仿宋_GB2312"/>
          <w:szCs w:val="32"/>
          <w:lang w:val="en-US" w:eastAsia="zh-CN"/>
        </w:rPr>
        <w:t xml:space="preserve"> 应用指南[S].</w:t>
      </w:r>
    </w:p>
    <w:p>
      <w:pPr>
        <w:spacing w:line="520" w:lineRule="exact"/>
        <w:ind w:firstLine="640" w:firstLineChars="200"/>
        <w:rPr>
          <w:rFonts w:hint="eastAsia" w:eastAsia="仿宋_GB2312"/>
          <w:szCs w:val="32"/>
          <w:lang w:val="en-US" w:eastAsia="zh-CN"/>
        </w:rPr>
      </w:pPr>
      <w:r>
        <w:rPr>
          <w:rFonts w:hint="eastAsia" w:eastAsia="仿宋_GB2312"/>
          <w:szCs w:val="32"/>
          <w:lang w:val="en-US" w:eastAsia="zh-CN"/>
        </w:rPr>
        <w:t>[30]YY/T 0861.1, 无菌医疗器械包装试验方法 第一部分：加速老化试验指南[S].</w:t>
      </w:r>
    </w:p>
    <w:p>
      <w:pPr>
        <w:spacing w:line="520" w:lineRule="exact"/>
        <w:ind w:firstLine="640" w:firstLineChars="200"/>
        <w:rPr>
          <w:rFonts w:hint="eastAsia" w:eastAsia="仿宋_GB2312"/>
          <w:szCs w:val="32"/>
          <w:lang w:val="en-US" w:eastAsia="zh-CN"/>
        </w:rPr>
      </w:pPr>
      <w:r>
        <w:rPr>
          <w:rFonts w:hint="eastAsia" w:eastAsia="仿宋_GB2312"/>
          <w:szCs w:val="32"/>
          <w:lang w:val="en-US" w:eastAsia="zh-CN"/>
        </w:rPr>
        <w:t>[31]中华人民共和国药典（2025版）[Z].</w:t>
      </w:r>
    </w:p>
    <w:p>
      <w:pPr>
        <w:spacing w:line="520" w:lineRule="exact"/>
        <w:ind w:firstLine="640" w:firstLineChars="200"/>
        <w:rPr>
          <w:rFonts w:eastAsia="黑体"/>
          <w:bCs/>
          <w:szCs w:val="32"/>
        </w:rPr>
      </w:pPr>
      <w:r>
        <w:rPr>
          <w:rFonts w:eastAsia="黑体"/>
          <w:bCs/>
          <w:szCs w:val="32"/>
        </w:rPr>
        <w:br w:type="page"/>
      </w:r>
    </w:p>
    <w:p>
      <w:pPr>
        <w:spacing w:line="520" w:lineRule="exact"/>
        <w:rPr>
          <w:rFonts w:eastAsia="黑体"/>
          <w:szCs w:val="32"/>
        </w:rPr>
      </w:pPr>
      <w:r>
        <w:rPr>
          <w:rFonts w:hint="eastAsia" w:eastAsia="黑体"/>
          <w:szCs w:val="32"/>
        </w:rPr>
        <w:t>附录</w:t>
      </w:r>
      <w:r>
        <w:rPr>
          <w:rFonts w:hint="eastAsia" w:eastAsia="仿宋"/>
          <w:szCs w:val="28"/>
        </w:rPr>
        <w:t>1</w:t>
      </w:r>
    </w:p>
    <w:p>
      <w:pPr>
        <w:spacing w:line="520" w:lineRule="exact"/>
        <w:rPr>
          <w:rFonts w:eastAsia="黑体"/>
          <w:szCs w:val="32"/>
        </w:rPr>
      </w:pPr>
    </w:p>
    <w:p>
      <w:pPr>
        <w:spacing w:line="520" w:lineRule="exact"/>
        <w:jc w:val="center"/>
        <w:rPr>
          <w:rFonts w:eastAsia="黑体"/>
          <w:szCs w:val="28"/>
        </w:rPr>
      </w:pPr>
      <w:r>
        <w:rPr>
          <w:rFonts w:eastAsia="黑体"/>
          <w:szCs w:val="28"/>
        </w:rPr>
        <w:t>产品主要危害</w:t>
      </w:r>
    </w:p>
    <w:tbl>
      <w:tblPr>
        <w:tblStyle w:val="8"/>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6"/>
        <w:gridCol w:w="4173"/>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blHeader/>
          <w:jc w:val="center"/>
        </w:trPr>
        <w:tc>
          <w:tcPr>
            <w:tcW w:w="2526" w:type="dxa"/>
            <w:gridSpan w:val="2"/>
            <w:vAlign w:val="center"/>
          </w:tcPr>
          <w:p>
            <w:pPr>
              <w:tabs>
                <w:tab w:val="center" w:pos="1407"/>
                <w:tab w:val="right" w:pos="2814"/>
              </w:tabs>
              <w:spacing w:line="520" w:lineRule="exact"/>
              <w:jc w:val="center"/>
              <w:rPr>
                <w:rFonts w:hint="eastAsia" w:ascii="黑体" w:hAnsi="黑体" w:eastAsia="黑体"/>
                <w:bCs/>
                <w:sz w:val="28"/>
                <w:szCs w:val="28"/>
              </w:rPr>
            </w:pPr>
            <w:r>
              <w:rPr>
                <w:rFonts w:hint="eastAsia" w:ascii="黑体" w:hAnsi="黑体" w:eastAsia="黑体"/>
                <w:bCs/>
                <w:sz w:val="28"/>
                <w:szCs w:val="28"/>
              </w:rPr>
              <w:t>危害的分类</w:t>
            </w:r>
          </w:p>
        </w:tc>
        <w:tc>
          <w:tcPr>
            <w:tcW w:w="4173" w:type="dxa"/>
            <w:vAlign w:val="center"/>
          </w:tcPr>
          <w:p>
            <w:pPr>
              <w:spacing w:line="520" w:lineRule="exact"/>
              <w:jc w:val="center"/>
              <w:rPr>
                <w:rFonts w:hint="eastAsia" w:ascii="黑体" w:hAnsi="黑体" w:eastAsia="黑体"/>
                <w:bCs/>
                <w:sz w:val="28"/>
                <w:szCs w:val="28"/>
              </w:rPr>
            </w:pPr>
            <w:r>
              <w:rPr>
                <w:rFonts w:hint="eastAsia" w:ascii="黑体" w:hAnsi="黑体" w:eastAsia="黑体"/>
                <w:bCs/>
                <w:sz w:val="28"/>
                <w:szCs w:val="28"/>
              </w:rPr>
              <w:t>危害的形成因素</w:t>
            </w:r>
          </w:p>
        </w:tc>
        <w:tc>
          <w:tcPr>
            <w:tcW w:w="2229" w:type="dxa"/>
            <w:vAlign w:val="center"/>
          </w:tcPr>
          <w:p>
            <w:pPr>
              <w:spacing w:line="520" w:lineRule="exact"/>
              <w:jc w:val="center"/>
              <w:rPr>
                <w:rFonts w:hint="eastAsia" w:ascii="黑体" w:hAnsi="黑体" w:eastAsia="黑体"/>
                <w:bCs/>
                <w:sz w:val="28"/>
                <w:szCs w:val="28"/>
              </w:rPr>
            </w:pPr>
            <w:r>
              <w:rPr>
                <w:rFonts w:hint="eastAsia" w:ascii="黑体" w:hAnsi="黑体" w:eastAsia="黑体"/>
                <w:bCs/>
                <w:sz w:val="28"/>
                <w:szCs w:val="28"/>
              </w:rPr>
              <w:t>可能的后果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restart"/>
            <w:vAlign w:val="center"/>
          </w:tcPr>
          <w:p>
            <w:pPr>
              <w:spacing w:line="400" w:lineRule="exact"/>
              <w:jc w:val="left"/>
              <w:rPr>
                <w:rFonts w:eastAsia="仿宋_GB2312"/>
                <w:sz w:val="28"/>
                <w:szCs w:val="28"/>
              </w:rPr>
            </w:pPr>
            <w:r>
              <w:rPr>
                <w:rFonts w:hint="eastAsia" w:eastAsia="仿宋_GB2312"/>
                <w:sz w:val="28"/>
                <w:szCs w:val="28"/>
              </w:rPr>
              <w:t>生物学危害和化学危害</w:t>
            </w:r>
          </w:p>
          <w:p>
            <w:pPr>
              <w:spacing w:line="400" w:lineRule="exact"/>
              <w:rPr>
                <w:rFonts w:eastAsia="仿宋_GB2312"/>
                <w:sz w:val="28"/>
                <w:szCs w:val="28"/>
              </w:rPr>
            </w:pPr>
          </w:p>
        </w:tc>
        <w:tc>
          <w:tcPr>
            <w:tcW w:w="1626" w:type="dxa"/>
            <w:vMerge w:val="restart"/>
            <w:vAlign w:val="center"/>
          </w:tcPr>
          <w:p>
            <w:pPr>
              <w:spacing w:line="400" w:lineRule="exact"/>
              <w:rPr>
                <w:rFonts w:eastAsia="仿宋_GB2312"/>
                <w:sz w:val="28"/>
                <w:szCs w:val="28"/>
              </w:rPr>
            </w:pPr>
            <w:r>
              <w:rPr>
                <w:rFonts w:hint="eastAsia" w:eastAsia="仿宋_GB2312"/>
                <w:sz w:val="28"/>
                <w:szCs w:val="28"/>
              </w:rPr>
              <w:t>生物污染</w:t>
            </w:r>
          </w:p>
        </w:tc>
        <w:tc>
          <w:tcPr>
            <w:tcW w:w="4173" w:type="dxa"/>
            <w:vAlign w:val="center"/>
          </w:tcPr>
          <w:p>
            <w:pPr>
              <w:spacing w:line="400" w:lineRule="exact"/>
              <w:rPr>
                <w:rFonts w:eastAsia="仿宋_GB2312"/>
                <w:sz w:val="28"/>
                <w:szCs w:val="28"/>
              </w:rPr>
            </w:pPr>
            <w:r>
              <w:rPr>
                <w:rFonts w:hint="eastAsia" w:eastAsia="仿宋_GB2312"/>
                <w:sz w:val="28"/>
                <w:szCs w:val="28"/>
              </w:rPr>
              <w:t>产品未设计成可以充分清洗消毒结构，无法被轻易的进行充分的清洗与灭菌。</w:t>
            </w:r>
            <w:r>
              <w:rPr>
                <w:rFonts w:hint="eastAsia" w:eastAsia="仿宋_GB2312"/>
                <w:sz w:val="28"/>
                <w:szCs w:val="28"/>
              </w:rPr>
              <w:tab/>
            </w:r>
          </w:p>
        </w:tc>
        <w:tc>
          <w:tcPr>
            <w:tcW w:w="2229" w:type="dxa"/>
            <w:vAlign w:val="center"/>
          </w:tcPr>
          <w:p>
            <w:pPr>
              <w:spacing w:line="400" w:lineRule="exact"/>
              <w:rPr>
                <w:rFonts w:eastAsia="仿宋_GB2312"/>
                <w:sz w:val="28"/>
                <w:szCs w:val="28"/>
              </w:rPr>
            </w:pPr>
            <w:r>
              <w:rPr>
                <w:rFonts w:hint="eastAsia" w:eastAsia="仿宋_GB2312"/>
                <w:sz w:val="28"/>
                <w:szCs w:val="28"/>
              </w:rPr>
              <w:t>产品带菌，引起交叉感染。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continue"/>
            <w:vAlign w:val="center"/>
          </w:tcPr>
          <w:p>
            <w:pPr>
              <w:spacing w:line="400" w:lineRule="exact"/>
              <w:jc w:val="center"/>
              <w:rPr>
                <w:rFonts w:eastAsia="仿宋_GB2312"/>
                <w:sz w:val="28"/>
                <w:szCs w:val="28"/>
              </w:rPr>
            </w:pPr>
          </w:p>
        </w:tc>
        <w:tc>
          <w:tcPr>
            <w:tcW w:w="1626" w:type="dxa"/>
            <w:vMerge w:val="continue"/>
            <w:vAlign w:val="center"/>
          </w:tcPr>
          <w:p>
            <w:pPr>
              <w:spacing w:line="400" w:lineRule="exact"/>
              <w:rPr>
                <w:rFonts w:eastAsia="仿宋_GB2312"/>
                <w:sz w:val="28"/>
                <w:szCs w:val="28"/>
              </w:rPr>
            </w:pPr>
          </w:p>
        </w:tc>
        <w:tc>
          <w:tcPr>
            <w:tcW w:w="4173" w:type="dxa"/>
            <w:vAlign w:val="center"/>
          </w:tcPr>
          <w:p>
            <w:pPr>
              <w:spacing w:line="400" w:lineRule="exact"/>
              <w:rPr>
                <w:rFonts w:eastAsia="仿宋_GB2312"/>
                <w:sz w:val="28"/>
                <w:szCs w:val="28"/>
              </w:rPr>
            </w:pPr>
            <w:r>
              <w:rPr>
                <w:rFonts w:hint="eastAsia" w:eastAsia="仿宋_GB2312"/>
                <w:sz w:val="28"/>
                <w:szCs w:val="28"/>
              </w:rPr>
              <w:t>包装破损或使用时操作不规范造成生物污染；灭菌未确认或未按已确认的参数灭菌。</w:t>
            </w:r>
          </w:p>
        </w:tc>
        <w:tc>
          <w:tcPr>
            <w:tcW w:w="2229" w:type="dxa"/>
            <w:vAlign w:val="center"/>
          </w:tcPr>
          <w:p>
            <w:pPr>
              <w:spacing w:line="400" w:lineRule="exact"/>
              <w:rPr>
                <w:rFonts w:eastAsia="仿宋_GB2312"/>
                <w:sz w:val="28"/>
                <w:szCs w:val="28"/>
              </w:rPr>
            </w:pPr>
            <w:r>
              <w:rPr>
                <w:rFonts w:hint="eastAsia" w:eastAsia="仿宋_GB2312"/>
                <w:sz w:val="28"/>
                <w:szCs w:val="28"/>
              </w:rPr>
              <w:t>产品携带致病菌，引起患者身体不适或感染。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生物不相容性</w:t>
            </w:r>
          </w:p>
        </w:tc>
        <w:tc>
          <w:tcPr>
            <w:tcW w:w="4173" w:type="dxa"/>
            <w:vAlign w:val="center"/>
          </w:tcPr>
          <w:p>
            <w:pPr>
              <w:spacing w:line="400" w:lineRule="exact"/>
              <w:rPr>
                <w:rFonts w:eastAsia="仿宋_GB2312"/>
                <w:sz w:val="28"/>
                <w:szCs w:val="28"/>
              </w:rPr>
            </w:pPr>
            <w:r>
              <w:rPr>
                <w:rFonts w:hint="eastAsia" w:eastAsia="仿宋_GB2312"/>
                <w:sz w:val="28"/>
                <w:szCs w:val="28"/>
              </w:rPr>
              <w:t>与人体接触的材料，不具有良好的生物相容性。</w:t>
            </w:r>
          </w:p>
        </w:tc>
        <w:tc>
          <w:tcPr>
            <w:tcW w:w="2229" w:type="dxa"/>
            <w:vAlign w:val="center"/>
          </w:tcPr>
          <w:p>
            <w:pPr>
              <w:spacing w:line="400" w:lineRule="exact"/>
              <w:rPr>
                <w:rFonts w:eastAsia="仿宋_GB2312"/>
                <w:sz w:val="28"/>
                <w:szCs w:val="28"/>
              </w:rPr>
            </w:pPr>
            <w:r>
              <w:rPr>
                <w:rFonts w:hint="eastAsia" w:eastAsia="仿宋_GB2312"/>
                <w:sz w:val="28"/>
                <w:szCs w:val="28"/>
              </w:rPr>
              <w:t>使用中产生细胞毒性、致敏反应等。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环境污染</w:t>
            </w:r>
          </w:p>
        </w:tc>
        <w:tc>
          <w:tcPr>
            <w:tcW w:w="4173" w:type="dxa"/>
            <w:vAlign w:val="center"/>
          </w:tcPr>
          <w:p>
            <w:pPr>
              <w:spacing w:line="400" w:lineRule="exact"/>
              <w:rPr>
                <w:rFonts w:eastAsia="仿宋_GB2312"/>
                <w:sz w:val="28"/>
                <w:szCs w:val="28"/>
              </w:rPr>
            </w:pPr>
            <w:r>
              <w:rPr>
                <w:rFonts w:hint="eastAsia" w:eastAsia="仿宋_GB2312"/>
                <w:sz w:val="28"/>
                <w:szCs w:val="28"/>
              </w:rPr>
              <w:t>生产环境污染产品，如外来的粉尘、微生物、其他杂质等。</w:t>
            </w:r>
          </w:p>
        </w:tc>
        <w:tc>
          <w:tcPr>
            <w:tcW w:w="2229" w:type="dxa"/>
            <w:vAlign w:val="center"/>
          </w:tcPr>
          <w:p>
            <w:pPr>
              <w:spacing w:line="400" w:lineRule="exact"/>
              <w:rPr>
                <w:rFonts w:eastAsia="仿宋_GB2312"/>
                <w:sz w:val="28"/>
                <w:szCs w:val="28"/>
              </w:rPr>
            </w:pPr>
            <w:r>
              <w:rPr>
                <w:rFonts w:hint="eastAsia" w:eastAsia="仿宋_GB2312"/>
                <w:sz w:val="28"/>
                <w:szCs w:val="28"/>
              </w:rPr>
              <w:t>引起患者身体不适或感染。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化学危害</w:t>
            </w:r>
            <w:r>
              <w:rPr>
                <w:rFonts w:hint="eastAsia" w:eastAsia="仿宋_GB2312"/>
                <w:sz w:val="28"/>
                <w:szCs w:val="28"/>
              </w:rPr>
              <w:tab/>
            </w:r>
          </w:p>
        </w:tc>
        <w:tc>
          <w:tcPr>
            <w:tcW w:w="4173" w:type="dxa"/>
            <w:vAlign w:val="center"/>
          </w:tcPr>
          <w:p>
            <w:pPr>
              <w:spacing w:line="400" w:lineRule="exact"/>
              <w:rPr>
                <w:rFonts w:eastAsia="仿宋_GB2312"/>
                <w:sz w:val="28"/>
                <w:szCs w:val="28"/>
              </w:rPr>
            </w:pPr>
            <w:r>
              <w:rPr>
                <w:rFonts w:hint="eastAsia" w:eastAsia="仿宋_GB2312"/>
                <w:sz w:val="28"/>
                <w:szCs w:val="28"/>
              </w:rPr>
              <w:t>生产工艺控制不严；不合格原辅材料（化学成分）；原辅材料腐蚀。</w:t>
            </w:r>
          </w:p>
        </w:tc>
        <w:tc>
          <w:tcPr>
            <w:tcW w:w="2229" w:type="dxa"/>
            <w:vAlign w:val="center"/>
          </w:tcPr>
          <w:p>
            <w:pPr>
              <w:spacing w:line="400" w:lineRule="exact"/>
              <w:rPr>
                <w:rFonts w:eastAsia="仿宋_GB2312"/>
                <w:sz w:val="28"/>
                <w:szCs w:val="28"/>
              </w:rPr>
            </w:pPr>
            <w:r>
              <w:rPr>
                <w:rFonts w:hint="eastAsia" w:eastAsia="仿宋_GB2312"/>
                <w:sz w:val="28"/>
                <w:szCs w:val="28"/>
              </w:rPr>
              <w:t>产生刺激或毒性，造成过敏或毒性反应。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Align w:val="center"/>
          </w:tcPr>
          <w:p>
            <w:pPr>
              <w:spacing w:line="400" w:lineRule="exact"/>
              <w:jc w:val="left"/>
              <w:rPr>
                <w:rFonts w:eastAsia="仿宋_GB2312"/>
                <w:sz w:val="28"/>
                <w:szCs w:val="28"/>
              </w:rPr>
            </w:pPr>
            <w:r>
              <w:rPr>
                <w:rFonts w:hint="eastAsia" w:eastAsia="仿宋_GB2312"/>
                <w:sz w:val="28"/>
                <w:szCs w:val="28"/>
              </w:rPr>
              <w:t>机械力</w:t>
            </w:r>
          </w:p>
        </w:tc>
        <w:tc>
          <w:tcPr>
            <w:tcW w:w="1626" w:type="dxa"/>
            <w:vAlign w:val="center"/>
          </w:tcPr>
          <w:p>
            <w:pPr>
              <w:spacing w:line="400" w:lineRule="exact"/>
              <w:rPr>
                <w:rFonts w:eastAsia="仿宋_GB2312"/>
                <w:sz w:val="28"/>
                <w:szCs w:val="28"/>
              </w:rPr>
            </w:pPr>
            <w:r>
              <w:rPr>
                <w:rFonts w:hint="eastAsia" w:eastAsia="仿宋_GB2312"/>
                <w:sz w:val="28"/>
                <w:szCs w:val="28"/>
              </w:rPr>
              <w:t>锐边、毛刺、间隙</w:t>
            </w:r>
          </w:p>
        </w:tc>
        <w:tc>
          <w:tcPr>
            <w:tcW w:w="4173" w:type="dxa"/>
            <w:vAlign w:val="center"/>
          </w:tcPr>
          <w:p>
            <w:pPr>
              <w:spacing w:line="400" w:lineRule="exact"/>
              <w:rPr>
                <w:rFonts w:eastAsia="仿宋_GB2312"/>
                <w:sz w:val="28"/>
                <w:szCs w:val="28"/>
              </w:rPr>
            </w:pPr>
            <w:r>
              <w:rPr>
                <w:rFonts w:hint="eastAsia" w:eastAsia="仿宋_GB2312"/>
                <w:sz w:val="28"/>
                <w:szCs w:val="28"/>
              </w:rPr>
              <w:t>与人体接触的部分，存在过大的间隙、锐边、毛刺等；与使用者接触的部分，存在锐边、毛刺等。</w:t>
            </w:r>
          </w:p>
        </w:tc>
        <w:tc>
          <w:tcPr>
            <w:tcW w:w="2229" w:type="dxa"/>
            <w:vAlign w:val="center"/>
          </w:tcPr>
          <w:p>
            <w:pPr>
              <w:spacing w:line="400" w:lineRule="exact"/>
              <w:rPr>
                <w:rFonts w:eastAsia="仿宋_GB2312"/>
                <w:sz w:val="28"/>
                <w:szCs w:val="28"/>
              </w:rPr>
            </w:pPr>
            <w:r>
              <w:rPr>
                <w:rFonts w:hint="eastAsia" w:eastAsia="仿宋_GB2312"/>
                <w:sz w:val="28"/>
                <w:szCs w:val="28"/>
              </w:rPr>
              <w:t>对组织造成意外伤害，对使用者造成损伤。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restart"/>
            <w:vAlign w:val="center"/>
          </w:tcPr>
          <w:p>
            <w:pPr>
              <w:spacing w:line="400" w:lineRule="exact"/>
              <w:rPr>
                <w:rFonts w:eastAsia="仿宋_GB2312"/>
                <w:sz w:val="28"/>
                <w:szCs w:val="28"/>
              </w:rPr>
            </w:pPr>
            <w:r>
              <w:rPr>
                <w:rFonts w:hint="eastAsia" w:eastAsia="仿宋_GB2312"/>
                <w:sz w:val="28"/>
                <w:szCs w:val="28"/>
              </w:rPr>
              <w:t>环境危害</w:t>
            </w:r>
          </w:p>
        </w:tc>
        <w:tc>
          <w:tcPr>
            <w:tcW w:w="1626" w:type="dxa"/>
            <w:vAlign w:val="center"/>
          </w:tcPr>
          <w:p>
            <w:pPr>
              <w:spacing w:line="400" w:lineRule="exact"/>
              <w:rPr>
                <w:rFonts w:eastAsia="仿宋_GB2312"/>
                <w:sz w:val="28"/>
                <w:szCs w:val="28"/>
              </w:rPr>
            </w:pPr>
            <w:r>
              <w:rPr>
                <w:rFonts w:hint="eastAsia" w:eastAsia="仿宋_GB2312"/>
                <w:sz w:val="28"/>
                <w:szCs w:val="28"/>
              </w:rPr>
              <w:t>储存或运行偏离预计的环境条件</w:t>
            </w:r>
          </w:p>
        </w:tc>
        <w:tc>
          <w:tcPr>
            <w:tcW w:w="4173" w:type="dxa"/>
            <w:vAlign w:val="center"/>
          </w:tcPr>
          <w:p>
            <w:pPr>
              <w:spacing w:line="400" w:lineRule="exact"/>
              <w:rPr>
                <w:rFonts w:eastAsia="仿宋_GB2312"/>
                <w:sz w:val="28"/>
                <w:szCs w:val="28"/>
              </w:rPr>
            </w:pPr>
            <w:r>
              <w:rPr>
                <w:rFonts w:hint="eastAsia" w:eastAsia="仿宋_GB2312"/>
                <w:sz w:val="28"/>
                <w:szCs w:val="28"/>
              </w:rPr>
              <w:t>储运条件（如温度、湿度、酸碱度）不符合要求。</w:t>
            </w:r>
          </w:p>
        </w:tc>
        <w:tc>
          <w:tcPr>
            <w:tcW w:w="2229" w:type="dxa"/>
            <w:vAlign w:val="center"/>
          </w:tcPr>
          <w:p>
            <w:pPr>
              <w:spacing w:line="400" w:lineRule="exact"/>
              <w:rPr>
                <w:rFonts w:eastAsia="仿宋_GB2312"/>
                <w:sz w:val="28"/>
                <w:szCs w:val="28"/>
              </w:rPr>
            </w:pPr>
            <w:r>
              <w:rPr>
                <w:rFonts w:hint="eastAsia" w:eastAsia="仿宋_GB2312"/>
                <w:sz w:val="28"/>
                <w:szCs w:val="28"/>
              </w:rPr>
              <w:t>产品老化、锈蚀。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意外的机械破坏</w:t>
            </w:r>
          </w:p>
        </w:tc>
        <w:tc>
          <w:tcPr>
            <w:tcW w:w="4173" w:type="dxa"/>
            <w:vAlign w:val="center"/>
          </w:tcPr>
          <w:p>
            <w:pPr>
              <w:spacing w:line="400" w:lineRule="exact"/>
              <w:rPr>
                <w:rFonts w:eastAsia="仿宋_GB2312"/>
                <w:sz w:val="28"/>
                <w:szCs w:val="28"/>
              </w:rPr>
            </w:pPr>
            <w:r>
              <w:rPr>
                <w:rFonts w:hint="eastAsia" w:eastAsia="仿宋_GB2312"/>
                <w:sz w:val="28"/>
                <w:szCs w:val="28"/>
              </w:rPr>
              <w:t>储运、使用过程中发生意外的机械性破坏。</w:t>
            </w:r>
          </w:p>
        </w:tc>
        <w:tc>
          <w:tcPr>
            <w:tcW w:w="2229" w:type="dxa"/>
            <w:vAlign w:val="center"/>
          </w:tcPr>
          <w:p>
            <w:pPr>
              <w:spacing w:line="400" w:lineRule="exact"/>
              <w:rPr>
                <w:rFonts w:eastAsia="仿宋_GB2312"/>
                <w:sz w:val="28"/>
                <w:szCs w:val="28"/>
              </w:rPr>
            </w:pPr>
            <w:r>
              <w:rPr>
                <w:rFonts w:hint="eastAsia" w:eastAsia="仿宋_GB2312"/>
                <w:sz w:val="28"/>
                <w:szCs w:val="28"/>
              </w:rPr>
              <w:t>产品使用性能无法得到保证。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900" w:type="dxa"/>
            <w:vMerge w:val="restart"/>
            <w:vAlign w:val="center"/>
          </w:tcPr>
          <w:p>
            <w:pPr>
              <w:spacing w:line="400" w:lineRule="exact"/>
              <w:rPr>
                <w:rFonts w:eastAsia="仿宋_GB2312"/>
                <w:sz w:val="28"/>
                <w:szCs w:val="28"/>
              </w:rPr>
            </w:pPr>
            <w:r>
              <w:rPr>
                <w:rFonts w:hint="eastAsia" w:eastAsia="仿宋_GB2312"/>
                <w:sz w:val="28"/>
                <w:szCs w:val="28"/>
              </w:rPr>
              <w:t>与医疗器械使用有关的危害</w:t>
            </w:r>
          </w:p>
        </w:tc>
        <w:tc>
          <w:tcPr>
            <w:tcW w:w="1626" w:type="dxa"/>
            <w:vAlign w:val="center"/>
          </w:tcPr>
          <w:p>
            <w:pPr>
              <w:spacing w:line="400" w:lineRule="exact"/>
              <w:rPr>
                <w:rFonts w:eastAsia="仿宋_GB2312"/>
                <w:sz w:val="28"/>
                <w:szCs w:val="28"/>
              </w:rPr>
            </w:pPr>
            <w:r>
              <w:rPr>
                <w:rFonts w:hint="eastAsia" w:eastAsia="仿宋_GB2312"/>
                <w:sz w:val="28"/>
                <w:szCs w:val="28"/>
              </w:rPr>
              <w:t>不适当的标记</w:t>
            </w:r>
          </w:p>
        </w:tc>
        <w:tc>
          <w:tcPr>
            <w:tcW w:w="4173" w:type="dxa"/>
            <w:vAlign w:val="center"/>
          </w:tcPr>
          <w:p>
            <w:pPr>
              <w:spacing w:line="400" w:lineRule="exact"/>
              <w:rPr>
                <w:rFonts w:eastAsia="仿宋_GB2312"/>
                <w:sz w:val="28"/>
                <w:szCs w:val="28"/>
              </w:rPr>
            </w:pPr>
            <w:r>
              <w:rPr>
                <w:rFonts w:hint="eastAsia" w:eastAsia="仿宋_GB2312"/>
                <w:sz w:val="28"/>
                <w:szCs w:val="28"/>
              </w:rPr>
              <w:t>标记不清晰、错误，没有按照要求进行标记。</w:t>
            </w:r>
          </w:p>
        </w:tc>
        <w:tc>
          <w:tcPr>
            <w:tcW w:w="2229" w:type="dxa"/>
            <w:vAlign w:val="center"/>
          </w:tcPr>
          <w:p>
            <w:pPr>
              <w:spacing w:line="400" w:lineRule="exact"/>
              <w:rPr>
                <w:rFonts w:eastAsia="仿宋_GB2312"/>
                <w:sz w:val="28"/>
                <w:szCs w:val="28"/>
              </w:rPr>
            </w:pPr>
            <w:r>
              <w:rPr>
                <w:rFonts w:hint="eastAsia" w:eastAsia="仿宋_GB2312"/>
                <w:sz w:val="28"/>
                <w:szCs w:val="28"/>
              </w:rPr>
              <w:t>错误使用、储存错误、产品辨别错误。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jc w:val="left"/>
              <w:rPr>
                <w:rFonts w:eastAsia="仿宋_GB2312"/>
                <w:sz w:val="28"/>
                <w:szCs w:val="28"/>
              </w:rPr>
            </w:pPr>
            <w:r>
              <w:rPr>
                <w:rFonts w:hint="eastAsia" w:eastAsia="仿宋_GB2312"/>
                <w:sz w:val="28"/>
                <w:szCs w:val="28"/>
              </w:rPr>
              <w:t>不适当的操作说明，如：预先检查规范不适当、操作说明书不准确、清晰</w:t>
            </w:r>
          </w:p>
        </w:tc>
        <w:tc>
          <w:tcPr>
            <w:tcW w:w="4173" w:type="dxa"/>
            <w:vAlign w:val="center"/>
          </w:tcPr>
          <w:p>
            <w:pPr>
              <w:spacing w:line="400" w:lineRule="exact"/>
              <w:rPr>
                <w:rFonts w:eastAsia="仿宋_GB2312"/>
                <w:sz w:val="28"/>
                <w:szCs w:val="28"/>
              </w:rPr>
            </w:pPr>
            <w:r>
              <w:rPr>
                <w:rFonts w:hint="eastAsia" w:eastAsia="仿宋_GB2312"/>
                <w:sz w:val="28"/>
                <w:szCs w:val="28"/>
              </w:rPr>
              <w:t>标记不清晰或标记缺失、标记错误、操作说明写的过于晦涩，难于理解。</w:t>
            </w:r>
          </w:p>
          <w:p>
            <w:pPr>
              <w:spacing w:line="400" w:lineRule="exact"/>
              <w:rPr>
                <w:rFonts w:eastAsia="仿宋_GB2312"/>
                <w:sz w:val="28"/>
                <w:szCs w:val="28"/>
              </w:rPr>
            </w:pPr>
          </w:p>
        </w:tc>
        <w:tc>
          <w:tcPr>
            <w:tcW w:w="2229" w:type="dxa"/>
            <w:vAlign w:val="center"/>
          </w:tcPr>
          <w:p>
            <w:pPr>
              <w:spacing w:line="400" w:lineRule="exact"/>
              <w:rPr>
                <w:rFonts w:eastAsia="仿宋_GB2312"/>
                <w:sz w:val="28"/>
                <w:szCs w:val="28"/>
              </w:rPr>
            </w:pPr>
            <w:r>
              <w:rPr>
                <w:rFonts w:hint="eastAsia" w:eastAsia="仿宋_GB2312"/>
                <w:sz w:val="28"/>
                <w:szCs w:val="28"/>
              </w:rPr>
              <w:t>无法保证使用安全性、导致操作失误。</w:t>
            </w:r>
          </w:p>
          <w:p>
            <w:pPr>
              <w:spacing w:line="40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由不熟练/未经培训的人员使用</w:t>
            </w:r>
          </w:p>
        </w:tc>
        <w:tc>
          <w:tcPr>
            <w:tcW w:w="4173" w:type="dxa"/>
            <w:vAlign w:val="center"/>
          </w:tcPr>
          <w:p>
            <w:pPr>
              <w:spacing w:line="400" w:lineRule="exact"/>
              <w:rPr>
                <w:rFonts w:eastAsia="仿宋_GB2312"/>
                <w:sz w:val="28"/>
                <w:szCs w:val="28"/>
              </w:rPr>
            </w:pPr>
            <w:r>
              <w:rPr>
                <w:rFonts w:hint="eastAsia" w:eastAsia="仿宋_GB2312"/>
                <w:sz w:val="28"/>
                <w:szCs w:val="28"/>
              </w:rPr>
              <w:t>操作不熟练、操作失误。</w:t>
            </w:r>
          </w:p>
        </w:tc>
        <w:tc>
          <w:tcPr>
            <w:tcW w:w="2229" w:type="dxa"/>
            <w:vAlign w:val="center"/>
          </w:tcPr>
          <w:p>
            <w:pPr>
              <w:spacing w:line="400" w:lineRule="exact"/>
              <w:rPr>
                <w:rFonts w:eastAsia="仿宋_GB2312"/>
                <w:sz w:val="28"/>
                <w:szCs w:val="28"/>
              </w:rPr>
            </w:pPr>
            <w:r>
              <w:rPr>
                <w:rFonts w:hint="eastAsia" w:eastAsia="仿宋_GB2312"/>
                <w:sz w:val="28"/>
                <w:szCs w:val="28"/>
              </w:rPr>
              <w:t>导致无法正常使用或造成无法预计的其他损伤。如针刺过深导致穿孔等。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忽视说明书中禁忌证、警示信息等内容</w:t>
            </w:r>
          </w:p>
        </w:tc>
        <w:tc>
          <w:tcPr>
            <w:tcW w:w="4173" w:type="dxa"/>
            <w:vAlign w:val="center"/>
          </w:tcPr>
          <w:p>
            <w:pPr>
              <w:spacing w:line="400" w:lineRule="exact"/>
              <w:rPr>
                <w:rFonts w:eastAsia="仿宋_GB2312"/>
                <w:sz w:val="28"/>
                <w:szCs w:val="28"/>
              </w:rPr>
            </w:pPr>
            <w:r>
              <w:rPr>
                <w:rFonts w:hint="eastAsia" w:eastAsia="仿宋_GB2312"/>
                <w:sz w:val="28"/>
                <w:szCs w:val="28"/>
              </w:rPr>
              <w:t>患者在使用过程中接触到过敏源。</w:t>
            </w:r>
          </w:p>
        </w:tc>
        <w:tc>
          <w:tcPr>
            <w:tcW w:w="2229" w:type="dxa"/>
            <w:vAlign w:val="center"/>
          </w:tcPr>
          <w:p>
            <w:pPr>
              <w:spacing w:line="400" w:lineRule="exact"/>
              <w:rPr>
                <w:rFonts w:eastAsia="仿宋_GB2312"/>
                <w:sz w:val="28"/>
                <w:szCs w:val="28"/>
              </w:rPr>
            </w:pPr>
            <w:r>
              <w:rPr>
                <w:rFonts w:hint="eastAsia" w:eastAsia="仿宋_GB2312"/>
                <w:sz w:val="28"/>
                <w:szCs w:val="28"/>
              </w:rPr>
              <w:t>造成患者过敏。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900" w:type="dxa"/>
            <w:vMerge w:val="restart"/>
            <w:vAlign w:val="center"/>
          </w:tcPr>
          <w:p>
            <w:pPr>
              <w:spacing w:line="400" w:lineRule="exact"/>
              <w:rPr>
                <w:rFonts w:eastAsia="仿宋_GB2312"/>
                <w:sz w:val="28"/>
                <w:szCs w:val="28"/>
              </w:rPr>
            </w:pPr>
            <w:r>
              <w:rPr>
                <w:rFonts w:hint="eastAsia" w:eastAsia="仿宋_GB2312"/>
                <w:sz w:val="28"/>
                <w:szCs w:val="28"/>
              </w:rPr>
              <w:t>信息</w:t>
            </w:r>
          </w:p>
          <w:p>
            <w:pPr>
              <w:spacing w:line="400" w:lineRule="exact"/>
              <w:rPr>
                <w:rFonts w:eastAsia="仿宋_GB2312"/>
                <w:sz w:val="28"/>
                <w:szCs w:val="28"/>
              </w:rPr>
            </w:pPr>
            <w:r>
              <w:rPr>
                <w:rFonts w:hint="eastAsia" w:eastAsia="仿宋_GB2312"/>
                <w:sz w:val="28"/>
                <w:szCs w:val="28"/>
              </w:rPr>
              <w:t>危害</w:t>
            </w:r>
          </w:p>
        </w:tc>
        <w:tc>
          <w:tcPr>
            <w:tcW w:w="1626" w:type="dxa"/>
            <w:vAlign w:val="center"/>
          </w:tcPr>
          <w:p>
            <w:pPr>
              <w:spacing w:line="400" w:lineRule="exact"/>
              <w:rPr>
                <w:rFonts w:eastAsia="仿宋_GB2312"/>
                <w:sz w:val="28"/>
                <w:szCs w:val="28"/>
              </w:rPr>
            </w:pPr>
            <w:r>
              <w:rPr>
                <w:rFonts w:hint="eastAsia" w:eastAsia="仿宋_GB2312"/>
                <w:sz w:val="28"/>
                <w:szCs w:val="28"/>
              </w:rPr>
              <w:t>不正确的标签</w:t>
            </w:r>
          </w:p>
        </w:tc>
        <w:tc>
          <w:tcPr>
            <w:tcW w:w="4173" w:type="dxa"/>
            <w:vAlign w:val="center"/>
          </w:tcPr>
          <w:p>
            <w:pPr>
              <w:spacing w:line="400" w:lineRule="exact"/>
              <w:rPr>
                <w:rFonts w:eastAsia="仿宋_GB2312"/>
                <w:sz w:val="28"/>
                <w:szCs w:val="28"/>
              </w:rPr>
            </w:pPr>
            <w:r>
              <w:rPr>
                <w:rFonts w:hint="eastAsia" w:eastAsia="仿宋_GB2312"/>
                <w:sz w:val="28"/>
                <w:szCs w:val="28"/>
              </w:rPr>
              <w:t>外部标记不全面、标记不正确或不清楚、不易认导致使用错误、储存错误、产品辨别错误、误用过期产品。</w:t>
            </w:r>
          </w:p>
        </w:tc>
        <w:tc>
          <w:tcPr>
            <w:tcW w:w="2229" w:type="dxa"/>
            <w:vAlign w:val="center"/>
          </w:tcPr>
          <w:p>
            <w:pPr>
              <w:spacing w:line="400" w:lineRule="exact"/>
              <w:rPr>
                <w:rFonts w:eastAsia="仿宋_GB2312"/>
                <w:sz w:val="28"/>
                <w:szCs w:val="28"/>
              </w:rPr>
            </w:pPr>
            <w:r>
              <w:rPr>
                <w:rFonts w:hint="eastAsia" w:eastAsia="仿宋_GB2312"/>
                <w:sz w:val="28"/>
                <w:szCs w:val="28"/>
              </w:rPr>
              <w:t>无法保证使用安全性；操作失误，无法达到满意的效果 ；造成患者感染。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不正确的说明书；说明书上的注意事项、禁忌证不全</w:t>
            </w:r>
          </w:p>
        </w:tc>
        <w:tc>
          <w:tcPr>
            <w:tcW w:w="4173" w:type="dxa"/>
            <w:vAlign w:val="center"/>
          </w:tcPr>
          <w:p>
            <w:pPr>
              <w:spacing w:line="400" w:lineRule="exact"/>
              <w:rPr>
                <w:rFonts w:eastAsia="仿宋_GB2312"/>
                <w:sz w:val="28"/>
                <w:szCs w:val="28"/>
              </w:rPr>
            </w:pPr>
            <w:r>
              <w:rPr>
                <w:rFonts w:hint="eastAsia" w:eastAsia="仿宋_GB2312"/>
                <w:sz w:val="28"/>
                <w:szCs w:val="28"/>
              </w:rPr>
              <w:t>缺少必要的警告说明；对一次性使用的医疗器械很可能再次使用的危害警告不适当，造成重复使用。</w:t>
            </w:r>
          </w:p>
        </w:tc>
        <w:tc>
          <w:tcPr>
            <w:tcW w:w="2229" w:type="dxa"/>
            <w:vAlign w:val="center"/>
          </w:tcPr>
          <w:p>
            <w:pPr>
              <w:spacing w:line="400" w:lineRule="exact"/>
              <w:rPr>
                <w:rFonts w:eastAsia="仿宋_GB2312"/>
                <w:sz w:val="28"/>
                <w:szCs w:val="28"/>
              </w:rPr>
            </w:pPr>
            <w:r>
              <w:rPr>
                <w:rFonts w:hint="eastAsia" w:eastAsia="仿宋_GB2312"/>
                <w:sz w:val="28"/>
                <w:szCs w:val="28"/>
              </w:rPr>
              <w:t>造成作用部位损伤；造成患者感染，无法保证使用安全性。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对医疗器械寿命终止缺少适当的决定</w:t>
            </w:r>
          </w:p>
        </w:tc>
        <w:tc>
          <w:tcPr>
            <w:tcW w:w="4173" w:type="dxa"/>
            <w:vAlign w:val="center"/>
          </w:tcPr>
          <w:p>
            <w:pPr>
              <w:spacing w:line="400" w:lineRule="exact"/>
              <w:rPr>
                <w:rFonts w:eastAsia="仿宋_GB2312"/>
                <w:sz w:val="28"/>
                <w:szCs w:val="28"/>
              </w:rPr>
            </w:pPr>
            <w:r>
              <w:rPr>
                <w:rFonts w:hint="eastAsia" w:eastAsia="仿宋_GB2312"/>
                <w:sz w:val="28"/>
                <w:szCs w:val="28"/>
              </w:rPr>
              <w:t>没有标识产品有效期。</w:t>
            </w:r>
          </w:p>
        </w:tc>
        <w:tc>
          <w:tcPr>
            <w:tcW w:w="2229" w:type="dxa"/>
            <w:vAlign w:val="center"/>
          </w:tcPr>
          <w:p>
            <w:pPr>
              <w:spacing w:line="400" w:lineRule="exact"/>
              <w:rPr>
                <w:rFonts w:eastAsia="仿宋_GB2312"/>
                <w:sz w:val="28"/>
                <w:szCs w:val="28"/>
              </w:rPr>
            </w:pPr>
            <w:r>
              <w:rPr>
                <w:rFonts w:hint="eastAsia" w:eastAsia="仿宋_GB2312"/>
                <w:sz w:val="28"/>
                <w:szCs w:val="28"/>
              </w:rPr>
              <w:t>超出有效期的产品，或因材料老化产生而导致产品性能不符合要求，无法保证使用安全性。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900" w:type="dxa"/>
            <w:vMerge w:val="continue"/>
            <w:vAlign w:val="center"/>
          </w:tcPr>
          <w:p>
            <w:pPr>
              <w:spacing w:line="400" w:lineRule="exact"/>
              <w:rPr>
                <w:rFonts w:eastAsia="仿宋_GB2312"/>
                <w:sz w:val="28"/>
                <w:szCs w:val="28"/>
              </w:rPr>
            </w:pPr>
          </w:p>
        </w:tc>
        <w:tc>
          <w:tcPr>
            <w:tcW w:w="1626" w:type="dxa"/>
            <w:vAlign w:val="center"/>
          </w:tcPr>
          <w:p>
            <w:pPr>
              <w:spacing w:line="400" w:lineRule="exact"/>
              <w:rPr>
                <w:rFonts w:eastAsia="仿宋_GB2312"/>
                <w:sz w:val="28"/>
                <w:szCs w:val="28"/>
              </w:rPr>
            </w:pPr>
            <w:r>
              <w:rPr>
                <w:rFonts w:hint="eastAsia" w:eastAsia="仿宋_GB2312"/>
                <w:sz w:val="28"/>
                <w:szCs w:val="28"/>
              </w:rPr>
              <w:t>未提供处置及废弃信息或提供信息不充分</w:t>
            </w:r>
          </w:p>
        </w:tc>
        <w:tc>
          <w:tcPr>
            <w:tcW w:w="4173" w:type="dxa"/>
            <w:vAlign w:val="center"/>
          </w:tcPr>
          <w:p>
            <w:pPr>
              <w:spacing w:line="400" w:lineRule="exact"/>
              <w:rPr>
                <w:rFonts w:eastAsia="仿宋_GB2312"/>
                <w:sz w:val="28"/>
                <w:szCs w:val="28"/>
              </w:rPr>
            </w:pPr>
            <w:r>
              <w:rPr>
                <w:rFonts w:hint="eastAsia" w:eastAsia="仿宋_GB2312"/>
                <w:sz w:val="28"/>
                <w:szCs w:val="28"/>
              </w:rPr>
              <w:t>错误的处置方法。</w:t>
            </w:r>
          </w:p>
        </w:tc>
        <w:tc>
          <w:tcPr>
            <w:tcW w:w="2229" w:type="dxa"/>
            <w:vAlign w:val="center"/>
          </w:tcPr>
          <w:p>
            <w:pPr>
              <w:spacing w:line="400" w:lineRule="exact"/>
              <w:rPr>
                <w:rFonts w:eastAsia="仿宋_GB2312"/>
                <w:sz w:val="28"/>
                <w:szCs w:val="28"/>
              </w:rPr>
            </w:pPr>
            <w:r>
              <w:rPr>
                <w:rFonts w:hint="eastAsia" w:eastAsia="仿宋_GB2312"/>
                <w:sz w:val="28"/>
                <w:szCs w:val="28"/>
              </w:rPr>
              <w:t>产品使用完后，未按医疗垃圾处理，造成扎伤及感染的风险。</w:t>
            </w:r>
          </w:p>
        </w:tc>
      </w:tr>
    </w:tbl>
    <w:p>
      <w:pPr>
        <w:spacing w:line="520" w:lineRule="exact"/>
        <w:rPr>
          <w:rFonts w:eastAsia="仿宋_GB2312"/>
          <w:color w:val="000000"/>
          <w:szCs w:val="32"/>
        </w:rPr>
      </w:pPr>
    </w:p>
    <w:sectPr>
      <w:headerReference r:id="rId3" w:type="default"/>
      <w:footerReference r:id="rId4"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dobe 仿宋 Std R">
    <w:altName w:val="方正仿宋_GBK"/>
    <w:panose1 w:val="00000000000000000000"/>
    <w:charset w:val="86"/>
    <w:family w:val="roman"/>
    <w:pitch w:val="default"/>
    <w:sig w:usb0="00000000" w:usb1="00000000" w:usb2="00000016" w:usb3="00000000" w:csb0="00060007" w:csb1="00000000"/>
  </w:font>
  <w:font w:name="DejaVu Sans">
    <w:panose1 w:val="020B0603030804020204"/>
    <w:charset w:val="00"/>
    <w:family w:val="roman"/>
    <w:pitch w:val="default"/>
    <w:sig w:usb0="E7006EFF" w:usb1="D200FDFF" w:usb2="0A246029" w:usb3="0400200C" w:csb0="600001FF" w:csb1="DFFF0000"/>
  </w:font>
  <w:font w:name="Tahoma">
    <w:altName w:val="DejaVu Sans"/>
    <w:panose1 w:val="020B0604030504040204"/>
    <w:charset w:val="00"/>
    <w:family w:val="swiss"/>
    <w:pitch w:val="default"/>
    <w:sig w:usb0="00000000" w:usb1="00000000" w:usb2="00000029" w:usb3="00000000" w:csb0="000101F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0000000000000000000"/>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0000000000000000000"/>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7</w:t>
    </w:r>
    <w:r>
      <w:rPr>
        <w:sz w:val="28"/>
        <w:szCs w:val="28"/>
      </w:rPr>
      <w:fldChar w:fldCharType="end"/>
    </w:r>
    <w:r>
      <w:rPr>
        <w:sz w:val="28"/>
        <w:szCs w:val="28"/>
      </w:rPr>
      <w:t xml:space="preserve"> —</w:t>
    </w:r>
  </w:p>
  <w:p>
    <w:pPr>
      <w:pStyle w:val="5"/>
    </w:pPr>
    <w: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left:205.95pt;margin-top:0pt;height:144pt;width:144pt;mso-position-horizontal-relative:margin;mso-wrap-style:none;z-index:251659264;mso-width-relative:page;mso-height-relative:page;" filled="f" stroked="f" coordsize="21600,21600" o:gfxdata="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CjcsI31QAAAAgBAAAPAAAAAAAAAAEAIAAAADgAAABkcnMvZG93bnJldi54bWxQSwEC&#10;FAAUAAAACACHTuJAHp6bvxoCAAAnBAAADgAAAAAAAAABACAAAAA6AQAAZHJzL2Uyb0RvYy54bWxQ&#10;SwUGAAAAAAYABgBZAQAAxg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E4B89"/>
    <w:multiLevelType w:val="singleLevel"/>
    <w:tmpl w:val="25FE4B89"/>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00017B68"/>
    <w:rsid w:val="0007686E"/>
    <w:rsid w:val="000C6CA4"/>
    <w:rsid w:val="000E5335"/>
    <w:rsid w:val="00145167"/>
    <w:rsid w:val="0015622E"/>
    <w:rsid w:val="001C3A87"/>
    <w:rsid w:val="001E0961"/>
    <w:rsid w:val="00242375"/>
    <w:rsid w:val="00244DF7"/>
    <w:rsid w:val="00271440"/>
    <w:rsid w:val="00277473"/>
    <w:rsid w:val="00291759"/>
    <w:rsid w:val="00294D2B"/>
    <w:rsid w:val="002A179F"/>
    <w:rsid w:val="002B24A0"/>
    <w:rsid w:val="002F2978"/>
    <w:rsid w:val="0030368E"/>
    <w:rsid w:val="003137C1"/>
    <w:rsid w:val="00332DE8"/>
    <w:rsid w:val="003450A4"/>
    <w:rsid w:val="00355421"/>
    <w:rsid w:val="00365AB2"/>
    <w:rsid w:val="00410598"/>
    <w:rsid w:val="00415C88"/>
    <w:rsid w:val="00435AC6"/>
    <w:rsid w:val="00440708"/>
    <w:rsid w:val="004410B9"/>
    <w:rsid w:val="004B7AE5"/>
    <w:rsid w:val="004C4DBC"/>
    <w:rsid w:val="004E39ED"/>
    <w:rsid w:val="005041BA"/>
    <w:rsid w:val="00534F4C"/>
    <w:rsid w:val="0055600B"/>
    <w:rsid w:val="005A1410"/>
    <w:rsid w:val="005A204F"/>
    <w:rsid w:val="005F1479"/>
    <w:rsid w:val="006A1165"/>
    <w:rsid w:val="006C00CB"/>
    <w:rsid w:val="006E68A9"/>
    <w:rsid w:val="006E7148"/>
    <w:rsid w:val="00716619"/>
    <w:rsid w:val="00745098"/>
    <w:rsid w:val="00753B33"/>
    <w:rsid w:val="007646FC"/>
    <w:rsid w:val="00787F7E"/>
    <w:rsid w:val="007904F6"/>
    <w:rsid w:val="007D341A"/>
    <w:rsid w:val="00815364"/>
    <w:rsid w:val="00821079"/>
    <w:rsid w:val="0084418D"/>
    <w:rsid w:val="00845C30"/>
    <w:rsid w:val="00933041"/>
    <w:rsid w:val="00937F0E"/>
    <w:rsid w:val="009E1B71"/>
    <w:rsid w:val="009E2514"/>
    <w:rsid w:val="009F209D"/>
    <w:rsid w:val="00A23EC2"/>
    <w:rsid w:val="00A25C1A"/>
    <w:rsid w:val="00A73BFE"/>
    <w:rsid w:val="00AA52D7"/>
    <w:rsid w:val="00B41578"/>
    <w:rsid w:val="00B66355"/>
    <w:rsid w:val="00B74530"/>
    <w:rsid w:val="00B9118A"/>
    <w:rsid w:val="00BC2983"/>
    <w:rsid w:val="00BC7C84"/>
    <w:rsid w:val="00BD300F"/>
    <w:rsid w:val="00BE669C"/>
    <w:rsid w:val="00C0562D"/>
    <w:rsid w:val="00C25F69"/>
    <w:rsid w:val="00C40950"/>
    <w:rsid w:val="00C74CE1"/>
    <w:rsid w:val="00C91F47"/>
    <w:rsid w:val="00CB4CCD"/>
    <w:rsid w:val="00D32614"/>
    <w:rsid w:val="00D36F91"/>
    <w:rsid w:val="00D4450D"/>
    <w:rsid w:val="00DA1552"/>
    <w:rsid w:val="00DD740E"/>
    <w:rsid w:val="00E07E6A"/>
    <w:rsid w:val="00E11CE2"/>
    <w:rsid w:val="00E11D78"/>
    <w:rsid w:val="00E72EF4"/>
    <w:rsid w:val="00EB1A04"/>
    <w:rsid w:val="00EC523A"/>
    <w:rsid w:val="00ED0226"/>
    <w:rsid w:val="00EE261B"/>
    <w:rsid w:val="00EE4EBB"/>
    <w:rsid w:val="00F31CB3"/>
    <w:rsid w:val="00F81D1A"/>
    <w:rsid w:val="00FB46B2"/>
    <w:rsid w:val="00FD6982"/>
    <w:rsid w:val="00FF0F38"/>
    <w:rsid w:val="1FFF6ED8"/>
    <w:rsid w:val="29D238DE"/>
    <w:rsid w:val="33DAF3E9"/>
    <w:rsid w:val="3EE30952"/>
    <w:rsid w:val="3FF2A545"/>
    <w:rsid w:val="4FFD4B39"/>
    <w:rsid w:val="5B356D80"/>
    <w:rsid w:val="5B746366"/>
    <w:rsid w:val="5F9D0D3F"/>
    <w:rsid w:val="5FEAD44F"/>
    <w:rsid w:val="6B737129"/>
    <w:rsid w:val="707C3028"/>
    <w:rsid w:val="73EF5040"/>
    <w:rsid w:val="7BFC5730"/>
    <w:rsid w:val="7EF318ED"/>
    <w:rsid w:val="7F7F4CC2"/>
    <w:rsid w:val="7FBB9739"/>
    <w:rsid w:val="7FBFA8EB"/>
    <w:rsid w:val="7FF3699A"/>
    <w:rsid w:val="7FFF98CE"/>
    <w:rsid w:val="AAFEBB56"/>
    <w:rsid w:val="BDCF0213"/>
    <w:rsid w:val="BEDF9589"/>
    <w:rsid w:val="BF971873"/>
    <w:rsid w:val="BFA8EEA5"/>
    <w:rsid w:val="CF6F6625"/>
    <w:rsid w:val="DE7BC18B"/>
    <w:rsid w:val="DEF70035"/>
    <w:rsid w:val="DFFDB652"/>
    <w:rsid w:val="DFFFE17D"/>
    <w:rsid w:val="E9557AE5"/>
    <w:rsid w:val="ED776AC6"/>
    <w:rsid w:val="EF9F915E"/>
    <w:rsid w:val="EFCC4C94"/>
    <w:rsid w:val="FAAB2A95"/>
    <w:rsid w:val="FBB7C68F"/>
    <w:rsid w:val="FBFE3D40"/>
    <w:rsid w:val="FD1FF7E7"/>
    <w:rsid w:val="FD6F6FF5"/>
    <w:rsid w:val="FDF752B8"/>
    <w:rsid w:val="FDFF531F"/>
    <w:rsid w:val="FEAE0312"/>
    <w:rsid w:val="FF7F9E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dobe 仿宋 Std R" w:cs="Times New Roman"/>
      <w:kern w:val="2"/>
      <w:sz w:val="32"/>
      <w:szCs w:val="24"/>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b/>
      <w:bCs/>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semiHidden/>
    <w:unhideWhenUsed/>
    <w:qFormat/>
    <w:uiPriority w:val="99"/>
    <w:pPr>
      <w:jc w:val="left"/>
    </w:pPr>
  </w:style>
  <w:style w:type="paragraph" w:styleId="4">
    <w:name w:val="Balloon Text"/>
    <w:basedOn w:val="1"/>
    <w:link w:val="14"/>
    <w:semiHidden/>
    <w:unhideWhenUsed/>
    <w:qFormat/>
    <w:uiPriority w:val="99"/>
    <w:rPr>
      <w:sz w:val="18"/>
      <w:szCs w:val="18"/>
    </w:rPr>
  </w:style>
  <w:style w:type="paragraph" w:styleId="5">
    <w:name w:val="footer"/>
    <w:basedOn w:val="1"/>
    <w:unhideWhenUsed/>
    <w:qFormat/>
    <w:uiPriority w:val="99"/>
    <w:pPr>
      <w:tabs>
        <w:tab w:val="center" w:pos="4153"/>
        <w:tab w:val="right" w:pos="8306"/>
      </w:tabs>
      <w:snapToGrid w:val="0"/>
      <w:jc w:val="left"/>
    </w:pPr>
    <w:rPr>
      <w:sz w:val="18"/>
    </w:r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7">
    <w:name w:val="annotation subject"/>
    <w:basedOn w:val="3"/>
    <w:next w:val="3"/>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styleId="11">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12">
    <w:name w:val="列出段落1"/>
    <w:basedOn w:val="1"/>
    <w:link w:val="13"/>
    <w:qFormat/>
    <w:uiPriority w:val="34"/>
    <w:pPr>
      <w:ind w:firstLine="420" w:firstLineChars="200"/>
    </w:pPr>
    <w:rPr>
      <w:rFonts w:eastAsia="仿宋_GB2312"/>
      <w:szCs w:val="32"/>
    </w:rPr>
  </w:style>
  <w:style w:type="character" w:customStyle="1" w:styleId="13">
    <w:name w:val="列出段落 Char"/>
    <w:basedOn w:val="9"/>
    <w:link w:val="12"/>
    <w:qFormat/>
    <w:uiPriority w:val="34"/>
    <w:rPr>
      <w:rFonts w:ascii="Times New Roman" w:hAnsi="Times New Roman" w:eastAsia="仿宋_GB2312" w:cs="Times New Roman"/>
      <w:sz w:val="32"/>
      <w:szCs w:val="32"/>
    </w:rPr>
  </w:style>
  <w:style w:type="character" w:customStyle="1" w:styleId="14">
    <w:name w:val="批注框文本 字符"/>
    <w:basedOn w:val="9"/>
    <w:link w:val="4"/>
    <w:semiHidden/>
    <w:qFormat/>
    <w:uiPriority w:val="99"/>
    <w:rPr>
      <w:rFonts w:ascii="Times New Roman" w:hAnsi="Times New Roman" w:eastAsia="Adobe 仿宋 Std R" w:cs="Times New Roman"/>
      <w:kern w:val="2"/>
      <w:sz w:val="18"/>
      <w:szCs w:val="18"/>
    </w:rPr>
  </w:style>
  <w:style w:type="paragraph" w:styleId="15">
    <w:name w:val="List Paragraph"/>
    <w:basedOn w:val="1"/>
    <w:unhideWhenUsed/>
    <w:qFormat/>
    <w:uiPriority w:val="99"/>
    <w:pPr>
      <w:ind w:firstLine="420" w:firstLineChars="200"/>
    </w:pPr>
  </w:style>
  <w:style w:type="character" w:customStyle="1" w:styleId="16">
    <w:name w:val="批注文字 字符"/>
    <w:basedOn w:val="9"/>
    <w:link w:val="3"/>
    <w:semiHidden/>
    <w:qFormat/>
    <w:uiPriority w:val="99"/>
    <w:rPr>
      <w:rFonts w:ascii="Times New Roman" w:hAnsi="Times New Roman" w:eastAsia="Adobe 仿宋 Std R" w:cs="Times New Roman"/>
      <w:kern w:val="2"/>
      <w:sz w:val="32"/>
      <w:szCs w:val="24"/>
    </w:rPr>
  </w:style>
  <w:style w:type="character" w:customStyle="1" w:styleId="17">
    <w:name w:val="批注主题 字符"/>
    <w:basedOn w:val="16"/>
    <w:link w:val="7"/>
    <w:semiHidden/>
    <w:qFormat/>
    <w:uiPriority w:val="99"/>
    <w:rPr>
      <w:rFonts w:ascii="Times New Roman" w:hAnsi="Times New Roman" w:eastAsia="Adobe 仿宋 Std R" w:cs="Times New Roman"/>
      <w:b/>
      <w:bCs/>
      <w:kern w:val="2"/>
      <w:sz w:val="32"/>
      <w:szCs w:val="24"/>
    </w:rPr>
  </w:style>
  <w:style w:type="paragraph" w:customStyle="1" w:styleId="18">
    <w:name w:val="正文1"/>
    <w:qFormat/>
    <w:uiPriority w:val="0"/>
    <w:pPr>
      <w:widowControl w:val="0"/>
      <w:spacing w:line="520" w:lineRule="exact"/>
      <w:ind w:firstLine="200" w:firstLineChars="200"/>
      <w:jc w:val="both"/>
    </w:pPr>
    <w:rPr>
      <w:rFonts w:ascii="Times New Roman" w:hAnsi="Times New Roman" w:eastAsia="仿宋" w:cs="Times New Roman"/>
      <w:kern w:val="2"/>
      <w:sz w:val="32"/>
      <w:szCs w:val="2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3786</Words>
  <Characters>4015</Characters>
  <Lines>267</Lines>
  <Paragraphs>205</Paragraphs>
  <TotalTime>244</TotalTime>
  <ScaleCrop>false</ScaleCrop>
  <LinksUpToDate>false</LinksUpToDate>
  <CharactersWithSpaces>7596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2026-05-26T03:25:00Z</dcterms:created>
  <dc:creator>董利华</dc:creator>
  <cp:lastModifiedBy>user</cp:lastModifiedBy>
  <dcterms:modified xsi:type="dcterms:W3CDTF">2026-07-31T11:28:14Z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A946306B261143EAB8F75712E7010A65</vt:lpwstr>
  </property>
</Properties>
</file>