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BBB34E">
      <w:pPr>
        <w:spacing w:line="520" w:lineRule="exact"/>
        <w:ind w:right="-67" w:rightChars="-32"/>
        <w:jc w:val="center"/>
        <w:rPr>
          <w:rFonts w:hint="default" w:ascii="Times New Roman" w:hAnsi="Times New Roman" w:eastAsia="方正小标宋简体" w:cs="Times New Roman"/>
          <w:color w:val="000000"/>
          <w:sz w:val="44"/>
          <w:szCs w:val="24"/>
        </w:rPr>
      </w:pPr>
      <w:r>
        <w:rPr>
          <w:rFonts w:hint="default" w:ascii="Times New Roman" w:hAnsi="Times New Roman" w:eastAsia="方正小标宋简体" w:cs="Times New Roman"/>
          <w:color w:val="000000"/>
          <w:sz w:val="44"/>
          <w:szCs w:val="24"/>
        </w:rPr>
        <w:fldChar w:fldCharType="begin"/>
      </w:r>
      <w:r>
        <w:rPr>
          <w:rFonts w:hint="default" w:ascii="Times New Roman" w:hAnsi="Times New Roman" w:eastAsia="方正小标宋简体" w:cs="Times New Roman"/>
          <w:color w:val="000000"/>
          <w:sz w:val="44"/>
          <w:szCs w:val="24"/>
        </w:rPr>
        <w:instrText xml:space="preserve"> HYPERLINK "http://www.anytesting.com/search/q-%E4%B8%80%E6%AC%A1%E6%80%A7%E4%BD%BF%E7%94%A8%E8%A1%80%E7%AE%A1%E5%86%85%E5%AF%BC%E7%AE%A1%E9%9E%98.html" </w:instrText>
      </w:r>
      <w:r>
        <w:rPr>
          <w:rFonts w:hint="default" w:ascii="Times New Roman" w:hAnsi="Times New Roman" w:eastAsia="方正小标宋简体" w:cs="Times New Roman"/>
          <w:color w:val="000000"/>
          <w:sz w:val="44"/>
          <w:szCs w:val="24"/>
        </w:rPr>
        <w:fldChar w:fldCharType="separate"/>
      </w:r>
      <w:r>
        <w:rPr>
          <w:rFonts w:hint="default" w:ascii="Times New Roman" w:hAnsi="Times New Roman" w:eastAsia="方正小标宋简体" w:cs="Times New Roman"/>
          <w:color w:val="000000"/>
          <w:sz w:val="44"/>
          <w:szCs w:val="24"/>
        </w:rPr>
        <w:t>导管鞘</w:t>
      </w:r>
      <w:r>
        <w:rPr>
          <w:rFonts w:hint="default" w:ascii="Times New Roman" w:hAnsi="Times New Roman" w:eastAsia="方正小标宋简体" w:cs="Times New Roman"/>
          <w:color w:val="000000"/>
          <w:sz w:val="44"/>
          <w:szCs w:val="24"/>
        </w:rPr>
        <w:fldChar w:fldCharType="end"/>
      </w:r>
      <w:r>
        <w:rPr>
          <w:rFonts w:hint="default" w:ascii="Times New Roman" w:hAnsi="Times New Roman" w:eastAsia="方正小标宋简体" w:cs="Times New Roman"/>
          <w:color w:val="000000"/>
          <w:sz w:val="44"/>
          <w:szCs w:val="24"/>
        </w:rPr>
        <w:t>注册审查指导原则</w:t>
      </w:r>
    </w:p>
    <w:p w14:paraId="58484B45">
      <w:pPr>
        <w:spacing w:line="520" w:lineRule="exact"/>
        <w:ind w:right="-67" w:rightChars="-32"/>
        <w:jc w:val="center"/>
        <w:rPr>
          <w:rFonts w:hint="default" w:ascii="Times New Roman" w:hAnsi="Times New Roman" w:eastAsia="方正小标宋简体" w:cs="Times New Roman"/>
          <w:color w:val="000000"/>
          <w:sz w:val="44"/>
          <w:szCs w:val="24"/>
          <w:lang w:eastAsia="zh-CN"/>
        </w:rPr>
      </w:pPr>
      <w:r>
        <w:rPr>
          <w:rFonts w:hint="default" w:ascii="Times New Roman" w:hAnsi="Times New Roman" w:eastAsia="方正小标宋简体" w:cs="Times New Roman"/>
          <w:color w:val="000000"/>
          <w:sz w:val="44"/>
          <w:szCs w:val="24"/>
          <w:lang w:eastAsia="zh-CN"/>
        </w:rPr>
        <w:t>（</w:t>
      </w:r>
      <w:r>
        <w:rPr>
          <w:rFonts w:hint="default" w:ascii="Times New Roman" w:hAnsi="Times New Roman" w:eastAsia="方正小标宋简体" w:cs="Times New Roman"/>
          <w:color w:val="000000"/>
          <w:sz w:val="44"/>
          <w:szCs w:val="24"/>
          <w:lang w:val="en-US" w:eastAsia="zh-CN"/>
        </w:rPr>
        <w:t>征求意见稿</w:t>
      </w:r>
      <w:r>
        <w:rPr>
          <w:rFonts w:hint="default" w:ascii="Times New Roman" w:hAnsi="Times New Roman" w:eastAsia="方正小标宋简体" w:cs="Times New Roman"/>
          <w:color w:val="000000"/>
          <w:sz w:val="44"/>
          <w:szCs w:val="24"/>
          <w:lang w:eastAsia="zh-CN"/>
        </w:rPr>
        <w:t>）</w:t>
      </w:r>
    </w:p>
    <w:p w14:paraId="4ADAA76E">
      <w:pPr>
        <w:pStyle w:val="6"/>
        <w:spacing w:before="0" w:beforeAutospacing="0" w:after="0" w:afterAutospacing="0" w:line="520" w:lineRule="exact"/>
        <w:ind w:firstLine="640" w:firstLineChars="200"/>
        <w:jc w:val="center"/>
        <w:rPr>
          <w:rFonts w:hint="default" w:ascii="Times New Roman" w:hAnsi="Times New Roman" w:eastAsia="仿宋_GB2312" w:cs="Times New Roman"/>
          <w:sz w:val="32"/>
          <w:szCs w:val="32"/>
        </w:rPr>
      </w:pPr>
    </w:p>
    <w:p w14:paraId="4155F69C">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本指导原则旨在指导注册申请人对导管鞘产品注册申报资料的准备及撰写，同时也为技术审评部门对注册申报资料的审评提供技术参考。</w:t>
      </w:r>
    </w:p>
    <w:p w14:paraId="2568EBE1">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指导原则是对导管鞘注册申报资料的一般要求，注册申请人需依据产品的具体特性确定其中内容是否适用。若不适用，需具体阐述理由及相应的科学依据，并依据产品的具体特性对注册申报资料的内容进行充实和细化。</w:t>
      </w:r>
    </w:p>
    <w:p w14:paraId="452DE557">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指导原则是供注册申请人和技术审评人员的指导性文件，但不包括注册审批所涉及的行政事项，亦不作为法规强制执行，需在遵循相关法规和强制性标准的前提下使用本指导原则。如果有能够满足相关法规要求的其他方法，也可以采用，但是需要提供详细的研究资料和验证资料。</w:t>
      </w:r>
    </w:p>
    <w:p w14:paraId="448B06E1">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本指导原则是在现行法规和标准体系以及当前认知水平下制定的，随着法规和标准的不断完善，以及科学技术的不断发展，本指导原则相关内容也将进行适时的调整。</w:t>
      </w:r>
    </w:p>
    <w:p w14:paraId="7387F81A">
      <w:pPr>
        <w:spacing w:line="520" w:lineRule="exact"/>
        <w:ind w:firstLine="640" w:firstLineChars="200"/>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一、适用范围</w:t>
      </w:r>
    </w:p>
    <w:p w14:paraId="1B69A3AF">
      <w:pPr>
        <w:spacing w:line="520" w:lineRule="exact"/>
        <w:ind w:firstLine="640" w:firstLineChars="200"/>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rPr>
        <w:t>本指导原则适用于按照第二类医疗器械管理的导管鞘，分类编码为</w:t>
      </w:r>
      <w:bookmarkStart w:id="0" w:name="OLE_LINK1"/>
      <w:r>
        <w:rPr>
          <w:rFonts w:hint="default" w:ascii="Times New Roman" w:hAnsi="Times New Roman" w:eastAsia="仿宋_GB2312" w:cs="Times New Roman"/>
          <w:color w:val="000000"/>
          <w:sz w:val="32"/>
          <w:szCs w:val="32"/>
        </w:rPr>
        <w:t>03-13-14。产品与扩张器配合使用，用于将导丝、导管等医疗器械插入血管。无菌提供，一次性使用。</w:t>
      </w:r>
      <w:bookmarkEnd w:id="0"/>
      <w:r>
        <w:rPr>
          <w:rFonts w:hint="default" w:ascii="Times New Roman" w:hAnsi="Times New Roman" w:eastAsia="仿宋_GB2312" w:cs="Times New Roman"/>
          <w:color w:val="000000"/>
          <w:sz w:val="32"/>
          <w:szCs w:val="32"/>
          <w:lang w:val="en-US" w:eastAsia="zh-CN"/>
        </w:rPr>
        <w:t>本导则不适用于</w:t>
      </w:r>
      <w:r>
        <w:rPr>
          <w:rFonts w:hint="default" w:ascii="Times New Roman" w:hAnsi="Times New Roman" w:eastAsia="仿宋_GB2312" w:cs="Times New Roman"/>
          <w:color w:val="000000"/>
          <w:sz w:val="32"/>
          <w:szCs w:val="32"/>
        </w:rPr>
        <w:t>经房间隔将各种心血管导管插入左侧心脏</w:t>
      </w:r>
      <w:r>
        <w:rPr>
          <w:rFonts w:hint="default" w:ascii="Times New Roman" w:hAnsi="Times New Roman" w:eastAsia="仿宋_GB2312" w:cs="Times New Roman"/>
          <w:color w:val="000000"/>
          <w:sz w:val="32"/>
          <w:szCs w:val="32"/>
          <w:lang w:val="en-US" w:eastAsia="zh-CN"/>
        </w:rPr>
        <w:t>的导管鞘产品</w:t>
      </w:r>
      <w:r>
        <w:rPr>
          <w:rFonts w:hint="default" w:ascii="Times New Roman" w:hAnsi="Times New Roman" w:eastAsia="仿宋_GB2312" w:cs="Times New Roman"/>
          <w:color w:val="000000"/>
          <w:sz w:val="32"/>
          <w:szCs w:val="32"/>
          <w:lang w:eastAsia="zh-CN"/>
        </w:rPr>
        <w:t>。</w:t>
      </w:r>
    </w:p>
    <w:p w14:paraId="6060D01E">
      <w:pPr>
        <w:spacing w:line="520" w:lineRule="exact"/>
        <w:ind w:firstLine="640" w:firstLineChars="200"/>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二、注册审查要点</w:t>
      </w:r>
      <w:bookmarkStart w:id="4" w:name="_GoBack"/>
      <w:bookmarkEnd w:id="4"/>
    </w:p>
    <w:p w14:paraId="7D1CED14">
      <w:pPr>
        <w:spacing w:line="520" w:lineRule="exact"/>
        <w:ind w:firstLine="640" w:firstLineChars="200"/>
        <w:rPr>
          <w:rFonts w:hint="default" w:ascii="Times New Roman" w:hAnsi="Times New Roman" w:eastAsia="楷体_GB2312" w:cs="Times New Roman"/>
          <w:color w:val="000000"/>
          <w:sz w:val="32"/>
          <w:szCs w:val="32"/>
        </w:rPr>
      </w:pPr>
      <w:r>
        <w:rPr>
          <w:rFonts w:hint="default" w:ascii="Times New Roman" w:hAnsi="Times New Roman" w:eastAsia="楷体_GB2312" w:cs="Times New Roman"/>
          <w:color w:val="000000"/>
          <w:sz w:val="32"/>
          <w:szCs w:val="32"/>
        </w:rPr>
        <w:t>（一）监管信息</w:t>
      </w:r>
    </w:p>
    <w:p w14:paraId="191E5F56">
      <w:pPr>
        <w:spacing w:line="52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注册申请人应提供申请表、既往沟通记录（如不适用，应当明确声明申报产品没有既往申报和/或申报前沟通）、关联文件（如主文档授权信）及其他管理信息等。</w:t>
      </w:r>
    </w:p>
    <w:p w14:paraId="7A1CEED0">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1.申请表</w:t>
      </w:r>
    </w:p>
    <w:p w14:paraId="43029687">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1.1产品名称</w:t>
      </w:r>
    </w:p>
    <w:p w14:paraId="78589DC0">
      <w:pPr>
        <w:tabs>
          <w:tab w:val="left" w:pos="2650"/>
        </w:tabs>
        <w:autoSpaceDN w:val="0"/>
        <w:spacing w:line="59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产品名称应符合《医疗器械通用名称命名规则》的要求，</w:t>
      </w:r>
      <w:r>
        <w:rPr>
          <w:rFonts w:hint="default" w:ascii="Times New Roman" w:hAnsi="Times New Roman" w:eastAsia="仿宋_GB2312" w:cs="Times New Roman"/>
          <w:color w:val="000000"/>
          <w:sz w:val="32"/>
          <w:szCs w:val="32"/>
        </w:rPr>
        <w:t>参考《神经和心血管手术器械通用名称命名指导原则</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z w:val="32"/>
          <w:szCs w:val="32"/>
          <w:lang w:val="en-US" w:eastAsia="zh-CN"/>
        </w:rPr>
        <w:t>产品</w:t>
      </w:r>
      <w:r>
        <w:rPr>
          <w:rFonts w:hint="default" w:ascii="Times New Roman" w:hAnsi="Times New Roman" w:eastAsia="仿宋_GB2312" w:cs="Times New Roman"/>
          <w:sz w:val="32"/>
          <w:szCs w:val="32"/>
          <w:lang w:bidi="ar"/>
        </w:rPr>
        <w:t>通用名称按“特征词1（如有）+特征词2（如有）+特征词3（如有）+核心词”结构编制。</w:t>
      </w:r>
      <w:r>
        <w:rPr>
          <w:rFonts w:hint="default" w:ascii="Times New Roman" w:hAnsi="Times New Roman" w:eastAsia="仿宋_GB2312" w:cs="Times New Roman"/>
          <w:color w:val="000000"/>
          <w:sz w:val="32"/>
          <w:szCs w:val="32"/>
        </w:rPr>
        <w:t>常见的产品名称举例：导管鞘、</w:t>
      </w:r>
      <w:r>
        <w:rPr>
          <w:rFonts w:hint="default" w:ascii="Times New Roman" w:hAnsi="Times New Roman" w:eastAsia="仿宋_GB2312" w:cs="Times New Roman"/>
          <w:color w:val="000000"/>
          <w:sz w:val="32"/>
          <w:szCs w:val="32"/>
          <w:lang w:val="en-US" w:eastAsia="zh-CN"/>
        </w:rPr>
        <w:t>可调控型导管鞘</w:t>
      </w:r>
      <w:r>
        <w:rPr>
          <w:rFonts w:hint="default" w:ascii="Times New Roman" w:hAnsi="Times New Roman" w:eastAsia="仿宋_GB2312" w:cs="Times New Roman"/>
          <w:color w:val="000000"/>
          <w:sz w:val="32"/>
          <w:szCs w:val="32"/>
        </w:rPr>
        <w:t>、撕开型</w:t>
      </w:r>
      <w:r>
        <w:rPr>
          <w:rFonts w:hint="eastAsia" w:ascii="Times New Roman" w:hAnsi="Times New Roman" w:eastAsia="仿宋_GB2312" w:cs="Times New Roman"/>
          <w:color w:val="000000"/>
          <w:sz w:val="32"/>
          <w:szCs w:val="32"/>
          <w:lang w:val="en-US" w:eastAsia="zh-CN"/>
        </w:rPr>
        <w:t>导</w:t>
      </w:r>
      <w:r>
        <w:rPr>
          <w:rFonts w:hint="default" w:ascii="Times New Roman" w:hAnsi="Times New Roman" w:eastAsia="仿宋_GB2312" w:cs="Times New Roman"/>
          <w:color w:val="000000"/>
          <w:sz w:val="32"/>
          <w:szCs w:val="32"/>
        </w:rPr>
        <w:t>管鞘</w:t>
      </w:r>
      <w:r>
        <w:rPr>
          <w:rFonts w:hint="default" w:ascii="Times New Roman" w:hAnsi="Times New Roman" w:eastAsia="仿宋_GB2312" w:cs="Times New Roman"/>
          <w:color w:val="000000"/>
          <w:sz w:val="32"/>
          <w:szCs w:val="32"/>
          <w:lang w:val="en-US" w:eastAsia="zh-CN"/>
        </w:rPr>
        <w:t>等</w:t>
      </w:r>
      <w:r>
        <w:rPr>
          <w:rFonts w:hint="default" w:ascii="Times New Roman" w:hAnsi="Times New Roman" w:eastAsia="仿宋_GB2312" w:cs="Times New Roman"/>
          <w:color w:val="000000"/>
          <w:sz w:val="32"/>
          <w:szCs w:val="32"/>
        </w:rPr>
        <w:t>。</w:t>
      </w:r>
    </w:p>
    <w:p w14:paraId="4C501809">
      <w:pPr>
        <w:overflowPunct w:val="0"/>
        <w:autoSpaceDE w:val="0"/>
        <w:autoSpaceDN w:val="0"/>
        <w:spacing w:line="520" w:lineRule="exact"/>
        <w:ind w:firstLine="640" w:firstLineChars="200"/>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1.2管理类别、分类编码</w:t>
      </w:r>
    </w:p>
    <w:p w14:paraId="37B6EFE8">
      <w:pPr>
        <w:overflowPunct w:val="0"/>
        <w:autoSpaceDE w:val="0"/>
        <w:autoSpaceDN w:val="0"/>
        <w:spacing w:line="520" w:lineRule="exact"/>
        <w:ind w:firstLine="640" w:firstLineChars="200"/>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根据《医疗器械分类目录》，申报产品按照第Ⅱ类医疗器械管理，分类编码为03神经和心血管手术器械-13心血管介入器械-14导管鞘。</w:t>
      </w:r>
    </w:p>
    <w:p w14:paraId="001E5A92">
      <w:pPr>
        <w:spacing w:line="52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1.3注册单元划分的原则和实例</w:t>
      </w:r>
    </w:p>
    <w:p w14:paraId="27854ADD">
      <w:pPr>
        <w:spacing w:line="520" w:lineRule="exact"/>
        <w:ind w:firstLine="640" w:firstLineChars="200"/>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注册单元的划分应参照《医疗器械注册单元划分指导原则》的要求。应考虑产品的技术原理、结构组成、性能指标及配合使用等因素，如可调弯鞘（可通过手柄调节远端的位置、角度）与不可调弯鞘宜划分为不同的注册单元；可撕开导管鞘和不可撕开导管鞘宜划分为不同的注册单元；辅助引导定位功能的导管鞘和辅助穿刺入路的导管鞘，原则上划分为不同的注册单元；鞘管为单层材料或多层复合材料的，但对产品性能和安全有效性无实质影响时，可作为同一注册单元。</w:t>
      </w:r>
    </w:p>
    <w:p w14:paraId="3F95C020">
      <w:pPr>
        <w:spacing w:line="52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2.产品列表</w:t>
      </w:r>
    </w:p>
    <w:p w14:paraId="6EF86A8E">
      <w:pPr>
        <w:spacing w:line="52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应明确列出拟申报产品的型号、规格、结构及组成、附件，以及每个型号规格的标识（如型号的编号等）和描述说明（如具体组成、作用、包装方式等）。</w:t>
      </w:r>
    </w:p>
    <w:p w14:paraId="4B1CCF1C">
      <w:pPr>
        <w:spacing w:line="52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3.既往沟通记录</w:t>
      </w:r>
    </w:p>
    <w:p w14:paraId="3BDCE417">
      <w:pPr>
        <w:spacing w:line="52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在产品申报前，如果注册申请人与监管机构针对申报产品以会议形式进行了沟通，或者申报产品与既往注册申报相关，应提交相关沟通记录。</w:t>
      </w:r>
    </w:p>
    <w:p w14:paraId="665E1E4B">
      <w:pPr>
        <w:spacing w:line="520" w:lineRule="exact"/>
        <w:ind w:firstLine="640" w:firstLineChars="200"/>
        <w:rPr>
          <w:rFonts w:hint="default" w:ascii="Times New Roman" w:hAnsi="Times New Roman" w:eastAsia="楷体_GB2312" w:cs="Times New Roman"/>
          <w:color w:val="000000"/>
          <w:sz w:val="32"/>
          <w:szCs w:val="32"/>
        </w:rPr>
      </w:pPr>
      <w:r>
        <w:rPr>
          <w:rFonts w:hint="default" w:ascii="Times New Roman" w:hAnsi="Times New Roman" w:eastAsia="楷体_GB2312" w:cs="Times New Roman"/>
          <w:color w:val="000000"/>
          <w:sz w:val="32"/>
          <w:szCs w:val="32"/>
        </w:rPr>
        <w:t>（二）综述资料</w:t>
      </w:r>
    </w:p>
    <w:p w14:paraId="43BD1EBA">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1.概述</w:t>
      </w:r>
    </w:p>
    <w:p w14:paraId="4950AC99">
      <w:pPr>
        <w:spacing w:line="52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描述申报产品的管理类别、分类编码及名称的确定依据。导管鞘产品分类编码为03-13-14，管理类别为第二类。</w:t>
      </w:r>
    </w:p>
    <w:p w14:paraId="36FA3A0E">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2.结构组成</w:t>
      </w:r>
    </w:p>
    <w:p w14:paraId="2C5670D0">
      <w:pPr>
        <w:spacing w:line="52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drawing>
          <wp:anchor distT="0" distB="0" distL="114300" distR="114300" simplePos="0" relativeHeight="251660288" behindDoc="0" locked="0" layoutInCell="1" allowOverlap="1">
            <wp:simplePos x="0" y="0"/>
            <wp:positionH relativeFrom="column">
              <wp:posOffset>104775</wp:posOffset>
            </wp:positionH>
            <wp:positionV relativeFrom="paragraph">
              <wp:posOffset>796925</wp:posOffset>
            </wp:positionV>
            <wp:extent cx="5274310" cy="1383030"/>
            <wp:effectExtent l="0" t="0" r="2540" b="7620"/>
            <wp:wrapSquare wrapText="bothSides"/>
            <wp:docPr id="9" name="图片 9"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图示&#10;&#10;中度可信度描述已自动生成"/>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5274310" cy="1383030"/>
                    </a:xfrm>
                    <a:prstGeom prst="rect">
                      <a:avLst/>
                    </a:prstGeom>
                  </pic:spPr>
                </pic:pic>
              </a:graphicData>
            </a:graphic>
          </wp:anchor>
        </w:drawing>
      </w:r>
      <w:r>
        <w:rPr>
          <w:rFonts w:hint="default" w:ascii="Times New Roman" w:hAnsi="Times New Roman" w:eastAsia="仿宋_GB2312" w:cs="Times New Roman"/>
          <w:color w:val="auto"/>
          <w:sz w:val="32"/>
          <w:szCs w:val="32"/>
          <w:lang w:val="en-US" w:eastAsia="zh-CN"/>
        </w:rPr>
        <w:t>产品通常由鞘管、接头组成，也可配备止血阀、侧支等结构，某些导管鞘设计为可撕开式。</w:t>
      </w:r>
    </w:p>
    <w:p w14:paraId="1EE1CEBE">
      <w:pPr>
        <w:spacing w:line="520" w:lineRule="exact"/>
        <w:jc w:val="center"/>
        <w:rPr>
          <w:rFonts w:hint="default" w:ascii="Times New Roman" w:hAnsi="Times New Roman" w:eastAsia="仿宋_GB2312" w:cs="Times New Roman"/>
          <w:color w:val="000000"/>
          <w:sz w:val="28"/>
          <w:szCs w:val="28"/>
        </w:rPr>
      </w:pPr>
      <w:r>
        <w:rPr>
          <w:rFonts w:hint="default" w:ascii="Times New Roman" w:hAnsi="Times New Roman" w:eastAsia="仿宋_GB2312" w:cs="Times New Roman"/>
          <w:color w:val="000000"/>
          <w:sz w:val="28"/>
          <w:szCs w:val="28"/>
        </w:rPr>
        <w:t>1.</w:t>
      </w:r>
      <w:r>
        <w:rPr>
          <w:rFonts w:hint="default" w:ascii="Times New Roman" w:hAnsi="Times New Roman" w:eastAsia="仿宋_GB2312" w:cs="Times New Roman"/>
          <w:color w:val="000000"/>
          <w:sz w:val="28"/>
          <w:szCs w:val="28"/>
        </w:rPr>
        <w:t>止血阀；</w:t>
      </w:r>
      <w:r>
        <w:rPr>
          <w:rFonts w:hint="default" w:ascii="Times New Roman" w:hAnsi="Times New Roman" w:eastAsia="仿宋_GB2312" w:cs="Times New Roman"/>
          <w:color w:val="000000"/>
          <w:sz w:val="28"/>
          <w:szCs w:val="28"/>
        </w:rPr>
        <w:t>2.</w:t>
      </w:r>
      <w:r>
        <w:rPr>
          <w:rFonts w:hint="default" w:ascii="Times New Roman" w:hAnsi="Times New Roman" w:eastAsia="仿宋_GB2312" w:cs="Times New Roman"/>
          <w:color w:val="000000"/>
          <w:sz w:val="28"/>
          <w:szCs w:val="28"/>
        </w:rPr>
        <w:t>鞘帽；</w:t>
      </w:r>
      <w:r>
        <w:rPr>
          <w:rFonts w:hint="default" w:ascii="Times New Roman" w:hAnsi="Times New Roman" w:eastAsia="仿宋_GB2312" w:cs="Times New Roman"/>
          <w:color w:val="000000"/>
          <w:sz w:val="28"/>
          <w:szCs w:val="28"/>
        </w:rPr>
        <w:t>3.</w:t>
      </w:r>
      <w:r>
        <w:rPr>
          <w:rFonts w:hint="default" w:ascii="Times New Roman" w:hAnsi="Times New Roman" w:eastAsia="仿宋_GB2312" w:cs="Times New Roman"/>
          <w:color w:val="000000"/>
          <w:sz w:val="28"/>
          <w:szCs w:val="28"/>
        </w:rPr>
        <w:t>鞘管；</w:t>
      </w:r>
      <w:r>
        <w:rPr>
          <w:rFonts w:hint="default" w:ascii="Times New Roman" w:hAnsi="Times New Roman" w:eastAsia="仿宋_GB2312" w:cs="Times New Roman"/>
          <w:color w:val="000000"/>
          <w:sz w:val="28"/>
          <w:szCs w:val="28"/>
        </w:rPr>
        <w:t>4.</w:t>
      </w:r>
      <w:r>
        <w:rPr>
          <w:rFonts w:hint="default" w:ascii="Times New Roman" w:hAnsi="Times New Roman" w:eastAsia="仿宋_GB2312" w:cs="Times New Roman"/>
          <w:color w:val="000000"/>
          <w:sz w:val="28"/>
          <w:szCs w:val="28"/>
        </w:rPr>
        <w:t>侧支；</w:t>
      </w:r>
    </w:p>
    <w:p w14:paraId="65BAC8F4">
      <w:pPr>
        <w:spacing w:line="520" w:lineRule="exact"/>
        <w:ind w:firstLine="560" w:firstLineChars="200"/>
        <w:jc w:val="center"/>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28"/>
          <w:szCs w:val="28"/>
        </w:rPr>
        <w:t>图</w:t>
      </w:r>
      <w:r>
        <w:rPr>
          <w:rFonts w:hint="default" w:ascii="Times New Roman" w:hAnsi="Times New Roman" w:eastAsia="仿宋_GB2312" w:cs="Times New Roman"/>
          <w:color w:val="000000"/>
          <w:sz w:val="28"/>
          <w:szCs w:val="28"/>
        </w:rPr>
        <w:t xml:space="preserve">1 </w:t>
      </w:r>
      <w:r>
        <w:rPr>
          <w:rFonts w:hint="default" w:ascii="Times New Roman" w:hAnsi="Times New Roman" w:eastAsia="仿宋_GB2312" w:cs="Times New Roman"/>
          <w:color w:val="000000"/>
          <w:sz w:val="28"/>
          <w:szCs w:val="28"/>
        </w:rPr>
        <w:t>导管鞘结构示意图</w:t>
      </w:r>
    </w:p>
    <w:p w14:paraId="4536878F">
      <w:pPr>
        <w:spacing w:line="52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需明确产品的结构组成（包括附件），并提供产品轴向剖面图和横截面图，在图示中标识各部件的名称、尺寸信息及测量位置。如鞘管采用多层结构设计，横截面图上宜体现多层结构；如鞘管不同节段材料不同或缠绕/编织方式不同，轴向剖面图上需标明各节段长度。如产品表面有涂层，需明确涂层的预期用途、涂层成分、涂层特征（例如亲水或疏水）、涂覆位置（例如近端或远端）、涂覆范围以及涂层的涂覆原理及方式。如鞘管含有显影环，宜明确显影环的位置（距远端的距离）。</w:t>
      </w:r>
    </w:p>
    <w:p w14:paraId="617CD7CF">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w:t>
      </w:r>
      <w:r>
        <w:rPr>
          <w:rFonts w:hint="default" w:ascii="Times New Roman" w:hAnsi="Times New Roman" w:eastAsia="仿宋_GB2312" w:cs="Times New Roman"/>
          <w:color w:val="000000"/>
          <w:sz w:val="32"/>
          <w:szCs w:val="32"/>
        </w:rPr>
        <w:t>组成材料</w:t>
      </w:r>
    </w:p>
    <w:p w14:paraId="57FB5423">
      <w:pPr>
        <w:spacing w:line="52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需明确产品所有组件（包括涂层、着色剂等）及附件组成材料的通用名称/化学名称、商品名/牌号（若有）、CAS号（如适用）、符合的材料标准（如适用）等基本信息，并且明确产品制造过程中使用的焊接剂、粘合剂、染料/颜料、润滑剂等。建议产品组成材料以列表的形式提供，并与产品结构图示中标识的组件一一对应。若产品组成材料为混合物，明确各组分及其比例。对于组件结构采用分层/分段结构设计的，需逐层/逐段分别进行描述。</w:t>
      </w:r>
    </w:p>
    <w:p w14:paraId="554C8456">
      <w:pPr>
        <w:spacing w:line="52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4.产品工作原理/作用机理</w:t>
      </w:r>
    </w:p>
    <w:p w14:paraId="5C11FAC8">
      <w:pPr>
        <w:spacing w:line="52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该产品进入血管后，利用鞘管的通道作用维持通路稳定性，从而实现血管通路建立、介入器械导入的目的。</w:t>
      </w:r>
    </w:p>
    <w:p w14:paraId="3ABCA4BF">
      <w:pPr>
        <w:spacing w:line="52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对于采用特殊结构设计（如可撕裂、</w:t>
      </w:r>
      <w:r>
        <w:rPr>
          <w:rFonts w:hint="default" w:ascii="Times New Roman" w:hAnsi="Times New Roman" w:eastAsia="仿宋_GB2312" w:cs="Times New Roman"/>
          <w:color w:val="auto"/>
          <w:sz w:val="32"/>
          <w:szCs w:val="32"/>
        </w:rPr>
        <w:t>可调弯</w:t>
      </w:r>
      <w:r>
        <w:rPr>
          <w:rFonts w:hint="default" w:ascii="Times New Roman" w:hAnsi="Times New Roman" w:eastAsia="仿宋_GB2312" w:cs="Times New Roman"/>
          <w:color w:val="auto"/>
          <w:sz w:val="32"/>
          <w:szCs w:val="32"/>
        </w:rPr>
        <w:t>）宣称具有特定功能或采用新材料制造的导管鞘，注册申请人应详细说明其工作原理和作用机理。</w:t>
      </w:r>
    </w:p>
    <w:p w14:paraId="720904D5">
      <w:pPr>
        <w:spacing w:line="52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5.型号规格</w:t>
      </w:r>
    </w:p>
    <w:p w14:paraId="283DCFEA">
      <w:pPr>
        <w:spacing w:line="52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说明产品的型号规格及划分依据，明确各型号规格之间的区别。可采用列表形式对不同型号规格的结构组成加以描述，必要时应提供差异部分的图示说明。</w:t>
      </w:r>
    </w:p>
    <w:p w14:paraId="3568BE91">
      <w:pPr>
        <w:spacing w:line="52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6.包装说明</w:t>
      </w:r>
    </w:p>
    <w:p w14:paraId="0E6384CA">
      <w:pPr>
        <w:spacing w:line="52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申报产品需要描述注册单元内所有产品组成的包装情况，说明包装清单和包装方式，提供包装图示。说明与灭菌方法相适应的无菌屏障系统信息（包括与产品直接接触的其他包装信息）。说明如何确保最终使用者可清晰地辨识包装的完整性。</w:t>
      </w:r>
    </w:p>
    <w:p w14:paraId="1AE9F122">
      <w:pPr>
        <w:spacing w:line="52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7.研发历程</w:t>
      </w:r>
    </w:p>
    <w:p w14:paraId="1BD45E3A">
      <w:pPr>
        <w:spacing w:line="52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阐述申报产品的研发背景和目的。如有参考的同类产品或前代产品（如有），应当提供同类产品或前代产品的信息，并说明选择其作为研发参考的原因。</w:t>
      </w:r>
    </w:p>
    <w:p w14:paraId="73FD2DCD">
      <w:pPr>
        <w:spacing w:line="52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000000"/>
          <w:sz w:val="32"/>
          <w:szCs w:val="32"/>
          <w:lang w:val="en-US" w:eastAsia="zh-CN"/>
        </w:rPr>
        <w:t>申请人需明确产品设计开发立题依据，根据产品实际情况如产品特性等，通过市场调研、临床文献资料等方式，从临床需求、产品技术优势等方面，论述产品临床获益。</w:t>
      </w:r>
    </w:p>
    <w:p w14:paraId="631C977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8.与同类和/或前代产品比较</w:t>
      </w:r>
    </w:p>
    <w:p w14:paraId="0A0614A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列表比较说明申报产品与同类产品和/或前代产品在工作原理、结构组成、制造材料、性能指标、作用方式以及适用范围等方面的异同。</w:t>
      </w:r>
      <w:r>
        <w:rPr>
          <w:rFonts w:hint="default" w:ascii="Times New Roman" w:hAnsi="Times New Roman" w:eastAsia="仿宋_GB2312" w:cs="Times New Roman"/>
          <w:bCs/>
          <w:color w:val="000000"/>
          <w:sz w:val="32"/>
          <w:szCs w:val="32"/>
        </w:rPr>
        <w:t>同类和/或前代产品需符合本指导原则的定义范畴。</w:t>
      </w:r>
    </w:p>
    <w:p w14:paraId="4C32284B">
      <w:pPr>
        <w:spacing w:line="52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9.适用范围和禁忌证</w:t>
      </w:r>
    </w:p>
    <w:p w14:paraId="3B40A0E2">
      <w:pPr>
        <w:spacing w:line="52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9.1适用范围</w:t>
      </w:r>
    </w:p>
    <w:p w14:paraId="3968DD90">
      <w:pPr>
        <w:spacing w:line="52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9.1.1明确申报产品的适用范围，可参考</w:t>
      </w:r>
      <w:r>
        <w:rPr>
          <w:rFonts w:hint="default" w:ascii="Times New Roman" w:hAnsi="Times New Roman" w:eastAsia="仿宋_GB2312" w:cs="Times New Roman"/>
          <w:color w:val="auto"/>
          <w:sz w:val="32"/>
          <w:szCs w:val="32"/>
        </w:rPr>
        <w:t>《医疗器械分类目录》</w:t>
      </w:r>
      <w:r>
        <w:rPr>
          <w:rFonts w:hint="default" w:ascii="Times New Roman" w:hAnsi="Times New Roman" w:eastAsia="仿宋_GB2312" w:cs="Times New Roman"/>
          <w:color w:val="auto"/>
          <w:sz w:val="32"/>
          <w:szCs w:val="32"/>
        </w:rPr>
        <w:t>《免于</w:t>
      </w:r>
      <w:r>
        <w:rPr>
          <w:rFonts w:hint="default" w:ascii="Times New Roman" w:hAnsi="Times New Roman" w:eastAsia="仿宋_GB2312" w:cs="Times New Roman"/>
          <w:color w:val="auto"/>
          <w:sz w:val="32"/>
          <w:szCs w:val="32"/>
          <w:lang w:val="en-US" w:eastAsia="zh-CN"/>
        </w:rPr>
        <w:t>进行</w:t>
      </w:r>
      <w:r>
        <w:rPr>
          <w:rFonts w:hint="default" w:ascii="Times New Roman" w:hAnsi="Times New Roman" w:eastAsia="仿宋_GB2312" w:cs="Times New Roman"/>
          <w:color w:val="auto"/>
          <w:sz w:val="32"/>
          <w:szCs w:val="32"/>
        </w:rPr>
        <w:t>临床评价医疗器械目录》的描述，并结合产品设计特点进行制定，如适用于将导丝、导管等医疗器械插入血管。如产品宣称其他的适用范围，应与临床评价结论一致，应有充分的临床数据支持。</w:t>
      </w:r>
    </w:p>
    <w:p w14:paraId="6D52FAA1">
      <w:pPr>
        <w:spacing w:line="52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9.1.2明确目标用户及其操作或使用申报产品应当具备的技能/知识/培训。明确与申报产品联合使用实现预期用途的其他产品的详细信息</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如扩张器。对于已获得批准的部件或配合使用的附件，应当提供注册证编号和国家药监局官方网站公布的注册证信息。</w:t>
      </w:r>
    </w:p>
    <w:p w14:paraId="71030BE5">
      <w:pPr>
        <w:spacing w:line="52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9.2预期使用环境</w:t>
      </w:r>
    </w:p>
    <w:p w14:paraId="1CEC3A84">
      <w:pPr>
        <w:spacing w:line="52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明确该产品预期使用的环境，如医疗机构等</w:t>
      </w:r>
      <w:r>
        <w:rPr>
          <w:rFonts w:hint="default" w:ascii="Times New Roman" w:hAnsi="Times New Roman" w:eastAsia="仿宋_GB2312" w:cs="Times New Roman"/>
          <w:color w:val="auto"/>
          <w:sz w:val="32"/>
          <w:szCs w:val="32"/>
        </w:rPr>
        <w:t>。</w:t>
      </w:r>
    </w:p>
    <w:p w14:paraId="2D8DAA34">
      <w:pPr>
        <w:spacing w:line="52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9.3适用人群</w:t>
      </w:r>
    </w:p>
    <w:p w14:paraId="2EC754F9">
      <w:pPr>
        <w:spacing w:line="52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明确目标患者人群的信息。</w:t>
      </w:r>
    </w:p>
    <w:p w14:paraId="3013A442">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9.4禁忌证</w:t>
      </w:r>
    </w:p>
    <w:p w14:paraId="15AE1B61">
      <w:pPr>
        <w:spacing w:line="52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rPr>
        <w:t>应当明确说明该器械不推荐或禁忌使用的疾病、情况或特定的人群。</w:t>
      </w:r>
      <w:r>
        <w:rPr>
          <w:rFonts w:hint="default" w:ascii="Times New Roman" w:hAnsi="Times New Roman" w:eastAsia="仿宋_GB2312" w:cs="Times New Roman"/>
          <w:color w:val="000000"/>
          <w:sz w:val="32"/>
          <w:szCs w:val="32"/>
          <w:lang w:val="en-US" w:eastAsia="zh-CN"/>
        </w:rPr>
        <w:t>如：临床诊断不适于介入手术治疗的患者禁用，对器械材料过敏或不耐受的患者禁用。</w:t>
      </w:r>
    </w:p>
    <w:p w14:paraId="1BB9F987">
      <w:pPr>
        <w:numPr>
          <w:ilvl w:val="0"/>
          <w:numId w:val="1"/>
        </w:numPr>
        <w:spacing w:line="520" w:lineRule="exact"/>
        <w:ind w:firstLine="640" w:firstLineChars="200"/>
        <w:rPr>
          <w:rFonts w:hint="default" w:ascii="Times New Roman" w:hAnsi="Times New Roman" w:eastAsia="楷体_GB2312" w:cs="Times New Roman"/>
          <w:color w:val="000000"/>
          <w:sz w:val="32"/>
          <w:szCs w:val="32"/>
        </w:rPr>
      </w:pPr>
      <w:r>
        <w:rPr>
          <w:rFonts w:hint="default" w:ascii="Times New Roman" w:hAnsi="Times New Roman" w:eastAsia="楷体_GB2312" w:cs="Times New Roman"/>
          <w:color w:val="000000"/>
          <w:sz w:val="32"/>
          <w:szCs w:val="32"/>
        </w:rPr>
        <w:t>非临床资料</w:t>
      </w:r>
    </w:p>
    <w:p w14:paraId="48A67B0C">
      <w:pPr>
        <w:spacing w:line="520" w:lineRule="exact"/>
        <w:ind w:firstLine="640" w:firstLineChars="200"/>
        <w:outlineLvl w:val="2"/>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1.产品风险管理资料</w:t>
      </w:r>
    </w:p>
    <w:p w14:paraId="24F51654">
      <w:pPr>
        <w:spacing w:line="52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应依据</w:t>
      </w:r>
      <w:r>
        <w:rPr>
          <w:rFonts w:hint="default" w:ascii="Times New Roman" w:hAnsi="Times New Roman" w:eastAsia="仿宋_GB2312" w:cs="Times New Roman"/>
          <w:color w:val="auto"/>
          <w:sz w:val="32"/>
          <w:szCs w:val="32"/>
          <w:lang w:val="en-US" w:eastAsia="zh-CN"/>
        </w:rPr>
        <w:t>GB/T 42062</w:t>
      </w:r>
      <w:r>
        <w:rPr>
          <w:rFonts w:hint="default" w:ascii="Times New Roman" w:hAnsi="Times New Roman" w:eastAsia="仿宋_GB2312" w:cs="Times New Roman"/>
          <w:sz w:val="32"/>
          <w:szCs w:val="32"/>
        </w:rPr>
        <w:t>《医疗器械风险管理对医疗器械的应用》提供产品风险管理报告。注册申请人应重点说明：申报产品的研制阶段已对有关可能的危害及产生的风险进行了估计和评价，针对性地实施了降低风险的技术和管理方面的措施。产品性能测试对上述措施的有效性进行了充分验证，达到了相关标准的要求。注册申请人对所有剩余风险进行了评价，全部达到可接受的水平。产品风险分析资料应为注册申请人关于产品安全性的承诺提供支持。应对申报产品的可能危害进行判定并列出清单。与安全有关的特性的识别可参考标准</w:t>
      </w:r>
      <w:r>
        <w:rPr>
          <w:rFonts w:hint="default" w:ascii="Times New Roman" w:hAnsi="Times New Roman" w:eastAsia="仿宋_GB2312" w:cs="Times New Roman"/>
          <w:color w:val="auto"/>
          <w:sz w:val="32"/>
          <w:szCs w:val="32"/>
          <w:lang w:val="en-US" w:eastAsia="zh-CN"/>
        </w:rPr>
        <w:t>YY/T 1437</w:t>
      </w:r>
      <w:r>
        <w:rPr>
          <w:rFonts w:hint="default" w:ascii="Times New Roman" w:hAnsi="Times New Roman" w:eastAsia="仿宋_GB2312" w:cs="Times New Roman"/>
          <w:sz w:val="32"/>
          <w:szCs w:val="32"/>
        </w:rPr>
        <w:t>的附录</w:t>
      </w:r>
      <w:r>
        <w:rPr>
          <w:rFonts w:hint="default" w:ascii="Times New Roman" w:hAnsi="Times New Roman" w:eastAsia="仿宋_GB2312" w:cs="Times New Roman"/>
          <w:color w:val="auto"/>
          <w:sz w:val="32"/>
          <w:szCs w:val="32"/>
          <w:lang w:val="en-US" w:eastAsia="zh-CN"/>
        </w:rPr>
        <w:t>A。</w:t>
      </w:r>
    </w:p>
    <w:p w14:paraId="23263911">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sz w:val="32"/>
          <w:szCs w:val="32"/>
        </w:rPr>
        <w:t>根据</w:t>
      </w:r>
      <w:r>
        <w:rPr>
          <w:rFonts w:hint="default" w:ascii="Times New Roman" w:hAnsi="Times New Roman" w:eastAsia="仿宋_GB2312" w:cs="Times New Roman"/>
          <w:color w:val="auto"/>
          <w:sz w:val="32"/>
          <w:szCs w:val="32"/>
          <w:lang w:val="en-US" w:eastAsia="zh-CN"/>
        </w:rPr>
        <w:t>GB/T 42062</w:t>
      </w:r>
      <w:r>
        <w:rPr>
          <w:rFonts w:hint="default" w:ascii="Times New Roman" w:hAnsi="Times New Roman" w:eastAsia="仿宋_GB2312" w:cs="Times New Roman"/>
          <w:sz w:val="32"/>
          <w:szCs w:val="32"/>
        </w:rPr>
        <w:t>对</w:t>
      </w:r>
      <w:r>
        <w:rPr>
          <w:rFonts w:hint="default" w:ascii="Times New Roman" w:hAnsi="Times New Roman" w:eastAsia="仿宋_GB2312" w:cs="Times New Roman"/>
          <w:color w:val="000000"/>
          <w:sz w:val="32"/>
          <w:szCs w:val="32"/>
        </w:rPr>
        <w:t>产品</w:t>
      </w:r>
      <w:r>
        <w:rPr>
          <w:rFonts w:hint="default" w:ascii="Times New Roman" w:hAnsi="Times New Roman" w:eastAsia="仿宋_GB2312" w:cs="Times New Roman"/>
          <w:color w:val="000000"/>
          <w:sz w:val="32"/>
          <w:szCs w:val="32"/>
        </w:rPr>
        <w:t>已知或可预见的风险进行判定，列举了有关的可能危险示例的不完全清单（见附件）。注册申请人还应根据自身产品特点确定其他可能危险。针对产品的各项风险，注册申请人应确定是否需要采取控制措施确保风险降到可接受的程度。</w:t>
      </w:r>
    </w:p>
    <w:p w14:paraId="48D30A88">
      <w:pPr>
        <w:spacing w:line="52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2.医疗器械安全和性能基本原则清单</w:t>
      </w:r>
    </w:p>
    <w:p w14:paraId="33C7E0DF">
      <w:pPr>
        <w:spacing w:line="52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应结合申报产品自身特点说明申报产品符合《医疗器械安全和性能基本原则清单》各项适用要求所采用的方法，以及证明其符合性的文件。对于《医疗器械安全和性能基本原则清单》中不适用的各项要求，应当说明理由。</w:t>
      </w:r>
    </w:p>
    <w:p w14:paraId="6347CD22">
      <w:pPr>
        <w:spacing w:line="52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对于包含在产品注册申报资料中的文件，应当说明其在申报资料中的具体位置；对于未包含在产品注册申报资料中的文件，应当注明该证据文件名称及其在质量管理体系文件中的编号备查。</w:t>
      </w:r>
    </w:p>
    <w:p w14:paraId="5495875D">
      <w:pPr>
        <w:spacing w:line="52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3.产品技术要求及检验报告</w:t>
      </w:r>
    </w:p>
    <w:p w14:paraId="25B2E9B7">
      <w:pPr>
        <w:spacing w:line="52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3.1产品技术要求</w:t>
      </w:r>
    </w:p>
    <w:p w14:paraId="6C14D30A">
      <w:pPr>
        <w:spacing w:line="520" w:lineRule="exact"/>
        <w:ind w:firstLine="640" w:firstLineChars="200"/>
        <w:rPr>
          <w:rFonts w:hint="default" w:ascii="Times New Roman" w:hAnsi="Times New Roman" w:eastAsia="仿宋_GB2312" w:cs="Times New Roman"/>
          <w:color w:val="FF0000"/>
          <w:sz w:val="32"/>
          <w:szCs w:val="32"/>
        </w:rPr>
      </w:pPr>
      <w:r>
        <w:rPr>
          <w:rFonts w:hint="default" w:ascii="Times New Roman" w:hAnsi="Times New Roman" w:eastAsia="仿宋_GB2312" w:cs="Times New Roman"/>
          <w:color w:val="auto"/>
          <w:sz w:val="32"/>
          <w:szCs w:val="32"/>
        </w:rPr>
        <w:t>产品技术要求</w:t>
      </w:r>
      <w:r>
        <w:rPr>
          <w:rFonts w:hint="default" w:ascii="Times New Roman" w:hAnsi="Times New Roman" w:eastAsia="仿宋_GB2312" w:cs="Times New Roman"/>
          <w:color w:val="auto"/>
          <w:sz w:val="32"/>
          <w:szCs w:val="32"/>
          <w:lang w:val="en-US" w:eastAsia="zh-CN"/>
        </w:rPr>
        <w:t>应参考</w:t>
      </w:r>
      <w:r>
        <w:rPr>
          <w:rFonts w:hint="default" w:ascii="Times New Roman" w:hAnsi="Times New Roman" w:eastAsia="仿宋_GB2312" w:cs="Times New Roman"/>
          <w:color w:val="auto"/>
          <w:sz w:val="32"/>
          <w:szCs w:val="32"/>
        </w:rPr>
        <w:t>YY 0450.1《一次性使用无菌血管内导管辅件 第</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部分 导引器械》等相关标准，结合产品</w:t>
      </w:r>
      <w:r>
        <w:rPr>
          <w:rFonts w:hint="default" w:ascii="Times New Roman" w:hAnsi="Times New Roman" w:eastAsia="仿宋_GB2312" w:cs="Times New Roman"/>
          <w:color w:val="auto"/>
          <w:sz w:val="32"/>
          <w:szCs w:val="32"/>
          <w:lang w:val="en-US" w:eastAsia="zh-CN"/>
        </w:rPr>
        <w:t>设计</w:t>
      </w:r>
      <w:r>
        <w:rPr>
          <w:rFonts w:hint="default" w:ascii="Times New Roman" w:hAnsi="Times New Roman" w:eastAsia="仿宋_GB2312" w:cs="Times New Roman"/>
          <w:color w:val="auto"/>
          <w:sz w:val="32"/>
          <w:szCs w:val="32"/>
        </w:rPr>
        <w:t>特征、临床应用来制</w:t>
      </w:r>
      <w:r>
        <w:rPr>
          <w:rFonts w:hint="default" w:ascii="Times New Roman" w:hAnsi="Times New Roman" w:eastAsia="仿宋_GB2312" w:cs="Times New Roman"/>
          <w:color w:val="auto"/>
          <w:sz w:val="32"/>
          <w:szCs w:val="32"/>
          <w:lang w:val="en-US" w:eastAsia="zh-CN"/>
        </w:rPr>
        <w:t>订</w:t>
      </w:r>
      <w:r>
        <w:rPr>
          <w:rFonts w:hint="default" w:ascii="Times New Roman" w:hAnsi="Times New Roman" w:eastAsia="仿宋_GB2312" w:cs="Times New Roman"/>
          <w:color w:val="auto"/>
          <w:sz w:val="32"/>
          <w:szCs w:val="32"/>
        </w:rPr>
        <w:t>，同时还需符合《医疗器械产品技术要求编写指导原则》的要求。</w:t>
      </w:r>
    </w:p>
    <w:p w14:paraId="6C210302">
      <w:pPr>
        <w:spacing w:line="52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产品技术要求中应明确型号规格及其划分说明、产品性能指标及检验方法</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产品性能指标应不低于产品适用的强制性国家标准/行业标准，若申报产品不适用强制性标准，提供说明以及经验证的证明性资料。如产品有特定设计，申请人还应根据产品设计特征设定相应的性能指标，并将其列入产品技术要求。检验方法应优先考虑采用适用的已建立标准方法的检验方法。建议以附录形式提供产品的结构示意图，并明确直接和间接接触人体的制造材料信息。</w:t>
      </w:r>
    </w:p>
    <w:p w14:paraId="1FEA04C1">
      <w:pPr>
        <w:spacing w:line="52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产品性能指标包括但不限于表1所列项目，申请人需根据具体产品特性，考虑需增加的性能研究项目，对于表1列举的项目中，如有不适用项，亦需说明具体理由。</w:t>
      </w:r>
    </w:p>
    <w:p w14:paraId="721E5C0D">
      <w:pPr>
        <w:keepNext w:val="0"/>
        <w:keepLines w:val="0"/>
        <w:pageBreakBefore w:val="0"/>
        <w:kinsoku/>
        <w:wordWrap/>
        <w:overflowPunct/>
        <w:topLinePunct w:val="0"/>
        <w:autoSpaceDE/>
        <w:autoSpaceDN/>
        <w:bidi w:val="0"/>
        <w:adjustRightInd/>
        <w:snapToGrid/>
        <w:spacing w:after="0" w:line="520" w:lineRule="exact"/>
        <w:jc w:val="center"/>
        <w:textAlignment w:val="auto"/>
        <w:rPr>
          <w:rFonts w:hint="default" w:ascii="Times New Roman" w:hAnsi="Times New Roman" w:eastAsia="黑体" w:cs="Times New Roman"/>
          <w:sz w:val="28"/>
          <w:szCs w:val="28"/>
          <w14:ligatures w14:val="standardContextual"/>
        </w:rPr>
      </w:pPr>
      <w:r>
        <w:rPr>
          <w:rFonts w:hint="default" w:ascii="Times New Roman" w:hAnsi="Times New Roman" w:eastAsia="黑体" w:cs="Times New Roman"/>
          <w:sz w:val="28"/>
          <w:szCs w:val="28"/>
          <w14:ligatures w14:val="standardContextual"/>
        </w:rPr>
        <w:t>表</w:t>
      </w:r>
      <w:r>
        <w:rPr>
          <w:rFonts w:hint="default" w:ascii="Times New Roman" w:hAnsi="Times New Roman" w:eastAsia="黑体" w:cs="Times New Roman"/>
          <w:sz w:val="28"/>
          <w:szCs w:val="28"/>
          <w14:ligatures w14:val="standardContextual"/>
        </w:rPr>
        <w:t xml:space="preserve">1 </w:t>
      </w:r>
      <w:r>
        <w:rPr>
          <w:rFonts w:hint="default" w:ascii="Times New Roman" w:hAnsi="Times New Roman" w:eastAsia="黑体" w:cs="Times New Roman"/>
          <w:sz w:val="28"/>
          <w:szCs w:val="28"/>
          <w14:ligatures w14:val="standardContextual"/>
        </w:rPr>
        <w:t>导管鞘性能研究项目</w:t>
      </w:r>
    </w:p>
    <w:tbl>
      <w:tblPr>
        <w:tblStyle w:val="8"/>
        <w:tblW w:w="9781"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0"/>
        <w:gridCol w:w="1272"/>
        <w:gridCol w:w="1704"/>
        <w:gridCol w:w="1985"/>
        <w:gridCol w:w="3940"/>
      </w:tblGrid>
      <w:tr w14:paraId="6D942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80" w:type="dxa"/>
            <w:tcBorders>
              <w:top w:val="single" w:color="auto" w:sz="4" w:space="0"/>
              <w:left w:val="single" w:color="auto" w:sz="4" w:space="0"/>
              <w:bottom w:val="single" w:color="auto" w:sz="4" w:space="0"/>
              <w:right w:val="single" w:color="auto" w:sz="4" w:space="0"/>
            </w:tcBorders>
            <w:vAlign w:val="center"/>
          </w:tcPr>
          <w:p w14:paraId="7E7B44C7">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Times New Roman" w:hAnsi="Times New Roman" w:eastAsia="仿宋_GB2312" w:cs="Times New Roman"/>
                <w:b/>
                <w:bCs/>
                <w:sz w:val="28"/>
                <w:szCs w:val="28"/>
                <w14:ligatures w14:val="standardContextual"/>
              </w:rPr>
            </w:pPr>
            <w:r>
              <w:rPr>
                <w:rFonts w:hint="default" w:ascii="Times New Roman" w:hAnsi="Times New Roman" w:eastAsia="仿宋_GB2312" w:cs="Times New Roman"/>
                <w:b/>
                <w:bCs/>
                <w:sz w:val="28"/>
                <w:szCs w:val="28"/>
                <w14:ligatures w14:val="standardContextual"/>
              </w:rPr>
              <w:t>序号</w:t>
            </w:r>
          </w:p>
        </w:tc>
        <w:tc>
          <w:tcPr>
            <w:tcW w:w="2976" w:type="dxa"/>
            <w:gridSpan w:val="2"/>
            <w:tcBorders>
              <w:top w:val="single" w:color="auto" w:sz="4" w:space="0"/>
              <w:left w:val="single" w:color="auto" w:sz="4" w:space="0"/>
              <w:bottom w:val="single" w:color="auto" w:sz="4" w:space="0"/>
              <w:right w:val="single" w:color="auto" w:sz="4" w:space="0"/>
            </w:tcBorders>
            <w:vAlign w:val="center"/>
          </w:tcPr>
          <w:p w14:paraId="5A0A70FD">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Times New Roman" w:hAnsi="Times New Roman" w:eastAsia="仿宋_GB2312" w:cs="Times New Roman"/>
                <w:b/>
                <w:bCs/>
                <w:sz w:val="28"/>
                <w:szCs w:val="28"/>
                <w14:ligatures w14:val="standardContextual"/>
              </w:rPr>
            </w:pPr>
            <w:r>
              <w:rPr>
                <w:rFonts w:hint="default" w:ascii="Times New Roman" w:hAnsi="Times New Roman" w:eastAsia="仿宋_GB2312" w:cs="Times New Roman"/>
                <w:b/>
                <w:bCs/>
                <w:sz w:val="28"/>
                <w:szCs w:val="28"/>
                <w14:ligatures w14:val="standardContextual"/>
              </w:rPr>
              <w:t>建议的性能研究项目</w:t>
            </w:r>
          </w:p>
        </w:tc>
        <w:tc>
          <w:tcPr>
            <w:tcW w:w="1985" w:type="dxa"/>
            <w:tcBorders>
              <w:top w:val="single" w:color="auto" w:sz="4" w:space="0"/>
              <w:left w:val="single" w:color="auto" w:sz="4" w:space="0"/>
              <w:bottom w:val="single" w:color="auto" w:sz="4" w:space="0"/>
              <w:right w:val="single" w:color="auto" w:sz="4" w:space="0"/>
            </w:tcBorders>
            <w:vAlign w:val="center"/>
          </w:tcPr>
          <w:p w14:paraId="5D9D8CEC">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Times New Roman" w:hAnsi="Times New Roman" w:eastAsia="仿宋_GB2312" w:cs="Times New Roman"/>
                <w:b/>
                <w:bCs/>
                <w:sz w:val="28"/>
                <w:szCs w:val="28"/>
                <w14:ligatures w14:val="standardContextual"/>
              </w:rPr>
            </w:pPr>
            <w:r>
              <w:rPr>
                <w:rFonts w:hint="default" w:ascii="Times New Roman" w:hAnsi="Times New Roman" w:eastAsia="仿宋_GB2312" w:cs="Times New Roman"/>
                <w:b/>
                <w:bCs/>
                <w:sz w:val="28"/>
                <w:szCs w:val="28"/>
                <w14:ligatures w14:val="standardContextual"/>
              </w:rPr>
              <w:t>是否建议纳入产品技术要求</w:t>
            </w:r>
          </w:p>
        </w:tc>
        <w:tc>
          <w:tcPr>
            <w:tcW w:w="3940" w:type="dxa"/>
            <w:tcBorders>
              <w:top w:val="single" w:color="auto" w:sz="4" w:space="0"/>
              <w:left w:val="single" w:color="auto" w:sz="4" w:space="0"/>
              <w:bottom w:val="single" w:color="auto" w:sz="4" w:space="0"/>
              <w:right w:val="single" w:color="auto" w:sz="4" w:space="0"/>
            </w:tcBorders>
            <w:vAlign w:val="center"/>
          </w:tcPr>
          <w:p w14:paraId="003432F9">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Times New Roman" w:hAnsi="Times New Roman" w:eastAsia="仿宋_GB2312" w:cs="Times New Roman"/>
                <w:b/>
                <w:bCs/>
                <w:sz w:val="28"/>
                <w:szCs w:val="28"/>
                <w14:ligatures w14:val="standardContextual"/>
              </w:rPr>
            </w:pPr>
            <w:r>
              <w:rPr>
                <w:rFonts w:hint="default" w:ascii="Times New Roman" w:hAnsi="Times New Roman" w:eastAsia="仿宋_GB2312" w:cs="Times New Roman"/>
                <w:b/>
                <w:bCs/>
                <w:sz w:val="28"/>
                <w:szCs w:val="28"/>
                <w14:ligatures w14:val="standardContextual"/>
              </w:rPr>
              <w:t>备注</w:t>
            </w:r>
          </w:p>
        </w:tc>
      </w:tr>
      <w:tr w14:paraId="3C67C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880" w:type="dxa"/>
            <w:tcBorders>
              <w:top w:val="single" w:color="auto" w:sz="4" w:space="0"/>
              <w:left w:val="single" w:color="auto" w:sz="4" w:space="0"/>
              <w:bottom w:val="single" w:color="auto" w:sz="4" w:space="0"/>
              <w:right w:val="single" w:color="auto" w:sz="4" w:space="0"/>
            </w:tcBorders>
            <w:vAlign w:val="center"/>
          </w:tcPr>
          <w:p w14:paraId="6817C27B">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Times New Roman" w:hAnsi="Times New Roman" w:eastAsia="仿宋_GB2312" w:cs="Times New Roman"/>
                <w:sz w:val="28"/>
                <w:szCs w:val="28"/>
                <w14:ligatures w14:val="standardContextual"/>
              </w:rPr>
            </w:pPr>
            <w:r>
              <w:rPr>
                <w:rFonts w:hint="default" w:ascii="Times New Roman" w:hAnsi="Times New Roman" w:eastAsia="仿宋_GB2312" w:cs="Times New Roman"/>
                <w:sz w:val="28"/>
                <w:szCs w:val="28"/>
                <w14:ligatures w14:val="standardContextual"/>
              </w:rPr>
              <w:t>1</w:t>
            </w:r>
          </w:p>
        </w:tc>
        <w:tc>
          <w:tcPr>
            <w:tcW w:w="2976" w:type="dxa"/>
            <w:gridSpan w:val="2"/>
            <w:tcBorders>
              <w:top w:val="single" w:color="auto" w:sz="4" w:space="0"/>
              <w:left w:val="single" w:color="auto" w:sz="4" w:space="0"/>
              <w:bottom w:val="single" w:color="auto" w:sz="4" w:space="0"/>
              <w:right w:val="single" w:color="auto" w:sz="4" w:space="0"/>
            </w:tcBorders>
            <w:vAlign w:val="center"/>
          </w:tcPr>
          <w:p w14:paraId="728CC8D0">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Times New Roman" w:hAnsi="Times New Roman" w:eastAsia="仿宋_GB2312" w:cs="Times New Roman"/>
                <w:sz w:val="28"/>
                <w:szCs w:val="28"/>
                <w14:ligatures w14:val="standardContextual"/>
              </w:rPr>
            </w:pPr>
            <w:r>
              <w:rPr>
                <w:rFonts w:hint="default" w:ascii="Times New Roman" w:hAnsi="Times New Roman" w:eastAsia="仿宋_GB2312" w:cs="Times New Roman"/>
                <w:sz w:val="28"/>
                <w:szCs w:val="28"/>
                <w14:ligatures w14:val="standardContextual"/>
              </w:rPr>
              <w:t>外观/外表面</w:t>
            </w:r>
          </w:p>
        </w:tc>
        <w:tc>
          <w:tcPr>
            <w:tcW w:w="1985" w:type="dxa"/>
            <w:tcBorders>
              <w:top w:val="single" w:color="auto" w:sz="4" w:space="0"/>
              <w:left w:val="single" w:color="auto" w:sz="4" w:space="0"/>
              <w:bottom w:val="single" w:color="auto" w:sz="4" w:space="0"/>
              <w:right w:val="single" w:color="auto" w:sz="4" w:space="0"/>
            </w:tcBorders>
            <w:vAlign w:val="center"/>
          </w:tcPr>
          <w:p w14:paraId="1E00D57E">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Times New Roman" w:hAnsi="Times New Roman" w:eastAsia="仿宋_GB2312" w:cs="Times New Roman"/>
                <w:sz w:val="28"/>
                <w:szCs w:val="28"/>
                <w14:ligatures w14:val="standardContextual"/>
              </w:rPr>
            </w:pPr>
            <w:r>
              <w:rPr>
                <w:rFonts w:hint="default" w:ascii="Times New Roman" w:hAnsi="Times New Roman" w:eastAsia="仿宋_GB2312" w:cs="Times New Roman"/>
                <w:sz w:val="28"/>
                <w:szCs w:val="28"/>
                <w14:ligatures w14:val="standardContextual"/>
              </w:rPr>
              <w:t>是</w:t>
            </w:r>
          </w:p>
        </w:tc>
        <w:tc>
          <w:tcPr>
            <w:tcW w:w="3940" w:type="dxa"/>
            <w:tcBorders>
              <w:top w:val="single" w:color="auto" w:sz="4" w:space="0"/>
              <w:left w:val="single" w:color="auto" w:sz="4" w:space="0"/>
              <w:bottom w:val="single" w:color="auto" w:sz="4" w:space="0"/>
              <w:right w:val="single" w:color="auto" w:sz="4" w:space="0"/>
            </w:tcBorders>
            <w:vAlign w:val="center"/>
          </w:tcPr>
          <w:p w14:paraId="210AF50D">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default" w:ascii="Times New Roman" w:hAnsi="Times New Roman" w:eastAsia="仿宋_GB2312" w:cs="Times New Roman"/>
                <w:sz w:val="28"/>
                <w:szCs w:val="28"/>
                <w14:ligatures w14:val="standardContextual"/>
              </w:rPr>
            </w:pPr>
            <w:r>
              <w:rPr>
                <w:rFonts w:hint="default" w:ascii="Times New Roman" w:hAnsi="Times New Roman" w:eastAsia="仿宋_GB2312" w:cs="Times New Roman"/>
                <w:sz w:val="28"/>
                <w:szCs w:val="28"/>
                <w14:ligatures w14:val="standardContextual"/>
              </w:rPr>
              <w:t>/</w:t>
            </w:r>
          </w:p>
        </w:tc>
      </w:tr>
      <w:tr w14:paraId="20D95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880" w:type="dxa"/>
            <w:vMerge w:val="restart"/>
            <w:tcBorders>
              <w:top w:val="single" w:color="auto" w:sz="4" w:space="0"/>
              <w:left w:val="single" w:color="auto" w:sz="4" w:space="0"/>
              <w:right w:val="single" w:color="auto" w:sz="4" w:space="0"/>
            </w:tcBorders>
            <w:vAlign w:val="center"/>
          </w:tcPr>
          <w:p w14:paraId="749686DF">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Times New Roman" w:hAnsi="Times New Roman" w:eastAsia="仿宋_GB2312" w:cs="Times New Roman"/>
                <w:sz w:val="28"/>
                <w:szCs w:val="28"/>
                <w14:ligatures w14:val="standardContextual"/>
              </w:rPr>
            </w:pPr>
            <w:r>
              <w:rPr>
                <w:rFonts w:hint="default" w:ascii="Times New Roman" w:hAnsi="Times New Roman" w:eastAsia="仿宋_GB2312" w:cs="Times New Roman"/>
                <w:sz w:val="28"/>
                <w:szCs w:val="28"/>
                <w14:ligatures w14:val="standardContextual"/>
              </w:rPr>
              <w:t>2</w:t>
            </w:r>
          </w:p>
        </w:tc>
        <w:tc>
          <w:tcPr>
            <w:tcW w:w="1272" w:type="dxa"/>
            <w:vMerge w:val="restart"/>
            <w:tcBorders>
              <w:top w:val="single" w:color="auto" w:sz="4" w:space="0"/>
              <w:left w:val="single" w:color="auto" w:sz="4" w:space="0"/>
              <w:right w:val="single" w:color="auto" w:sz="4" w:space="0"/>
            </w:tcBorders>
            <w:vAlign w:val="center"/>
          </w:tcPr>
          <w:p w14:paraId="4DC1079B">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Times New Roman" w:hAnsi="Times New Roman" w:eastAsia="仿宋_GB2312" w:cs="Times New Roman"/>
                <w:sz w:val="28"/>
                <w:szCs w:val="28"/>
                <w14:ligatures w14:val="standardContextual"/>
              </w:rPr>
            </w:pPr>
            <w:r>
              <w:rPr>
                <w:rFonts w:hint="default" w:ascii="Times New Roman" w:hAnsi="Times New Roman" w:eastAsia="仿宋_GB2312" w:cs="Times New Roman"/>
                <w:sz w:val="28"/>
                <w:szCs w:val="28"/>
                <w14:ligatures w14:val="standardContextual"/>
              </w:rPr>
              <w:t>尺寸</w:t>
            </w:r>
          </w:p>
        </w:tc>
        <w:tc>
          <w:tcPr>
            <w:tcW w:w="1704" w:type="dxa"/>
            <w:tcBorders>
              <w:top w:val="single" w:color="auto" w:sz="4" w:space="0"/>
              <w:left w:val="single" w:color="auto" w:sz="4" w:space="0"/>
              <w:bottom w:val="single" w:color="auto" w:sz="4" w:space="0"/>
              <w:right w:val="single" w:color="auto" w:sz="4" w:space="0"/>
            </w:tcBorders>
            <w:vAlign w:val="center"/>
          </w:tcPr>
          <w:p w14:paraId="014DA30C">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Times New Roman" w:hAnsi="Times New Roman" w:eastAsia="仿宋_GB2312" w:cs="Times New Roman"/>
                <w:sz w:val="28"/>
                <w:szCs w:val="28"/>
                <w14:ligatures w14:val="standardContextual"/>
              </w:rPr>
            </w:pPr>
            <w:r>
              <w:rPr>
                <w:rFonts w:hint="default" w:ascii="Times New Roman" w:hAnsi="Times New Roman" w:eastAsia="仿宋_GB2312" w:cs="Times New Roman"/>
                <w:sz w:val="28"/>
                <w:szCs w:val="28"/>
                <w14:ligatures w14:val="standardContextual"/>
              </w:rPr>
              <w:t>外径</w:t>
            </w:r>
          </w:p>
        </w:tc>
        <w:tc>
          <w:tcPr>
            <w:tcW w:w="1985" w:type="dxa"/>
            <w:tcBorders>
              <w:top w:val="single" w:color="auto" w:sz="4" w:space="0"/>
              <w:left w:val="single" w:color="auto" w:sz="4" w:space="0"/>
              <w:bottom w:val="single" w:color="auto" w:sz="4" w:space="0"/>
              <w:right w:val="single" w:color="auto" w:sz="4" w:space="0"/>
            </w:tcBorders>
            <w:vAlign w:val="center"/>
          </w:tcPr>
          <w:p w14:paraId="1A74BFC1">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Times New Roman" w:hAnsi="Times New Roman" w:eastAsia="仿宋_GB2312" w:cs="Times New Roman"/>
                <w:sz w:val="28"/>
                <w:szCs w:val="28"/>
                <w14:ligatures w14:val="standardContextual"/>
              </w:rPr>
            </w:pPr>
            <w:r>
              <w:rPr>
                <w:rFonts w:hint="default" w:ascii="Times New Roman" w:hAnsi="Times New Roman" w:eastAsia="仿宋_GB2312" w:cs="Times New Roman"/>
                <w:sz w:val="28"/>
                <w:szCs w:val="28"/>
                <w14:ligatures w14:val="standardContextual"/>
              </w:rPr>
              <w:t>是</w:t>
            </w:r>
          </w:p>
        </w:tc>
        <w:tc>
          <w:tcPr>
            <w:tcW w:w="3940" w:type="dxa"/>
            <w:tcBorders>
              <w:top w:val="single" w:color="auto" w:sz="4" w:space="0"/>
              <w:left w:val="single" w:color="auto" w:sz="4" w:space="0"/>
              <w:bottom w:val="single" w:color="auto" w:sz="4" w:space="0"/>
              <w:right w:val="single" w:color="auto" w:sz="4" w:space="0"/>
            </w:tcBorders>
            <w:vAlign w:val="center"/>
          </w:tcPr>
          <w:p w14:paraId="0BED1207">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default" w:ascii="Times New Roman" w:hAnsi="Times New Roman" w:eastAsia="仿宋_GB2312" w:cs="Times New Roman"/>
                <w:sz w:val="28"/>
                <w:szCs w:val="28"/>
                <w14:ligatures w14:val="standardContextual"/>
              </w:rPr>
            </w:pPr>
            <w:r>
              <w:rPr>
                <w:rFonts w:hint="default" w:ascii="Times New Roman" w:hAnsi="Times New Roman" w:eastAsia="仿宋_GB2312" w:cs="Times New Roman"/>
                <w:sz w:val="28"/>
                <w:szCs w:val="28"/>
                <w14:ligatures w14:val="standardContextual"/>
              </w:rPr>
              <w:t>需明确</w:t>
            </w:r>
            <w:r>
              <w:rPr>
                <w:rFonts w:hint="default" w:ascii="Times New Roman" w:hAnsi="Times New Roman" w:eastAsia="仿宋_GB2312" w:cs="Times New Roman"/>
                <w:sz w:val="28"/>
                <w:szCs w:val="28"/>
                <w:lang w:val="en-US" w:eastAsia="zh-CN"/>
                <w14:ligatures w14:val="standardContextual"/>
              </w:rPr>
              <w:t>导管鞘、侧支</w:t>
            </w:r>
            <w:r>
              <w:rPr>
                <w:rFonts w:hint="default" w:ascii="Times New Roman" w:hAnsi="Times New Roman" w:eastAsia="仿宋_GB2312" w:cs="Times New Roman"/>
                <w:sz w:val="28"/>
                <w:szCs w:val="28"/>
                <w14:ligatures w14:val="standardContextual"/>
              </w:rPr>
              <w:t>最大外径。</w:t>
            </w:r>
          </w:p>
        </w:tc>
      </w:tr>
      <w:tr w14:paraId="64963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880" w:type="dxa"/>
            <w:vMerge w:val="continue"/>
            <w:tcBorders>
              <w:left w:val="single" w:color="auto" w:sz="4" w:space="0"/>
              <w:right w:val="single" w:color="auto" w:sz="4" w:space="0"/>
            </w:tcBorders>
            <w:vAlign w:val="center"/>
          </w:tcPr>
          <w:p w14:paraId="4DE0820F">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Times New Roman" w:hAnsi="Times New Roman" w:eastAsia="仿宋_GB2312" w:cs="Times New Roman"/>
                <w:sz w:val="28"/>
                <w:szCs w:val="28"/>
                <w14:ligatures w14:val="standardContextual"/>
              </w:rPr>
            </w:pPr>
          </w:p>
        </w:tc>
        <w:tc>
          <w:tcPr>
            <w:tcW w:w="1272" w:type="dxa"/>
            <w:vMerge w:val="continue"/>
            <w:tcBorders>
              <w:left w:val="single" w:color="auto" w:sz="4" w:space="0"/>
              <w:right w:val="single" w:color="auto" w:sz="4" w:space="0"/>
            </w:tcBorders>
            <w:vAlign w:val="center"/>
          </w:tcPr>
          <w:p w14:paraId="38EA4889">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Times New Roman" w:hAnsi="Times New Roman" w:eastAsia="仿宋_GB2312" w:cs="Times New Roman"/>
                <w:sz w:val="28"/>
                <w:szCs w:val="28"/>
                <w14:ligatures w14:val="standardContextual"/>
              </w:rPr>
            </w:pPr>
          </w:p>
        </w:tc>
        <w:tc>
          <w:tcPr>
            <w:tcW w:w="1704" w:type="dxa"/>
            <w:tcBorders>
              <w:top w:val="single" w:color="auto" w:sz="4" w:space="0"/>
              <w:left w:val="single" w:color="auto" w:sz="4" w:space="0"/>
              <w:bottom w:val="single" w:color="auto" w:sz="4" w:space="0"/>
              <w:right w:val="single" w:color="auto" w:sz="4" w:space="0"/>
            </w:tcBorders>
            <w:vAlign w:val="center"/>
          </w:tcPr>
          <w:p w14:paraId="0EED9214">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Times New Roman" w:hAnsi="Times New Roman" w:eastAsia="仿宋_GB2312" w:cs="Times New Roman"/>
                <w:sz w:val="28"/>
                <w:szCs w:val="28"/>
                <w14:ligatures w14:val="standardContextual"/>
              </w:rPr>
            </w:pPr>
            <w:r>
              <w:rPr>
                <w:rFonts w:hint="default" w:ascii="Times New Roman" w:hAnsi="Times New Roman" w:eastAsia="仿宋_GB2312" w:cs="Times New Roman"/>
                <w:sz w:val="28"/>
                <w:szCs w:val="28"/>
                <w14:ligatures w14:val="standardContextual"/>
              </w:rPr>
              <w:t>内径</w:t>
            </w:r>
          </w:p>
        </w:tc>
        <w:tc>
          <w:tcPr>
            <w:tcW w:w="1985" w:type="dxa"/>
            <w:tcBorders>
              <w:top w:val="single" w:color="auto" w:sz="4" w:space="0"/>
              <w:left w:val="single" w:color="auto" w:sz="4" w:space="0"/>
              <w:bottom w:val="single" w:color="auto" w:sz="4" w:space="0"/>
              <w:right w:val="single" w:color="auto" w:sz="4" w:space="0"/>
            </w:tcBorders>
            <w:vAlign w:val="center"/>
          </w:tcPr>
          <w:p w14:paraId="4B09C8BB">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Times New Roman" w:hAnsi="Times New Roman" w:eastAsia="仿宋_GB2312" w:cs="Times New Roman"/>
                <w:sz w:val="28"/>
                <w:szCs w:val="28"/>
                <w14:ligatures w14:val="standardContextual"/>
              </w:rPr>
            </w:pPr>
            <w:r>
              <w:rPr>
                <w:rFonts w:hint="default" w:ascii="Times New Roman" w:hAnsi="Times New Roman" w:eastAsia="仿宋_GB2312" w:cs="Times New Roman"/>
                <w:sz w:val="28"/>
                <w:szCs w:val="28"/>
                <w14:ligatures w14:val="standardContextual"/>
              </w:rPr>
              <w:t>是</w:t>
            </w:r>
          </w:p>
        </w:tc>
        <w:tc>
          <w:tcPr>
            <w:tcW w:w="3940" w:type="dxa"/>
            <w:tcBorders>
              <w:top w:val="single" w:color="auto" w:sz="4" w:space="0"/>
              <w:left w:val="single" w:color="auto" w:sz="4" w:space="0"/>
              <w:bottom w:val="single" w:color="auto" w:sz="4" w:space="0"/>
              <w:right w:val="single" w:color="auto" w:sz="4" w:space="0"/>
            </w:tcBorders>
            <w:vAlign w:val="center"/>
          </w:tcPr>
          <w:p w14:paraId="51668201">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default" w:ascii="Times New Roman" w:hAnsi="Times New Roman" w:eastAsia="仿宋_GB2312" w:cs="Times New Roman"/>
                <w:sz w:val="28"/>
                <w:szCs w:val="28"/>
                <w14:ligatures w14:val="standardContextual"/>
              </w:rPr>
            </w:pPr>
            <w:r>
              <w:rPr>
                <w:rFonts w:hint="default" w:ascii="Times New Roman" w:hAnsi="Times New Roman" w:eastAsia="仿宋_GB2312" w:cs="Times New Roman"/>
                <w:sz w:val="28"/>
                <w:szCs w:val="28"/>
                <w14:ligatures w14:val="standardContextual"/>
              </w:rPr>
              <w:t>需明确</w:t>
            </w:r>
            <w:r>
              <w:rPr>
                <w:rFonts w:hint="default" w:ascii="Times New Roman" w:hAnsi="Times New Roman" w:eastAsia="仿宋_GB2312" w:cs="Times New Roman"/>
                <w:sz w:val="28"/>
                <w:szCs w:val="28"/>
                <w:lang w:val="en-US" w:eastAsia="zh-CN"/>
                <w14:ligatures w14:val="standardContextual"/>
              </w:rPr>
              <w:t>导管鞘、侧支</w:t>
            </w:r>
            <w:r>
              <w:rPr>
                <w:rFonts w:hint="default" w:ascii="Times New Roman" w:hAnsi="Times New Roman" w:eastAsia="仿宋_GB2312" w:cs="Times New Roman"/>
                <w:sz w:val="28"/>
                <w:szCs w:val="28"/>
                <w14:ligatures w14:val="standardContextual"/>
              </w:rPr>
              <w:t>最大</w:t>
            </w:r>
            <w:r>
              <w:rPr>
                <w:rFonts w:hint="default" w:ascii="Times New Roman" w:hAnsi="Times New Roman" w:eastAsia="仿宋_GB2312" w:cs="Times New Roman"/>
                <w:sz w:val="28"/>
                <w:szCs w:val="28"/>
                <w:lang w:val="en-US" w:eastAsia="zh-CN"/>
                <w14:ligatures w14:val="standardContextual"/>
              </w:rPr>
              <w:t>内</w:t>
            </w:r>
            <w:r>
              <w:rPr>
                <w:rFonts w:hint="default" w:ascii="Times New Roman" w:hAnsi="Times New Roman" w:eastAsia="仿宋_GB2312" w:cs="Times New Roman"/>
                <w:sz w:val="28"/>
                <w:szCs w:val="28"/>
                <w14:ligatures w14:val="standardContextual"/>
              </w:rPr>
              <w:t>径。</w:t>
            </w:r>
          </w:p>
        </w:tc>
      </w:tr>
      <w:tr w14:paraId="33335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880" w:type="dxa"/>
            <w:vMerge w:val="continue"/>
            <w:tcBorders>
              <w:left w:val="single" w:color="auto" w:sz="4" w:space="0"/>
              <w:bottom w:val="single" w:color="auto" w:sz="4" w:space="0"/>
              <w:right w:val="single" w:color="auto" w:sz="4" w:space="0"/>
            </w:tcBorders>
            <w:vAlign w:val="center"/>
          </w:tcPr>
          <w:p w14:paraId="5266F646">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Times New Roman" w:hAnsi="Times New Roman" w:eastAsia="仿宋_GB2312" w:cs="Times New Roman"/>
                <w:sz w:val="28"/>
                <w:szCs w:val="28"/>
                <w14:ligatures w14:val="standardContextual"/>
              </w:rPr>
            </w:pPr>
          </w:p>
        </w:tc>
        <w:tc>
          <w:tcPr>
            <w:tcW w:w="1272" w:type="dxa"/>
            <w:vMerge w:val="continue"/>
            <w:tcBorders>
              <w:left w:val="single" w:color="auto" w:sz="4" w:space="0"/>
              <w:bottom w:val="single" w:color="auto" w:sz="4" w:space="0"/>
              <w:right w:val="single" w:color="auto" w:sz="4" w:space="0"/>
            </w:tcBorders>
            <w:vAlign w:val="center"/>
          </w:tcPr>
          <w:p w14:paraId="5302AF6D">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Times New Roman" w:hAnsi="Times New Roman" w:eastAsia="仿宋_GB2312" w:cs="Times New Roman"/>
                <w:sz w:val="28"/>
                <w:szCs w:val="28"/>
                <w14:ligatures w14:val="standardContextual"/>
              </w:rPr>
            </w:pPr>
          </w:p>
        </w:tc>
        <w:tc>
          <w:tcPr>
            <w:tcW w:w="1704" w:type="dxa"/>
            <w:tcBorders>
              <w:top w:val="single" w:color="auto" w:sz="4" w:space="0"/>
              <w:left w:val="single" w:color="auto" w:sz="4" w:space="0"/>
              <w:bottom w:val="single" w:color="auto" w:sz="4" w:space="0"/>
              <w:right w:val="single" w:color="auto" w:sz="4" w:space="0"/>
            </w:tcBorders>
            <w:vAlign w:val="center"/>
          </w:tcPr>
          <w:p w14:paraId="2910BF4B">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Times New Roman" w:hAnsi="Times New Roman" w:eastAsia="仿宋_GB2312" w:cs="Times New Roman"/>
                <w:sz w:val="28"/>
                <w:szCs w:val="28"/>
                <w14:ligatures w14:val="standardContextual"/>
              </w:rPr>
            </w:pPr>
            <w:r>
              <w:rPr>
                <w:rFonts w:hint="default" w:ascii="Times New Roman" w:hAnsi="Times New Roman" w:eastAsia="仿宋_GB2312" w:cs="Times New Roman"/>
                <w:sz w:val="28"/>
                <w:szCs w:val="28"/>
                <w14:ligatures w14:val="standardContextual"/>
              </w:rPr>
              <w:t>有效长度</w:t>
            </w:r>
          </w:p>
        </w:tc>
        <w:tc>
          <w:tcPr>
            <w:tcW w:w="1985" w:type="dxa"/>
            <w:tcBorders>
              <w:top w:val="single" w:color="auto" w:sz="4" w:space="0"/>
              <w:left w:val="single" w:color="auto" w:sz="4" w:space="0"/>
              <w:bottom w:val="single" w:color="auto" w:sz="4" w:space="0"/>
              <w:right w:val="single" w:color="auto" w:sz="4" w:space="0"/>
            </w:tcBorders>
            <w:vAlign w:val="center"/>
          </w:tcPr>
          <w:p w14:paraId="028759CC">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Times New Roman" w:hAnsi="Times New Roman" w:eastAsia="仿宋_GB2312" w:cs="Times New Roman"/>
                <w:sz w:val="28"/>
                <w:szCs w:val="28"/>
                <w14:ligatures w14:val="standardContextual"/>
              </w:rPr>
            </w:pPr>
            <w:r>
              <w:rPr>
                <w:rFonts w:hint="default" w:ascii="Times New Roman" w:hAnsi="Times New Roman" w:eastAsia="仿宋_GB2312" w:cs="Times New Roman"/>
                <w:sz w:val="28"/>
                <w:szCs w:val="28"/>
                <w14:ligatures w14:val="standardContextual"/>
              </w:rPr>
              <w:t>是</w:t>
            </w:r>
          </w:p>
        </w:tc>
        <w:tc>
          <w:tcPr>
            <w:tcW w:w="3940" w:type="dxa"/>
            <w:tcBorders>
              <w:top w:val="single" w:color="auto" w:sz="4" w:space="0"/>
              <w:left w:val="single" w:color="auto" w:sz="4" w:space="0"/>
              <w:bottom w:val="single" w:color="auto" w:sz="4" w:space="0"/>
              <w:right w:val="single" w:color="auto" w:sz="4" w:space="0"/>
            </w:tcBorders>
            <w:vAlign w:val="center"/>
          </w:tcPr>
          <w:p w14:paraId="1D8C8768">
            <w:pPr>
              <w:keepNext w:val="0"/>
              <w:keepLines w:val="0"/>
              <w:pageBreakBefore w:val="0"/>
              <w:widowControl w:val="0"/>
              <w:kinsoku/>
              <w:wordWrap/>
              <w:overflowPunct/>
              <w:topLinePunct w:val="0"/>
              <w:autoSpaceDE/>
              <w:autoSpaceDN/>
              <w:bidi w:val="0"/>
              <w:adjustRightInd/>
              <w:snapToGrid/>
              <w:spacing w:after="0" w:line="400" w:lineRule="exact"/>
              <w:jc w:val="both"/>
              <w:textAlignment w:val="auto"/>
              <w:rPr>
                <w:rFonts w:hint="default" w:ascii="Times New Roman" w:hAnsi="Times New Roman" w:eastAsia="仿宋_GB2312" w:cs="Times New Roman"/>
                <w:sz w:val="28"/>
                <w:szCs w:val="28"/>
                <w:lang w:val="en-US"/>
                <w14:ligatures w14:val="standardContextual"/>
              </w:rPr>
            </w:pPr>
            <w:r>
              <w:rPr>
                <w:rFonts w:hint="default" w:ascii="Times New Roman" w:hAnsi="Times New Roman" w:eastAsia="仿宋_GB2312" w:cs="Times New Roman"/>
                <w:sz w:val="28"/>
                <w:szCs w:val="28"/>
                <w14:ligatures w14:val="standardContextual"/>
              </w:rPr>
              <w:t>需明确</w:t>
            </w:r>
            <w:r>
              <w:rPr>
                <w:rFonts w:hint="default" w:ascii="Times New Roman" w:hAnsi="Times New Roman" w:eastAsia="仿宋_GB2312" w:cs="Times New Roman"/>
                <w:sz w:val="28"/>
                <w:szCs w:val="28"/>
                <w:lang w:val="en-US" w:eastAsia="zh-CN"/>
                <w14:ligatures w14:val="standardContextual"/>
              </w:rPr>
              <w:t>导管鞘、侧支长度。</w:t>
            </w:r>
          </w:p>
        </w:tc>
      </w:tr>
      <w:tr w14:paraId="3A120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tcBorders>
              <w:top w:val="single" w:color="auto" w:sz="4" w:space="0"/>
              <w:left w:val="single" w:color="auto" w:sz="4" w:space="0"/>
              <w:bottom w:val="single" w:color="auto" w:sz="4" w:space="0"/>
              <w:right w:val="single" w:color="auto" w:sz="4" w:space="0"/>
            </w:tcBorders>
            <w:vAlign w:val="center"/>
          </w:tcPr>
          <w:p w14:paraId="0D68A4D6">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3</w:t>
            </w:r>
          </w:p>
        </w:tc>
        <w:tc>
          <w:tcPr>
            <w:tcW w:w="2976" w:type="dxa"/>
            <w:gridSpan w:val="2"/>
            <w:tcBorders>
              <w:top w:val="single" w:color="auto" w:sz="4" w:space="0"/>
              <w:left w:val="single" w:color="auto" w:sz="4" w:space="0"/>
              <w:bottom w:val="single" w:color="auto" w:sz="4" w:space="0"/>
              <w:right w:val="single" w:color="auto" w:sz="4" w:space="0"/>
            </w:tcBorders>
            <w:vAlign w:val="center"/>
          </w:tcPr>
          <w:p w14:paraId="02884E82">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末端头端</w:t>
            </w:r>
          </w:p>
        </w:tc>
        <w:tc>
          <w:tcPr>
            <w:tcW w:w="1985" w:type="dxa"/>
            <w:tcBorders>
              <w:top w:val="single" w:color="auto" w:sz="4" w:space="0"/>
              <w:left w:val="single" w:color="auto" w:sz="4" w:space="0"/>
              <w:bottom w:val="single" w:color="auto" w:sz="4" w:space="0"/>
              <w:right w:val="single" w:color="auto" w:sz="4" w:space="0"/>
            </w:tcBorders>
            <w:vAlign w:val="center"/>
          </w:tcPr>
          <w:p w14:paraId="42387D82">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是</w:t>
            </w:r>
          </w:p>
        </w:tc>
        <w:tc>
          <w:tcPr>
            <w:tcW w:w="3940" w:type="dxa"/>
            <w:tcBorders>
              <w:top w:val="single" w:color="auto" w:sz="4" w:space="0"/>
              <w:left w:val="single" w:color="auto" w:sz="4" w:space="0"/>
              <w:bottom w:val="single" w:color="auto" w:sz="4" w:space="0"/>
              <w:right w:val="single" w:color="auto" w:sz="4" w:space="0"/>
            </w:tcBorders>
            <w:vAlign w:val="center"/>
          </w:tcPr>
          <w:p w14:paraId="0C33CB7C">
            <w:pPr>
              <w:keepNext w:val="0"/>
              <w:keepLines w:val="0"/>
              <w:pageBreakBefore w:val="0"/>
              <w:widowControl w:val="0"/>
              <w:kinsoku/>
              <w:wordWrap/>
              <w:overflowPunct/>
              <w:topLinePunct w:val="0"/>
              <w:autoSpaceDE/>
              <w:autoSpaceDN/>
              <w:bidi w:val="0"/>
              <w:adjustRightInd/>
              <w:snapToGrid/>
              <w:spacing w:before="100" w:beforeAutospacing="1" w:line="400" w:lineRule="exact"/>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lang w:val="en-US" w:eastAsia="zh-CN"/>
              </w:rPr>
              <w:t>如头端末端有特殊结构，应明确其结构和外观。</w:t>
            </w:r>
          </w:p>
        </w:tc>
      </w:tr>
      <w:tr w14:paraId="280DC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tcBorders>
              <w:top w:val="single" w:color="auto" w:sz="4" w:space="0"/>
              <w:left w:val="single" w:color="auto" w:sz="4" w:space="0"/>
              <w:bottom w:val="single" w:color="auto" w:sz="4" w:space="0"/>
              <w:right w:val="single" w:color="auto" w:sz="4" w:space="0"/>
            </w:tcBorders>
            <w:vAlign w:val="center"/>
          </w:tcPr>
          <w:p w14:paraId="711E7BC0">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4</w:t>
            </w:r>
          </w:p>
        </w:tc>
        <w:tc>
          <w:tcPr>
            <w:tcW w:w="2976" w:type="dxa"/>
            <w:gridSpan w:val="2"/>
            <w:tcBorders>
              <w:top w:val="single" w:color="auto" w:sz="4" w:space="0"/>
              <w:left w:val="single" w:color="auto" w:sz="4" w:space="0"/>
              <w:bottom w:val="single" w:color="auto" w:sz="4" w:space="0"/>
              <w:right w:val="single" w:color="auto" w:sz="4" w:space="0"/>
            </w:tcBorders>
            <w:vAlign w:val="center"/>
          </w:tcPr>
          <w:p w14:paraId="397E72DB">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耐腐蚀性</w:t>
            </w:r>
          </w:p>
        </w:tc>
        <w:tc>
          <w:tcPr>
            <w:tcW w:w="1985" w:type="dxa"/>
            <w:tcBorders>
              <w:top w:val="single" w:color="auto" w:sz="4" w:space="0"/>
              <w:left w:val="single" w:color="auto" w:sz="4" w:space="0"/>
              <w:bottom w:val="single" w:color="auto" w:sz="4" w:space="0"/>
              <w:right w:val="single" w:color="auto" w:sz="4" w:space="0"/>
            </w:tcBorders>
            <w:vAlign w:val="center"/>
          </w:tcPr>
          <w:p w14:paraId="43090A02">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是</w:t>
            </w:r>
          </w:p>
        </w:tc>
        <w:tc>
          <w:tcPr>
            <w:tcW w:w="3940" w:type="dxa"/>
            <w:tcBorders>
              <w:top w:val="single" w:color="auto" w:sz="4" w:space="0"/>
              <w:left w:val="single" w:color="auto" w:sz="4" w:space="0"/>
              <w:bottom w:val="single" w:color="auto" w:sz="4" w:space="0"/>
              <w:right w:val="single" w:color="auto" w:sz="4" w:space="0"/>
            </w:tcBorders>
            <w:vAlign w:val="center"/>
          </w:tcPr>
          <w:p w14:paraId="4CD1CF62">
            <w:pPr>
              <w:keepNext w:val="0"/>
              <w:keepLines w:val="0"/>
              <w:pageBreakBefore w:val="0"/>
              <w:widowControl w:val="0"/>
              <w:kinsoku/>
              <w:wordWrap/>
              <w:overflowPunct/>
              <w:topLinePunct w:val="0"/>
              <w:autoSpaceDE/>
              <w:autoSpaceDN/>
              <w:bidi w:val="0"/>
              <w:adjustRightInd/>
              <w:snapToGrid/>
              <w:spacing w:before="100" w:beforeAutospacing="1" w:line="400" w:lineRule="exact"/>
              <w:textAlignment w:val="auto"/>
              <w:rPr>
                <w:rFonts w:hint="default" w:ascii="Times New Roman" w:hAnsi="Times New Roman" w:eastAsia="仿宋_GB2312" w:cs="Times New Roman"/>
                <w:color w:val="auto"/>
                <w:sz w:val="28"/>
                <w:szCs w:val="28"/>
                <w:lang w:eastAsia="zh-CN"/>
              </w:rPr>
            </w:pPr>
            <w:r>
              <w:rPr>
                <w:rFonts w:hint="default" w:ascii="Times New Roman" w:hAnsi="Times New Roman" w:eastAsia="仿宋_GB2312" w:cs="Times New Roman"/>
                <w:color w:val="auto"/>
                <w:sz w:val="28"/>
                <w:szCs w:val="28"/>
              </w:rPr>
              <w:t>适用于存在与液体接触的金属材料时</w:t>
            </w:r>
            <w:r>
              <w:rPr>
                <w:rFonts w:hint="default" w:ascii="Times New Roman" w:hAnsi="Times New Roman" w:eastAsia="仿宋_GB2312" w:cs="Times New Roman"/>
                <w:color w:val="auto"/>
                <w:sz w:val="28"/>
                <w:szCs w:val="28"/>
                <w:lang w:eastAsia="zh-CN"/>
              </w:rPr>
              <w:t>。</w:t>
            </w:r>
          </w:p>
        </w:tc>
      </w:tr>
      <w:tr w14:paraId="1EFAD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tcBorders>
              <w:top w:val="single" w:color="auto" w:sz="4" w:space="0"/>
              <w:left w:val="single" w:color="auto" w:sz="4" w:space="0"/>
              <w:bottom w:val="single" w:color="auto" w:sz="4" w:space="0"/>
              <w:right w:val="single" w:color="auto" w:sz="4" w:space="0"/>
            </w:tcBorders>
            <w:vAlign w:val="center"/>
          </w:tcPr>
          <w:p w14:paraId="33D4B7C6">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5</w:t>
            </w:r>
          </w:p>
        </w:tc>
        <w:tc>
          <w:tcPr>
            <w:tcW w:w="2976" w:type="dxa"/>
            <w:gridSpan w:val="2"/>
            <w:tcBorders>
              <w:top w:val="single" w:color="auto" w:sz="4" w:space="0"/>
              <w:left w:val="single" w:color="auto" w:sz="4" w:space="0"/>
              <w:bottom w:val="single" w:color="auto" w:sz="4" w:space="0"/>
              <w:right w:val="single" w:color="auto" w:sz="4" w:space="0"/>
            </w:tcBorders>
            <w:vAlign w:val="center"/>
          </w:tcPr>
          <w:p w14:paraId="029AF0E3">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射线可探测性</w:t>
            </w:r>
          </w:p>
        </w:tc>
        <w:tc>
          <w:tcPr>
            <w:tcW w:w="1985" w:type="dxa"/>
            <w:tcBorders>
              <w:top w:val="single" w:color="auto" w:sz="4" w:space="0"/>
              <w:left w:val="single" w:color="auto" w:sz="4" w:space="0"/>
              <w:bottom w:val="single" w:color="auto" w:sz="4" w:space="0"/>
              <w:right w:val="single" w:color="auto" w:sz="4" w:space="0"/>
            </w:tcBorders>
            <w:vAlign w:val="center"/>
          </w:tcPr>
          <w:p w14:paraId="0D17F2A9">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w:t>
            </w:r>
          </w:p>
        </w:tc>
        <w:tc>
          <w:tcPr>
            <w:tcW w:w="3940" w:type="dxa"/>
            <w:tcBorders>
              <w:top w:val="single" w:color="auto" w:sz="4" w:space="0"/>
              <w:left w:val="single" w:color="auto" w:sz="4" w:space="0"/>
              <w:bottom w:val="single" w:color="auto" w:sz="4" w:space="0"/>
              <w:right w:val="single" w:color="auto" w:sz="4" w:space="0"/>
            </w:tcBorders>
            <w:vAlign w:val="center"/>
          </w:tcPr>
          <w:p w14:paraId="6AC4E7BB">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w:t>
            </w:r>
          </w:p>
        </w:tc>
      </w:tr>
      <w:tr w14:paraId="5A752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80" w:type="dxa"/>
            <w:tcBorders>
              <w:top w:val="single" w:color="auto" w:sz="4" w:space="0"/>
              <w:left w:val="single" w:color="auto" w:sz="4" w:space="0"/>
              <w:bottom w:val="single" w:color="auto" w:sz="4" w:space="0"/>
              <w:right w:val="single" w:color="auto" w:sz="4" w:space="0"/>
            </w:tcBorders>
            <w:vAlign w:val="center"/>
          </w:tcPr>
          <w:p w14:paraId="178EF4AA">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6</w:t>
            </w:r>
          </w:p>
        </w:tc>
        <w:tc>
          <w:tcPr>
            <w:tcW w:w="2976" w:type="dxa"/>
            <w:gridSpan w:val="2"/>
            <w:tcBorders>
              <w:top w:val="single" w:color="auto" w:sz="4" w:space="0"/>
              <w:left w:val="single" w:color="auto" w:sz="4" w:space="0"/>
              <w:bottom w:val="single" w:color="auto" w:sz="4" w:space="0"/>
              <w:right w:val="single" w:color="auto" w:sz="4" w:space="0"/>
            </w:tcBorders>
            <w:vAlign w:val="center"/>
          </w:tcPr>
          <w:p w14:paraId="624CEA55">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座</w:t>
            </w:r>
          </w:p>
        </w:tc>
        <w:tc>
          <w:tcPr>
            <w:tcW w:w="1985" w:type="dxa"/>
            <w:tcBorders>
              <w:top w:val="single" w:color="auto" w:sz="4" w:space="0"/>
              <w:left w:val="single" w:color="auto" w:sz="4" w:space="0"/>
              <w:bottom w:val="single" w:color="auto" w:sz="4" w:space="0"/>
              <w:right w:val="single" w:color="auto" w:sz="4" w:space="0"/>
            </w:tcBorders>
            <w:vAlign w:val="center"/>
          </w:tcPr>
          <w:p w14:paraId="3BC6B125">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是</w:t>
            </w:r>
          </w:p>
        </w:tc>
        <w:tc>
          <w:tcPr>
            <w:tcW w:w="3940" w:type="dxa"/>
            <w:tcBorders>
              <w:top w:val="single" w:color="auto" w:sz="4" w:space="0"/>
              <w:left w:val="single" w:color="auto" w:sz="4" w:space="0"/>
              <w:bottom w:val="single" w:color="auto" w:sz="4" w:space="0"/>
              <w:right w:val="single" w:color="auto" w:sz="4" w:space="0"/>
            </w:tcBorders>
            <w:vAlign w:val="center"/>
          </w:tcPr>
          <w:p w14:paraId="5086B25B">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w:t>
            </w:r>
          </w:p>
        </w:tc>
      </w:tr>
      <w:tr w14:paraId="7451B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tcBorders>
              <w:top w:val="single" w:color="auto" w:sz="4" w:space="0"/>
              <w:left w:val="single" w:color="auto" w:sz="4" w:space="0"/>
              <w:bottom w:val="single" w:color="auto" w:sz="4" w:space="0"/>
              <w:right w:val="single" w:color="auto" w:sz="4" w:space="0"/>
            </w:tcBorders>
            <w:vAlign w:val="center"/>
          </w:tcPr>
          <w:p w14:paraId="5B34194B">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7</w:t>
            </w:r>
          </w:p>
        </w:tc>
        <w:tc>
          <w:tcPr>
            <w:tcW w:w="2976" w:type="dxa"/>
            <w:gridSpan w:val="2"/>
            <w:tcBorders>
              <w:top w:val="single" w:color="auto" w:sz="4" w:space="0"/>
              <w:left w:val="single" w:color="auto" w:sz="4" w:space="0"/>
              <w:bottom w:val="single" w:color="auto" w:sz="4" w:space="0"/>
              <w:right w:val="single" w:color="auto" w:sz="4" w:space="0"/>
            </w:tcBorders>
            <w:vAlign w:val="center"/>
          </w:tcPr>
          <w:p w14:paraId="78BB4735">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lang w:val="en-US" w:eastAsia="zh-CN"/>
              </w:rPr>
              <w:t>导管鞘</w:t>
            </w:r>
            <w:r>
              <w:rPr>
                <w:rFonts w:hint="default" w:ascii="Times New Roman" w:hAnsi="Times New Roman" w:eastAsia="仿宋_GB2312" w:cs="Times New Roman"/>
                <w:color w:val="auto"/>
                <w:sz w:val="28"/>
                <w:szCs w:val="28"/>
              </w:rPr>
              <w:t>无泄漏</w:t>
            </w:r>
          </w:p>
        </w:tc>
        <w:tc>
          <w:tcPr>
            <w:tcW w:w="1985" w:type="dxa"/>
            <w:tcBorders>
              <w:top w:val="single" w:color="auto" w:sz="4" w:space="0"/>
              <w:left w:val="single" w:color="auto" w:sz="4" w:space="0"/>
              <w:bottom w:val="single" w:color="auto" w:sz="4" w:space="0"/>
              <w:right w:val="single" w:color="auto" w:sz="4" w:space="0"/>
            </w:tcBorders>
            <w:vAlign w:val="center"/>
          </w:tcPr>
          <w:p w14:paraId="43A7AAD9">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是</w:t>
            </w:r>
          </w:p>
        </w:tc>
        <w:tc>
          <w:tcPr>
            <w:tcW w:w="3940" w:type="dxa"/>
            <w:tcBorders>
              <w:top w:val="single" w:color="auto" w:sz="4" w:space="0"/>
              <w:left w:val="single" w:color="auto" w:sz="4" w:space="0"/>
              <w:bottom w:val="single" w:color="auto" w:sz="4" w:space="0"/>
              <w:right w:val="single" w:color="auto" w:sz="4" w:space="0"/>
            </w:tcBorders>
            <w:vAlign w:val="center"/>
          </w:tcPr>
          <w:p w14:paraId="12522492">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w:t>
            </w:r>
          </w:p>
        </w:tc>
      </w:tr>
      <w:tr w14:paraId="3BD9C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tcBorders>
              <w:top w:val="single" w:color="auto" w:sz="4" w:space="0"/>
              <w:left w:val="single" w:color="auto" w:sz="4" w:space="0"/>
              <w:bottom w:val="single" w:color="auto" w:sz="4" w:space="0"/>
              <w:right w:val="single" w:color="auto" w:sz="4" w:space="0"/>
            </w:tcBorders>
            <w:vAlign w:val="center"/>
          </w:tcPr>
          <w:p w14:paraId="14BE39E3">
            <w:pPr>
              <w:spacing w:before="100" w:beforeAutospacing="1"/>
              <w:rPr>
                <w:rFonts w:hint="default" w:ascii="Times New Roman" w:hAnsi="Times New Roman" w:eastAsia="仿宋_GB2312" w:cs="Times New Roman"/>
                <w:color w:val="auto"/>
                <w:sz w:val="28"/>
                <w:szCs w:val="28"/>
                <w:lang w:val="en-US" w:eastAsia="zh-CN"/>
              </w:rPr>
            </w:pPr>
            <w:r>
              <w:rPr>
                <w:rFonts w:hint="default" w:ascii="Times New Roman" w:hAnsi="Times New Roman" w:eastAsia="仿宋_GB2312" w:cs="Times New Roman"/>
                <w:color w:val="auto"/>
                <w:sz w:val="28"/>
                <w:szCs w:val="28"/>
                <w:lang w:val="en-US" w:eastAsia="zh-CN"/>
              </w:rPr>
              <w:t>8.</w:t>
            </w:r>
          </w:p>
        </w:tc>
        <w:tc>
          <w:tcPr>
            <w:tcW w:w="2976" w:type="dxa"/>
            <w:gridSpan w:val="2"/>
            <w:tcBorders>
              <w:top w:val="single" w:color="auto" w:sz="4" w:space="0"/>
              <w:left w:val="single" w:color="auto" w:sz="4" w:space="0"/>
              <w:bottom w:val="single" w:color="auto" w:sz="4" w:space="0"/>
              <w:right w:val="single" w:color="auto" w:sz="4" w:space="0"/>
            </w:tcBorders>
            <w:vAlign w:val="center"/>
          </w:tcPr>
          <w:p w14:paraId="7C4B76FF">
            <w:pPr>
              <w:spacing w:before="100" w:beforeAutospacing="1"/>
              <w:rPr>
                <w:rFonts w:hint="default" w:ascii="Times New Roman" w:hAnsi="Times New Roman" w:eastAsia="仿宋_GB2312" w:cs="Times New Roman"/>
                <w:color w:val="auto"/>
                <w:sz w:val="28"/>
                <w:szCs w:val="28"/>
                <w:lang w:val="en-US" w:eastAsia="zh-CN"/>
              </w:rPr>
            </w:pPr>
            <w:r>
              <w:rPr>
                <w:rFonts w:hint="default" w:ascii="Times New Roman" w:hAnsi="Times New Roman" w:eastAsia="仿宋_GB2312" w:cs="Times New Roman"/>
                <w:color w:val="auto"/>
                <w:sz w:val="28"/>
                <w:szCs w:val="28"/>
                <w:lang w:val="en-US" w:eastAsia="zh-CN"/>
              </w:rPr>
              <w:t>止血阀无泄漏（如适用）</w:t>
            </w: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14:paraId="4301E742">
            <w:pPr>
              <w:spacing w:before="100" w:beforeAutospacing="1"/>
              <w:rPr>
                <w:rFonts w:hint="default" w:ascii="Times New Roman" w:hAnsi="Times New Roman" w:eastAsia="仿宋_GB2312" w:cs="Times New Roman"/>
                <w:color w:val="auto"/>
                <w:kern w:val="2"/>
                <w:sz w:val="28"/>
                <w:szCs w:val="28"/>
                <w:lang w:val="en-US" w:eastAsia="zh-CN" w:bidi="ar-SA"/>
              </w:rPr>
            </w:pPr>
            <w:r>
              <w:rPr>
                <w:rFonts w:hint="default" w:ascii="Times New Roman" w:hAnsi="Times New Roman" w:eastAsia="仿宋_GB2312" w:cs="Times New Roman"/>
                <w:color w:val="auto"/>
                <w:sz w:val="28"/>
                <w:szCs w:val="28"/>
              </w:rPr>
              <w:t>是</w:t>
            </w:r>
          </w:p>
        </w:tc>
        <w:tc>
          <w:tcPr>
            <w:tcW w:w="3940" w:type="dxa"/>
            <w:tcBorders>
              <w:top w:val="single" w:color="auto" w:sz="4" w:space="0"/>
              <w:left w:val="single" w:color="auto" w:sz="4" w:space="0"/>
              <w:bottom w:val="single" w:color="auto" w:sz="4" w:space="0"/>
              <w:right w:val="single" w:color="auto" w:sz="4" w:space="0"/>
            </w:tcBorders>
            <w:shd w:val="clear" w:color="auto" w:fill="auto"/>
            <w:vAlign w:val="center"/>
          </w:tcPr>
          <w:p w14:paraId="1433A9D7">
            <w:pPr>
              <w:spacing w:before="100" w:beforeAutospacing="1"/>
              <w:rPr>
                <w:rFonts w:hint="default" w:ascii="Times New Roman" w:hAnsi="Times New Roman" w:eastAsia="仿宋_GB2312" w:cs="Times New Roman"/>
                <w:color w:val="auto"/>
                <w:kern w:val="2"/>
                <w:sz w:val="28"/>
                <w:szCs w:val="28"/>
                <w:lang w:val="en-US" w:eastAsia="zh-CN" w:bidi="ar-SA"/>
              </w:rPr>
            </w:pPr>
            <w:r>
              <w:rPr>
                <w:rFonts w:hint="default" w:ascii="Times New Roman" w:hAnsi="Times New Roman" w:eastAsia="仿宋_GB2312" w:cs="Times New Roman"/>
                <w:color w:val="auto"/>
                <w:sz w:val="28"/>
                <w:szCs w:val="28"/>
              </w:rPr>
              <w:t>/</w:t>
            </w:r>
          </w:p>
        </w:tc>
      </w:tr>
      <w:tr w14:paraId="2422F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trPr>
        <w:tc>
          <w:tcPr>
            <w:tcW w:w="880" w:type="dxa"/>
            <w:tcBorders>
              <w:top w:val="single" w:color="auto" w:sz="4" w:space="0"/>
              <w:left w:val="single" w:color="auto" w:sz="4" w:space="0"/>
              <w:bottom w:val="single" w:color="auto" w:sz="4" w:space="0"/>
              <w:right w:val="single" w:color="auto" w:sz="4" w:space="0"/>
            </w:tcBorders>
            <w:vAlign w:val="center"/>
          </w:tcPr>
          <w:p w14:paraId="7D10B23B">
            <w:pPr>
              <w:spacing w:before="100" w:beforeAutospacing="1"/>
              <w:rPr>
                <w:rFonts w:hint="default" w:ascii="Times New Roman" w:hAnsi="Times New Roman" w:eastAsia="仿宋_GB2312" w:cs="Times New Roman"/>
                <w:color w:val="auto"/>
                <w:sz w:val="28"/>
                <w:szCs w:val="28"/>
                <w:lang w:eastAsia="zh-CN"/>
              </w:rPr>
            </w:pPr>
            <w:r>
              <w:rPr>
                <w:rFonts w:hint="default" w:ascii="Times New Roman" w:hAnsi="Times New Roman" w:eastAsia="仿宋_GB2312" w:cs="Times New Roman"/>
                <w:color w:val="auto"/>
                <w:sz w:val="28"/>
                <w:szCs w:val="28"/>
                <w:lang w:val="en-US" w:eastAsia="zh-CN"/>
              </w:rPr>
              <w:t>9</w:t>
            </w:r>
          </w:p>
        </w:tc>
        <w:tc>
          <w:tcPr>
            <w:tcW w:w="1272" w:type="dxa"/>
            <w:tcBorders>
              <w:top w:val="single" w:color="auto" w:sz="4" w:space="0"/>
              <w:left w:val="single" w:color="auto" w:sz="4" w:space="0"/>
              <w:bottom w:val="single" w:color="auto" w:sz="4" w:space="0"/>
              <w:right w:val="single" w:color="auto" w:sz="4" w:space="0"/>
            </w:tcBorders>
            <w:vAlign w:val="center"/>
          </w:tcPr>
          <w:p w14:paraId="04928995">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峰值拉力</w:t>
            </w:r>
          </w:p>
        </w:tc>
        <w:tc>
          <w:tcPr>
            <w:tcW w:w="1704" w:type="dxa"/>
            <w:tcBorders>
              <w:top w:val="single" w:color="auto" w:sz="4" w:space="0"/>
              <w:left w:val="single" w:color="auto" w:sz="4" w:space="0"/>
              <w:bottom w:val="single" w:color="auto" w:sz="4" w:space="0"/>
              <w:right w:val="single" w:color="auto" w:sz="4" w:space="0"/>
            </w:tcBorders>
            <w:vAlign w:val="center"/>
          </w:tcPr>
          <w:p w14:paraId="04B4CE42">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管体及任何关键连接处</w:t>
            </w:r>
          </w:p>
        </w:tc>
        <w:tc>
          <w:tcPr>
            <w:tcW w:w="1985" w:type="dxa"/>
            <w:tcBorders>
              <w:top w:val="single" w:color="auto" w:sz="4" w:space="0"/>
              <w:left w:val="single" w:color="auto" w:sz="4" w:space="0"/>
              <w:bottom w:val="single" w:color="auto" w:sz="4" w:space="0"/>
              <w:right w:val="single" w:color="auto" w:sz="4" w:space="0"/>
            </w:tcBorders>
            <w:vAlign w:val="center"/>
          </w:tcPr>
          <w:p w14:paraId="27596523">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是</w:t>
            </w:r>
          </w:p>
        </w:tc>
        <w:tc>
          <w:tcPr>
            <w:tcW w:w="3600" w:type="dxa"/>
            <w:tcBorders>
              <w:top w:val="single" w:color="auto" w:sz="4" w:space="0"/>
              <w:left w:val="single" w:color="auto" w:sz="4" w:space="0"/>
              <w:bottom w:val="single" w:color="auto" w:sz="4" w:space="0"/>
              <w:right w:val="single" w:color="auto" w:sz="4" w:space="0"/>
            </w:tcBorders>
            <w:vAlign w:val="center"/>
          </w:tcPr>
          <w:p w14:paraId="0097783F">
            <w:pPr>
              <w:keepNext w:val="0"/>
              <w:keepLines w:val="0"/>
              <w:pageBreakBefore w:val="0"/>
              <w:widowControl w:val="0"/>
              <w:numPr>
                <w:ilvl w:val="0"/>
                <w:numId w:val="2"/>
              </w:numPr>
              <w:kinsoku/>
              <w:wordWrap/>
              <w:overflowPunct/>
              <w:topLinePunct w:val="0"/>
              <w:autoSpaceDE/>
              <w:autoSpaceDN/>
              <w:bidi w:val="0"/>
              <w:adjustRightInd/>
              <w:snapToGrid/>
              <w:spacing w:before="100" w:beforeAutospacing="1" w:line="400" w:lineRule="exact"/>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需分项列出管体及所有关键连接处的峰值拉力;</w:t>
            </w:r>
          </w:p>
          <w:p w14:paraId="30F4385C">
            <w:pPr>
              <w:keepNext w:val="0"/>
              <w:keepLines w:val="0"/>
              <w:pageBreakBefore w:val="0"/>
              <w:widowControl w:val="0"/>
              <w:numPr>
                <w:ilvl w:val="0"/>
                <w:numId w:val="2"/>
              </w:numPr>
              <w:kinsoku/>
              <w:wordWrap/>
              <w:overflowPunct/>
              <w:topLinePunct w:val="0"/>
              <w:autoSpaceDE/>
              <w:autoSpaceDN/>
              <w:bidi w:val="0"/>
              <w:adjustRightInd/>
              <w:snapToGrid/>
              <w:spacing w:before="100" w:beforeAutospacing="1" w:line="400" w:lineRule="exact"/>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虽然YY</w:t>
            </w:r>
            <w:r>
              <w:rPr>
                <w:rFonts w:hint="eastAsia" w:ascii="Times New Roman" w:hAnsi="Times New Roman" w:eastAsia="仿宋_GB2312" w:cs="Times New Roman"/>
                <w:color w:val="auto"/>
                <w:sz w:val="28"/>
                <w:szCs w:val="28"/>
                <w:lang w:val="en-US" w:eastAsia="zh-CN"/>
              </w:rPr>
              <w:t xml:space="preserve"> </w:t>
            </w:r>
            <w:r>
              <w:rPr>
                <w:rFonts w:hint="default" w:ascii="Times New Roman" w:hAnsi="Times New Roman" w:eastAsia="仿宋_GB2312" w:cs="Times New Roman"/>
                <w:color w:val="auto"/>
                <w:sz w:val="28"/>
                <w:szCs w:val="28"/>
              </w:rPr>
              <w:t>0450.1标准中对于小于0.55mm外径的产品未要求，但不意味着性能研究中不评估该风险。</w:t>
            </w:r>
          </w:p>
        </w:tc>
      </w:tr>
      <w:tr w14:paraId="34148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0" w:hRule="atLeast"/>
        </w:trPr>
        <w:tc>
          <w:tcPr>
            <w:tcW w:w="880" w:type="dxa"/>
            <w:tcBorders>
              <w:top w:val="single" w:color="auto" w:sz="4" w:space="0"/>
              <w:left w:val="single" w:color="auto" w:sz="4" w:space="0"/>
              <w:bottom w:val="single" w:color="auto" w:sz="4" w:space="0"/>
              <w:right w:val="single" w:color="auto" w:sz="4" w:space="0"/>
            </w:tcBorders>
            <w:vAlign w:val="center"/>
          </w:tcPr>
          <w:p w14:paraId="6C0876C7">
            <w:pPr>
              <w:spacing w:before="100" w:beforeAutospacing="1"/>
              <w:rPr>
                <w:rFonts w:hint="default" w:ascii="Times New Roman" w:hAnsi="Times New Roman" w:eastAsia="仿宋_GB2312" w:cs="Times New Roman"/>
                <w:color w:val="auto"/>
                <w:sz w:val="28"/>
                <w:szCs w:val="28"/>
                <w:lang w:val="en-US" w:eastAsia="zh-CN"/>
              </w:rPr>
            </w:pPr>
            <w:r>
              <w:rPr>
                <w:rFonts w:hint="default" w:ascii="Times New Roman" w:hAnsi="Times New Roman" w:eastAsia="仿宋_GB2312" w:cs="Times New Roman"/>
                <w:color w:val="auto"/>
                <w:sz w:val="28"/>
                <w:szCs w:val="28"/>
                <w:lang w:val="en-US" w:eastAsia="zh-CN"/>
              </w:rPr>
              <w:t>10</w:t>
            </w:r>
          </w:p>
        </w:tc>
        <w:tc>
          <w:tcPr>
            <w:tcW w:w="2976" w:type="dxa"/>
            <w:gridSpan w:val="2"/>
            <w:tcBorders>
              <w:top w:val="single" w:color="auto" w:sz="4" w:space="0"/>
              <w:left w:val="single" w:color="auto" w:sz="4" w:space="0"/>
              <w:bottom w:val="single" w:color="auto" w:sz="4" w:space="0"/>
              <w:right w:val="single" w:color="auto" w:sz="4" w:space="0"/>
            </w:tcBorders>
            <w:vAlign w:val="center"/>
          </w:tcPr>
          <w:p w14:paraId="1BC1A76E">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模拟使用</w:t>
            </w:r>
          </w:p>
        </w:tc>
        <w:tc>
          <w:tcPr>
            <w:tcW w:w="1985" w:type="dxa"/>
            <w:tcBorders>
              <w:top w:val="single" w:color="auto" w:sz="4" w:space="0"/>
              <w:left w:val="single" w:color="auto" w:sz="4" w:space="0"/>
              <w:bottom w:val="single" w:color="auto" w:sz="4" w:space="0"/>
              <w:right w:val="single" w:color="auto" w:sz="4" w:space="0"/>
            </w:tcBorders>
            <w:vAlign w:val="center"/>
          </w:tcPr>
          <w:p w14:paraId="6F40F99B">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w:t>
            </w:r>
          </w:p>
        </w:tc>
        <w:tc>
          <w:tcPr>
            <w:tcW w:w="3940" w:type="dxa"/>
            <w:tcBorders>
              <w:top w:val="single" w:color="auto" w:sz="4" w:space="0"/>
              <w:left w:val="single" w:color="auto" w:sz="4" w:space="0"/>
              <w:bottom w:val="single" w:color="auto" w:sz="4" w:space="0"/>
              <w:right w:val="single" w:color="auto" w:sz="4" w:space="0"/>
            </w:tcBorders>
            <w:vAlign w:val="center"/>
          </w:tcPr>
          <w:p w14:paraId="458BB88C">
            <w:pPr>
              <w:keepNext w:val="0"/>
              <w:keepLines w:val="0"/>
              <w:pageBreakBefore w:val="0"/>
              <w:widowControl w:val="0"/>
              <w:numPr>
                <w:ilvl w:val="0"/>
                <w:numId w:val="3"/>
              </w:numPr>
              <w:kinsoku/>
              <w:wordWrap/>
              <w:overflowPunct/>
              <w:topLinePunct w:val="0"/>
              <w:autoSpaceDE/>
              <w:autoSpaceDN/>
              <w:bidi w:val="0"/>
              <w:adjustRightInd/>
              <w:snapToGrid/>
              <w:spacing w:before="100" w:beforeAutospacing="1" w:line="400" w:lineRule="exact"/>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分项评价以下适用的性能：推送性能、扭转性能</w:t>
            </w:r>
            <w:r>
              <w:rPr>
                <w:rFonts w:hint="default" w:ascii="Times New Roman" w:hAnsi="Times New Roman" w:eastAsia="仿宋_GB2312" w:cs="Times New Roman"/>
                <w:color w:val="auto"/>
                <w:sz w:val="28"/>
                <w:szCs w:val="28"/>
                <w:lang w:eastAsia="zh-CN"/>
              </w:rPr>
              <w:t>（</w:t>
            </w:r>
            <w:r>
              <w:rPr>
                <w:rFonts w:hint="default" w:ascii="Times New Roman" w:hAnsi="Times New Roman" w:eastAsia="仿宋_GB2312" w:cs="Times New Roman"/>
                <w:color w:val="auto"/>
                <w:sz w:val="28"/>
                <w:szCs w:val="28"/>
                <w:lang w:val="en-US" w:eastAsia="zh-CN"/>
              </w:rPr>
              <w:t>如适用</w:t>
            </w:r>
            <w:r>
              <w:rPr>
                <w:rFonts w:hint="default" w:ascii="Times New Roman" w:hAnsi="Times New Roman" w:eastAsia="仿宋_GB2312" w:cs="Times New Roman"/>
                <w:color w:val="auto"/>
                <w:sz w:val="28"/>
                <w:szCs w:val="28"/>
                <w:lang w:eastAsia="zh-CN"/>
              </w:rPr>
              <w:t>）</w:t>
            </w:r>
            <w:r>
              <w:rPr>
                <w:rFonts w:hint="default" w:ascii="Times New Roman" w:hAnsi="Times New Roman" w:eastAsia="仿宋_GB2312" w:cs="Times New Roman"/>
                <w:color w:val="auto"/>
                <w:sz w:val="28"/>
                <w:szCs w:val="28"/>
              </w:rPr>
              <w:t>、回撤性能、抗弯折性能</w:t>
            </w:r>
            <w:r>
              <w:rPr>
                <w:rFonts w:hint="default" w:ascii="Times New Roman" w:hAnsi="Times New Roman" w:eastAsia="仿宋_GB2312" w:cs="Times New Roman"/>
                <w:color w:val="auto"/>
                <w:sz w:val="28"/>
                <w:szCs w:val="28"/>
                <w:lang w:eastAsia="zh-CN"/>
              </w:rPr>
              <w:t>、</w:t>
            </w:r>
            <w:r>
              <w:rPr>
                <w:rFonts w:hint="default" w:ascii="Times New Roman" w:hAnsi="Times New Roman" w:eastAsia="仿宋_GB2312" w:cs="Times New Roman"/>
                <w:color w:val="auto"/>
                <w:sz w:val="28"/>
                <w:szCs w:val="28"/>
              </w:rPr>
              <w:t>抗扭结性能</w:t>
            </w:r>
            <w:r>
              <w:rPr>
                <w:rFonts w:hint="default" w:ascii="Times New Roman" w:hAnsi="Times New Roman" w:eastAsia="仿宋_GB2312" w:cs="Times New Roman"/>
                <w:color w:val="auto"/>
                <w:sz w:val="28"/>
                <w:szCs w:val="28"/>
                <w:lang w:eastAsia="zh-CN"/>
              </w:rPr>
              <w:t>、</w:t>
            </w:r>
            <w:r>
              <w:rPr>
                <w:rFonts w:hint="default" w:ascii="Times New Roman" w:hAnsi="Times New Roman" w:eastAsia="仿宋_GB2312" w:cs="Times New Roman"/>
                <w:color w:val="auto"/>
                <w:sz w:val="28"/>
                <w:szCs w:val="28"/>
                <w:lang w:val="en-US" w:eastAsia="zh-CN"/>
              </w:rPr>
              <w:t>控弯性等</w:t>
            </w:r>
            <w:r>
              <w:rPr>
                <w:rFonts w:hint="default" w:ascii="Times New Roman" w:hAnsi="Times New Roman" w:eastAsia="仿宋_GB2312" w:cs="Times New Roman"/>
                <w:color w:val="auto"/>
                <w:sz w:val="28"/>
                <w:szCs w:val="28"/>
              </w:rPr>
              <w:t>;</w:t>
            </w:r>
          </w:p>
          <w:p w14:paraId="030F2B04">
            <w:pPr>
              <w:keepNext w:val="0"/>
              <w:keepLines w:val="0"/>
              <w:pageBreakBefore w:val="0"/>
              <w:widowControl w:val="0"/>
              <w:numPr>
                <w:ilvl w:val="0"/>
                <w:numId w:val="3"/>
              </w:numPr>
              <w:kinsoku/>
              <w:wordWrap/>
              <w:overflowPunct/>
              <w:topLinePunct w:val="0"/>
              <w:autoSpaceDE/>
              <w:autoSpaceDN/>
              <w:bidi w:val="0"/>
              <w:adjustRightInd/>
              <w:snapToGrid/>
              <w:spacing w:before="100" w:beforeAutospacing="1" w:line="400" w:lineRule="exact"/>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模拟血管解剖结构的模型的选择需与预期使用部位相符，并提供依据</w:t>
            </w:r>
            <w:r>
              <w:rPr>
                <w:rFonts w:hint="default" w:ascii="Times New Roman" w:hAnsi="Times New Roman" w:eastAsia="仿宋_GB2312" w:cs="Times New Roman"/>
                <w:color w:val="auto"/>
                <w:sz w:val="28"/>
                <w:szCs w:val="28"/>
              </w:rPr>
              <w:t>;</w:t>
            </w:r>
          </w:p>
          <w:p w14:paraId="537113E1">
            <w:pPr>
              <w:keepNext w:val="0"/>
              <w:keepLines w:val="0"/>
              <w:pageBreakBefore w:val="0"/>
              <w:widowControl w:val="0"/>
              <w:numPr>
                <w:ilvl w:val="0"/>
                <w:numId w:val="3"/>
              </w:numPr>
              <w:kinsoku/>
              <w:wordWrap/>
              <w:overflowPunct/>
              <w:topLinePunct w:val="0"/>
              <w:autoSpaceDE/>
              <w:autoSpaceDN/>
              <w:bidi w:val="0"/>
              <w:adjustRightInd/>
              <w:snapToGrid/>
              <w:spacing w:before="100" w:beforeAutospacing="1" w:line="400" w:lineRule="exact"/>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模拟使用试验中，需对产品与其他器械联用兼容性进行考察（如与</w:t>
            </w:r>
            <w:r>
              <w:rPr>
                <w:rFonts w:hint="default" w:ascii="Times New Roman" w:hAnsi="Times New Roman" w:eastAsia="仿宋_GB2312" w:cs="Times New Roman"/>
                <w:color w:val="auto"/>
                <w:sz w:val="28"/>
                <w:szCs w:val="28"/>
                <w:lang w:val="en-US" w:eastAsia="zh-CN"/>
              </w:rPr>
              <w:t>扩张器、</w:t>
            </w:r>
            <w:r>
              <w:rPr>
                <w:rFonts w:hint="default" w:ascii="Times New Roman" w:hAnsi="Times New Roman" w:eastAsia="仿宋_GB2312" w:cs="Times New Roman"/>
                <w:color w:val="auto"/>
                <w:sz w:val="28"/>
                <w:szCs w:val="28"/>
              </w:rPr>
              <w:t>导丝兼容性等），试验后，需对器械的完好性进行检查。</w:t>
            </w:r>
          </w:p>
        </w:tc>
      </w:tr>
      <w:tr w14:paraId="1563A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880" w:type="dxa"/>
            <w:tcBorders>
              <w:top w:val="single" w:color="auto" w:sz="4" w:space="0"/>
              <w:left w:val="single" w:color="auto" w:sz="4" w:space="0"/>
              <w:bottom w:val="single" w:color="auto" w:sz="4" w:space="0"/>
              <w:right w:val="single" w:color="auto" w:sz="4" w:space="0"/>
            </w:tcBorders>
            <w:vAlign w:val="center"/>
          </w:tcPr>
          <w:p w14:paraId="11BB87EC">
            <w:pPr>
              <w:spacing w:before="100" w:beforeAutospacing="1"/>
              <w:rPr>
                <w:rFonts w:hint="default" w:ascii="Times New Roman" w:hAnsi="Times New Roman" w:eastAsia="仿宋_GB2312" w:cs="Times New Roman"/>
                <w:color w:val="auto"/>
                <w:sz w:val="28"/>
                <w:szCs w:val="28"/>
                <w:lang w:eastAsia="zh-CN"/>
              </w:rPr>
            </w:pPr>
            <w:r>
              <w:rPr>
                <w:rFonts w:hint="default" w:ascii="Times New Roman" w:hAnsi="Times New Roman" w:eastAsia="仿宋_GB2312" w:cs="Times New Roman"/>
                <w:color w:val="auto"/>
                <w:sz w:val="28"/>
                <w:szCs w:val="28"/>
              </w:rPr>
              <w:t>1</w:t>
            </w:r>
            <w:r>
              <w:rPr>
                <w:rFonts w:hint="default" w:ascii="Times New Roman" w:hAnsi="Times New Roman" w:eastAsia="仿宋_GB2312" w:cs="Times New Roman"/>
                <w:color w:val="auto"/>
                <w:sz w:val="28"/>
                <w:szCs w:val="28"/>
                <w:lang w:val="en-US" w:eastAsia="zh-CN"/>
              </w:rPr>
              <w:t>1</w:t>
            </w:r>
          </w:p>
        </w:tc>
        <w:tc>
          <w:tcPr>
            <w:tcW w:w="2976" w:type="dxa"/>
            <w:gridSpan w:val="2"/>
            <w:tcBorders>
              <w:top w:val="single" w:color="auto" w:sz="4" w:space="0"/>
              <w:left w:val="single" w:color="auto" w:sz="4" w:space="0"/>
              <w:bottom w:val="single" w:color="auto" w:sz="4" w:space="0"/>
              <w:right w:val="single" w:color="auto" w:sz="4" w:space="0"/>
            </w:tcBorders>
            <w:vAlign w:val="center"/>
          </w:tcPr>
          <w:p w14:paraId="625A1FF4">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撕开鞘撕开力（如适用）</w:t>
            </w:r>
          </w:p>
        </w:tc>
        <w:tc>
          <w:tcPr>
            <w:tcW w:w="1985" w:type="dxa"/>
            <w:tcBorders>
              <w:top w:val="single" w:color="auto" w:sz="4" w:space="0"/>
              <w:left w:val="single" w:color="auto" w:sz="4" w:space="0"/>
              <w:bottom w:val="single" w:color="auto" w:sz="4" w:space="0"/>
              <w:right w:val="single" w:color="auto" w:sz="4" w:space="0"/>
            </w:tcBorders>
            <w:vAlign w:val="center"/>
          </w:tcPr>
          <w:p w14:paraId="3688CED3">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w:t>
            </w:r>
          </w:p>
        </w:tc>
        <w:tc>
          <w:tcPr>
            <w:tcW w:w="3940" w:type="dxa"/>
            <w:tcBorders>
              <w:top w:val="single" w:color="auto" w:sz="4" w:space="0"/>
              <w:left w:val="single" w:color="auto" w:sz="4" w:space="0"/>
              <w:bottom w:val="single" w:color="auto" w:sz="4" w:space="0"/>
              <w:right w:val="single" w:color="auto" w:sz="4" w:space="0"/>
            </w:tcBorders>
            <w:vAlign w:val="center"/>
          </w:tcPr>
          <w:p w14:paraId="39733FCE">
            <w:pPr>
              <w:keepNext w:val="0"/>
              <w:keepLines w:val="0"/>
              <w:pageBreakBefore w:val="0"/>
              <w:widowControl w:val="0"/>
              <w:kinsoku/>
              <w:wordWrap/>
              <w:overflowPunct/>
              <w:topLinePunct w:val="0"/>
              <w:autoSpaceDE/>
              <w:autoSpaceDN/>
              <w:bidi w:val="0"/>
              <w:adjustRightInd/>
              <w:snapToGrid/>
              <w:spacing w:before="100" w:beforeAutospacing="1" w:line="400" w:lineRule="exact"/>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lang w:val="en-US" w:eastAsia="zh-CN" w:bidi="ar"/>
              </w:rPr>
              <w:t>适用于可撕开型导管鞘。考虑</w:t>
            </w:r>
            <w:r>
              <w:rPr>
                <w:rFonts w:hint="default" w:ascii="Times New Roman" w:hAnsi="Times New Roman" w:eastAsia="仿宋_GB2312" w:cs="Times New Roman"/>
                <w:color w:val="auto"/>
                <w:sz w:val="28"/>
                <w:szCs w:val="28"/>
                <w:lang w:eastAsia="zh-CN"/>
              </w:rPr>
              <w:t>撕开力、撕裂后完整性</w:t>
            </w:r>
            <w:r>
              <w:rPr>
                <w:rFonts w:hint="default" w:ascii="Times New Roman" w:hAnsi="Times New Roman" w:eastAsia="仿宋_GB2312" w:cs="Times New Roman"/>
                <w:color w:val="auto"/>
                <w:sz w:val="28"/>
                <w:szCs w:val="28"/>
                <w:lang w:val="en-US" w:eastAsia="zh-CN"/>
              </w:rPr>
              <w:t>等性能研究</w:t>
            </w:r>
            <w:r>
              <w:rPr>
                <w:rStyle w:val="9"/>
                <w:rFonts w:ascii="Times New Roman" w:hAnsi="Times New Roman" w:eastAsia="仿宋_GB2312" w:cs="Times New Roman"/>
                <w:color w:val="auto"/>
                <w:sz w:val="28"/>
                <w:szCs w:val="28"/>
                <w:lang w:val="en-US" w:eastAsia="zh-CN" w:bidi="ar"/>
              </w:rPr>
              <w:t>。</w:t>
            </w:r>
          </w:p>
        </w:tc>
      </w:tr>
      <w:tr w14:paraId="6B6EF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tcBorders>
              <w:top w:val="single" w:color="auto" w:sz="4" w:space="0"/>
              <w:left w:val="single" w:color="auto" w:sz="4" w:space="0"/>
              <w:bottom w:val="single" w:color="auto" w:sz="4" w:space="0"/>
              <w:right w:val="single" w:color="auto" w:sz="4" w:space="0"/>
            </w:tcBorders>
            <w:vAlign w:val="center"/>
          </w:tcPr>
          <w:p w14:paraId="2A69213C">
            <w:pPr>
              <w:spacing w:before="100" w:beforeAutospacing="1"/>
              <w:rPr>
                <w:rFonts w:hint="default" w:ascii="Times New Roman" w:hAnsi="Times New Roman" w:eastAsia="仿宋_GB2312" w:cs="Times New Roman"/>
                <w:color w:val="auto"/>
                <w:sz w:val="28"/>
                <w:szCs w:val="28"/>
                <w:lang w:eastAsia="zh-CN"/>
              </w:rPr>
            </w:pPr>
            <w:r>
              <w:rPr>
                <w:rFonts w:hint="default" w:ascii="Times New Roman" w:hAnsi="Times New Roman" w:eastAsia="仿宋_GB2312" w:cs="Times New Roman"/>
                <w:color w:val="auto"/>
                <w:sz w:val="28"/>
                <w:szCs w:val="28"/>
              </w:rPr>
              <w:t>1</w:t>
            </w:r>
            <w:r>
              <w:rPr>
                <w:rFonts w:hint="default" w:ascii="Times New Roman" w:hAnsi="Times New Roman" w:eastAsia="仿宋_GB2312" w:cs="Times New Roman"/>
                <w:color w:val="auto"/>
                <w:sz w:val="28"/>
                <w:szCs w:val="28"/>
                <w:lang w:val="en-US" w:eastAsia="zh-CN"/>
              </w:rPr>
              <w:t>2</w:t>
            </w:r>
          </w:p>
        </w:tc>
        <w:tc>
          <w:tcPr>
            <w:tcW w:w="2976" w:type="dxa"/>
            <w:gridSpan w:val="2"/>
            <w:tcBorders>
              <w:top w:val="single" w:color="auto" w:sz="4" w:space="0"/>
              <w:left w:val="single" w:color="auto" w:sz="4" w:space="0"/>
              <w:bottom w:val="single" w:color="auto" w:sz="4" w:space="0"/>
              <w:right w:val="single" w:color="auto" w:sz="4" w:space="0"/>
            </w:tcBorders>
            <w:vAlign w:val="center"/>
          </w:tcPr>
          <w:p w14:paraId="1E2CCC52">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导丝兼容性</w:t>
            </w:r>
          </w:p>
        </w:tc>
        <w:tc>
          <w:tcPr>
            <w:tcW w:w="1985" w:type="dxa"/>
            <w:tcBorders>
              <w:top w:val="single" w:color="auto" w:sz="4" w:space="0"/>
              <w:left w:val="single" w:color="auto" w:sz="4" w:space="0"/>
              <w:bottom w:val="single" w:color="auto" w:sz="4" w:space="0"/>
              <w:right w:val="single" w:color="auto" w:sz="4" w:space="0"/>
            </w:tcBorders>
            <w:vAlign w:val="center"/>
          </w:tcPr>
          <w:p w14:paraId="37A7313E">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是</w:t>
            </w:r>
          </w:p>
        </w:tc>
        <w:tc>
          <w:tcPr>
            <w:tcW w:w="3940" w:type="dxa"/>
            <w:tcBorders>
              <w:top w:val="single" w:color="auto" w:sz="4" w:space="0"/>
              <w:left w:val="single" w:color="auto" w:sz="4" w:space="0"/>
              <w:bottom w:val="single" w:color="auto" w:sz="4" w:space="0"/>
              <w:right w:val="single" w:color="auto" w:sz="4" w:space="0"/>
            </w:tcBorders>
            <w:vAlign w:val="center"/>
          </w:tcPr>
          <w:p w14:paraId="2418EDFE">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w:t>
            </w:r>
          </w:p>
        </w:tc>
      </w:tr>
      <w:tr w14:paraId="55096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880" w:type="dxa"/>
            <w:tcBorders>
              <w:top w:val="single" w:color="auto" w:sz="4" w:space="0"/>
              <w:left w:val="single" w:color="auto" w:sz="4" w:space="0"/>
              <w:bottom w:val="single" w:color="auto" w:sz="4" w:space="0"/>
              <w:right w:val="single" w:color="auto" w:sz="4" w:space="0"/>
            </w:tcBorders>
            <w:vAlign w:val="center"/>
          </w:tcPr>
          <w:p w14:paraId="1A9E1AD1">
            <w:pPr>
              <w:spacing w:before="100" w:beforeAutospacing="1"/>
              <w:rPr>
                <w:rFonts w:hint="default" w:ascii="Times New Roman" w:hAnsi="Times New Roman" w:eastAsia="仿宋_GB2312" w:cs="Times New Roman"/>
                <w:color w:val="auto"/>
                <w:sz w:val="28"/>
                <w:szCs w:val="28"/>
                <w:lang w:eastAsia="zh-CN"/>
              </w:rPr>
            </w:pPr>
            <w:r>
              <w:rPr>
                <w:rFonts w:hint="default" w:ascii="Times New Roman" w:hAnsi="Times New Roman" w:eastAsia="仿宋_GB2312" w:cs="Times New Roman"/>
                <w:color w:val="auto"/>
                <w:sz w:val="28"/>
                <w:szCs w:val="28"/>
              </w:rPr>
              <w:t>1</w:t>
            </w:r>
            <w:r>
              <w:rPr>
                <w:rFonts w:hint="default" w:ascii="Times New Roman" w:hAnsi="Times New Roman" w:eastAsia="仿宋_GB2312" w:cs="Times New Roman"/>
                <w:color w:val="auto"/>
                <w:sz w:val="28"/>
                <w:szCs w:val="28"/>
                <w:lang w:val="en-US" w:eastAsia="zh-CN"/>
              </w:rPr>
              <w:t>3</w:t>
            </w:r>
          </w:p>
        </w:tc>
        <w:tc>
          <w:tcPr>
            <w:tcW w:w="2976" w:type="dxa"/>
            <w:gridSpan w:val="2"/>
            <w:tcBorders>
              <w:top w:val="single" w:color="auto" w:sz="4" w:space="0"/>
              <w:left w:val="single" w:color="auto" w:sz="4" w:space="0"/>
              <w:bottom w:val="single" w:color="auto" w:sz="4" w:space="0"/>
              <w:right w:val="single" w:color="auto" w:sz="4" w:space="0"/>
            </w:tcBorders>
            <w:vAlign w:val="center"/>
          </w:tcPr>
          <w:p w14:paraId="3E77814B">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器械兼容性</w:t>
            </w:r>
          </w:p>
        </w:tc>
        <w:tc>
          <w:tcPr>
            <w:tcW w:w="1985" w:type="dxa"/>
            <w:tcBorders>
              <w:top w:val="single" w:color="auto" w:sz="4" w:space="0"/>
              <w:left w:val="single" w:color="auto" w:sz="4" w:space="0"/>
              <w:bottom w:val="single" w:color="auto" w:sz="4" w:space="0"/>
              <w:right w:val="single" w:color="auto" w:sz="4" w:space="0"/>
            </w:tcBorders>
            <w:vAlign w:val="center"/>
          </w:tcPr>
          <w:p w14:paraId="09A7EB06">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是</w:t>
            </w:r>
          </w:p>
        </w:tc>
        <w:tc>
          <w:tcPr>
            <w:tcW w:w="3940" w:type="dxa"/>
            <w:tcBorders>
              <w:top w:val="single" w:color="auto" w:sz="4" w:space="0"/>
              <w:left w:val="single" w:color="auto" w:sz="4" w:space="0"/>
              <w:bottom w:val="single" w:color="auto" w:sz="4" w:space="0"/>
              <w:right w:val="single" w:color="auto" w:sz="4" w:space="0"/>
            </w:tcBorders>
            <w:vAlign w:val="center"/>
          </w:tcPr>
          <w:p w14:paraId="09EFF151">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w:t>
            </w:r>
          </w:p>
        </w:tc>
      </w:tr>
      <w:tr w14:paraId="0FA14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880" w:type="dxa"/>
            <w:tcBorders>
              <w:top w:val="single" w:color="auto" w:sz="4" w:space="0"/>
              <w:left w:val="single" w:color="auto" w:sz="4" w:space="0"/>
              <w:bottom w:val="single" w:color="auto" w:sz="4" w:space="0"/>
              <w:right w:val="single" w:color="auto" w:sz="4" w:space="0"/>
            </w:tcBorders>
            <w:vAlign w:val="center"/>
          </w:tcPr>
          <w:p w14:paraId="6436477E">
            <w:pPr>
              <w:spacing w:before="100" w:beforeAutospacing="1"/>
              <w:rPr>
                <w:rFonts w:hint="default" w:ascii="Times New Roman" w:hAnsi="Times New Roman" w:eastAsia="仿宋_GB2312" w:cs="Times New Roman"/>
                <w:color w:val="auto"/>
                <w:sz w:val="28"/>
                <w:szCs w:val="28"/>
                <w:lang w:eastAsia="zh-CN"/>
              </w:rPr>
            </w:pPr>
            <w:r>
              <w:rPr>
                <w:rFonts w:hint="default" w:ascii="Times New Roman" w:hAnsi="Times New Roman" w:eastAsia="仿宋_GB2312" w:cs="Times New Roman"/>
                <w:color w:val="auto"/>
                <w:sz w:val="28"/>
                <w:szCs w:val="28"/>
              </w:rPr>
              <w:t>1</w:t>
            </w:r>
            <w:r>
              <w:rPr>
                <w:rFonts w:hint="default" w:ascii="Times New Roman" w:hAnsi="Times New Roman" w:eastAsia="仿宋_GB2312" w:cs="Times New Roman"/>
                <w:color w:val="auto"/>
                <w:sz w:val="28"/>
                <w:szCs w:val="28"/>
                <w:lang w:val="en-US" w:eastAsia="zh-CN"/>
              </w:rPr>
              <w:t>4</w:t>
            </w:r>
          </w:p>
        </w:tc>
        <w:tc>
          <w:tcPr>
            <w:tcW w:w="2976" w:type="dxa"/>
            <w:gridSpan w:val="2"/>
            <w:tcBorders>
              <w:top w:val="single" w:color="auto" w:sz="4" w:space="0"/>
              <w:left w:val="single" w:color="auto" w:sz="4" w:space="0"/>
              <w:bottom w:val="single" w:color="auto" w:sz="4" w:space="0"/>
              <w:right w:val="single" w:color="auto" w:sz="4" w:space="0"/>
            </w:tcBorders>
            <w:vAlign w:val="center"/>
          </w:tcPr>
          <w:p w14:paraId="1161A303">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抗弯折（如适用）</w:t>
            </w:r>
          </w:p>
        </w:tc>
        <w:tc>
          <w:tcPr>
            <w:tcW w:w="1985" w:type="dxa"/>
            <w:tcBorders>
              <w:top w:val="single" w:color="auto" w:sz="4" w:space="0"/>
              <w:left w:val="single" w:color="auto" w:sz="4" w:space="0"/>
              <w:bottom w:val="single" w:color="auto" w:sz="4" w:space="0"/>
              <w:right w:val="single" w:color="auto" w:sz="4" w:space="0"/>
            </w:tcBorders>
            <w:vAlign w:val="center"/>
          </w:tcPr>
          <w:p w14:paraId="69B775B1">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w:t>
            </w:r>
          </w:p>
        </w:tc>
        <w:tc>
          <w:tcPr>
            <w:tcW w:w="3940" w:type="dxa"/>
            <w:tcBorders>
              <w:top w:val="single" w:color="auto" w:sz="4" w:space="0"/>
              <w:left w:val="single" w:color="auto" w:sz="4" w:space="0"/>
              <w:bottom w:val="single" w:color="auto" w:sz="4" w:space="0"/>
              <w:right w:val="single" w:color="auto" w:sz="4" w:space="0"/>
            </w:tcBorders>
            <w:vAlign w:val="center"/>
          </w:tcPr>
          <w:p w14:paraId="3E2AEBB5">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w:t>
            </w:r>
          </w:p>
        </w:tc>
      </w:tr>
      <w:tr w14:paraId="07121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atLeast"/>
        </w:trPr>
        <w:tc>
          <w:tcPr>
            <w:tcW w:w="880" w:type="dxa"/>
            <w:tcBorders>
              <w:top w:val="single" w:color="auto" w:sz="4" w:space="0"/>
              <w:left w:val="single" w:color="auto" w:sz="4" w:space="0"/>
              <w:bottom w:val="single" w:color="auto" w:sz="4" w:space="0"/>
              <w:right w:val="single" w:color="auto" w:sz="4" w:space="0"/>
            </w:tcBorders>
            <w:vAlign w:val="center"/>
          </w:tcPr>
          <w:p w14:paraId="385B38B9">
            <w:pPr>
              <w:spacing w:before="100" w:beforeAutospacing="1"/>
              <w:rPr>
                <w:rFonts w:hint="default" w:ascii="Times New Roman" w:hAnsi="Times New Roman" w:eastAsia="仿宋_GB2312" w:cs="Times New Roman"/>
                <w:color w:val="auto"/>
                <w:sz w:val="28"/>
                <w:szCs w:val="28"/>
                <w:lang w:eastAsia="zh-CN"/>
              </w:rPr>
            </w:pPr>
            <w:r>
              <w:rPr>
                <w:rFonts w:hint="default" w:ascii="Times New Roman" w:hAnsi="Times New Roman" w:eastAsia="仿宋_GB2312" w:cs="Times New Roman"/>
                <w:color w:val="auto"/>
                <w:sz w:val="28"/>
                <w:szCs w:val="28"/>
              </w:rPr>
              <w:t>1</w:t>
            </w:r>
            <w:r>
              <w:rPr>
                <w:rFonts w:hint="default" w:ascii="Times New Roman" w:hAnsi="Times New Roman" w:eastAsia="仿宋_GB2312" w:cs="Times New Roman"/>
                <w:color w:val="auto"/>
                <w:sz w:val="28"/>
                <w:szCs w:val="28"/>
                <w:lang w:val="en-US" w:eastAsia="zh-CN"/>
              </w:rPr>
              <w:t>5</w:t>
            </w:r>
          </w:p>
        </w:tc>
        <w:tc>
          <w:tcPr>
            <w:tcW w:w="2976" w:type="dxa"/>
            <w:gridSpan w:val="2"/>
            <w:tcBorders>
              <w:top w:val="single" w:color="auto" w:sz="4" w:space="0"/>
              <w:left w:val="single" w:color="auto" w:sz="4" w:space="0"/>
              <w:bottom w:val="single" w:color="auto" w:sz="4" w:space="0"/>
              <w:right w:val="single" w:color="auto" w:sz="4" w:space="0"/>
            </w:tcBorders>
            <w:vAlign w:val="center"/>
          </w:tcPr>
          <w:p w14:paraId="1E9BEDE5">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涂层完整性及润滑性（如适用）</w:t>
            </w:r>
          </w:p>
        </w:tc>
        <w:tc>
          <w:tcPr>
            <w:tcW w:w="1985" w:type="dxa"/>
            <w:tcBorders>
              <w:top w:val="single" w:color="auto" w:sz="4" w:space="0"/>
              <w:left w:val="single" w:color="auto" w:sz="4" w:space="0"/>
              <w:bottom w:val="single" w:color="auto" w:sz="4" w:space="0"/>
              <w:right w:val="single" w:color="auto" w:sz="4" w:space="0"/>
            </w:tcBorders>
            <w:vAlign w:val="center"/>
          </w:tcPr>
          <w:p w14:paraId="5F02381E">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w:t>
            </w:r>
          </w:p>
        </w:tc>
        <w:tc>
          <w:tcPr>
            <w:tcW w:w="3940" w:type="dxa"/>
            <w:tcBorders>
              <w:top w:val="single" w:color="auto" w:sz="4" w:space="0"/>
              <w:left w:val="single" w:color="auto" w:sz="4" w:space="0"/>
              <w:bottom w:val="single" w:color="auto" w:sz="4" w:space="0"/>
              <w:right w:val="single" w:color="auto" w:sz="4" w:space="0"/>
            </w:tcBorders>
            <w:vAlign w:val="center"/>
          </w:tcPr>
          <w:p w14:paraId="732FAD23">
            <w:pPr>
              <w:keepNext w:val="0"/>
              <w:keepLines w:val="0"/>
              <w:pageBreakBefore w:val="0"/>
              <w:widowControl w:val="0"/>
              <w:kinsoku/>
              <w:wordWrap/>
              <w:overflowPunct/>
              <w:topLinePunct w:val="0"/>
              <w:autoSpaceDE/>
              <w:autoSpaceDN/>
              <w:bidi w:val="0"/>
              <w:adjustRightInd/>
              <w:snapToGrid/>
              <w:spacing w:before="100" w:beforeAutospacing="1" w:line="400" w:lineRule="exact"/>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对于涂层性能，按照《带有润滑涂层的血管介入器械注册审查指导原则》，对涂层完整性、润滑性等进行研究。当进行涂层稳定性评估时，建议结合临床实际制定不同的模拟测试周期</w:t>
            </w:r>
            <w:r>
              <w:rPr>
                <w:rFonts w:hint="default" w:ascii="Times New Roman" w:hAnsi="Times New Roman" w:eastAsia="仿宋_GB2312" w:cs="Times New Roman"/>
                <w:color w:val="auto"/>
                <w:sz w:val="28"/>
                <w:szCs w:val="28"/>
              </w:rPr>
              <w:t>/测试次数。</w:t>
            </w:r>
          </w:p>
        </w:tc>
      </w:tr>
      <w:tr w14:paraId="57FDA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880" w:type="dxa"/>
            <w:tcBorders>
              <w:top w:val="single" w:color="auto" w:sz="4" w:space="0"/>
              <w:left w:val="single" w:color="auto" w:sz="4" w:space="0"/>
              <w:bottom w:val="single" w:color="auto" w:sz="4" w:space="0"/>
              <w:right w:val="single" w:color="auto" w:sz="4" w:space="0"/>
            </w:tcBorders>
            <w:vAlign w:val="center"/>
          </w:tcPr>
          <w:p w14:paraId="79E17729">
            <w:pPr>
              <w:spacing w:before="100" w:beforeAutospacing="1"/>
              <w:rPr>
                <w:rFonts w:hint="default" w:ascii="Times New Roman" w:hAnsi="Times New Roman" w:eastAsia="仿宋_GB2312" w:cs="Times New Roman"/>
                <w:color w:val="auto"/>
                <w:sz w:val="28"/>
                <w:szCs w:val="28"/>
                <w:lang w:eastAsia="zh-CN"/>
              </w:rPr>
            </w:pPr>
            <w:r>
              <w:rPr>
                <w:rFonts w:hint="default" w:ascii="Times New Roman" w:hAnsi="Times New Roman" w:eastAsia="仿宋_GB2312" w:cs="Times New Roman"/>
                <w:color w:val="auto"/>
                <w:sz w:val="28"/>
                <w:szCs w:val="28"/>
              </w:rPr>
              <w:t>1</w:t>
            </w:r>
            <w:r>
              <w:rPr>
                <w:rFonts w:hint="default" w:ascii="Times New Roman" w:hAnsi="Times New Roman" w:eastAsia="仿宋_GB2312" w:cs="Times New Roman"/>
                <w:color w:val="auto"/>
                <w:sz w:val="28"/>
                <w:szCs w:val="28"/>
                <w:lang w:val="en-US" w:eastAsia="zh-CN"/>
              </w:rPr>
              <w:t>6</w:t>
            </w:r>
          </w:p>
        </w:tc>
        <w:tc>
          <w:tcPr>
            <w:tcW w:w="2976" w:type="dxa"/>
            <w:gridSpan w:val="2"/>
            <w:tcBorders>
              <w:top w:val="single" w:color="auto" w:sz="4" w:space="0"/>
              <w:left w:val="single" w:color="auto" w:sz="4" w:space="0"/>
              <w:bottom w:val="single" w:color="auto" w:sz="4" w:space="0"/>
              <w:right w:val="single" w:color="auto" w:sz="4" w:space="0"/>
            </w:tcBorders>
            <w:vAlign w:val="center"/>
          </w:tcPr>
          <w:p w14:paraId="59A5475F">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水合性</w:t>
            </w:r>
          </w:p>
        </w:tc>
        <w:tc>
          <w:tcPr>
            <w:tcW w:w="1985" w:type="dxa"/>
            <w:tcBorders>
              <w:top w:val="single" w:color="auto" w:sz="4" w:space="0"/>
              <w:left w:val="single" w:color="auto" w:sz="4" w:space="0"/>
              <w:bottom w:val="single" w:color="auto" w:sz="4" w:space="0"/>
              <w:right w:val="single" w:color="auto" w:sz="4" w:space="0"/>
            </w:tcBorders>
            <w:vAlign w:val="center"/>
          </w:tcPr>
          <w:p w14:paraId="34AFDB82">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w:t>
            </w:r>
          </w:p>
        </w:tc>
        <w:tc>
          <w:tcPr>
            <w:tcW w:w="3940" w:type="dxa"/>
            <w:tcBorders>
              <w:top w:val="single" w:color="auto" w:sz="4" w:space="0"/>
              <w:left w:val="single" w:color="auto" w:sz="4" w:space="0"/>
              <w:bottom w:val="single" w:color="auto" w:sz="4" w:space="0"/>
              <w:right w:val="single" w:color="auto" w:sz="4" w:space="0"/>
            </w:tcBorders>
            <w:vAlign w:val="center"/>
          </w:tcPr>
          <w:p w14:paraId="2DA5C9F0">
            <w:pPr>
              <w:keepNext w:val="0"/>
              <w:keepLines w:val="0"/>
              <w:pageBreakBefore w:val="0"/>
              <w:widowControl w:val="0"/>
              <w:numPr>
                <w:ilvl w:val="0"/>
                <w:numId w:val="0"/>
              </w:numPr>
              <w:kinsoku/>
              <w:wordWrap/>
              <w:overflowPunct/>
              <w:topLinePunct w:val="0"/>
              <w:autoSpaceDE/>
              <w:autoSpaceDN/>
              <w:bidi w:val="0"/>
              <w:adjustRightInd/>
              <w:snapToGrid/>
              <w:spacing w:before="100" w:beforeAutospacing="1" w:line="400" w:lineRule="exact"/>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kern w:val="2"/>
                <w:sz w:val="28"/>
                <w:szCs w:val="28"/>
                <w:lang w:val="en-US" w:eastAsia="zh-CN" w:bidi="ar-SA"/>
              </w:rPr>
              <w:t>1.</w:t>
            </w:r>
            <w:r>
              <w:rPr>
                <w:rFonts w:hint="default" w:ascii="Times New Roman" w:hAnsi="Times New Roman" w:eastAsia="仿宋_GB2312" w:cs="Times New Roman"/>
                <w:color w:val="auto"/>
                <w:sz w:val="28"/>
                <w:szCs w:val="28"/>
              </w:rPr>
              <w:t>在性能研究中明确水合性试验浸泡时长，并提供支持性资料证明其合理性。</w:t>
            </w:r>
            <w:r>
              <w:rPr>
                <w:rFonts w:hint="default" w:ascii="Times New Roman" w:hAnsi="Times New Roman" w:eastAsia="仿宋_GB2312" w:cs="Times New Roman"/>
                <w:sz w:val="28"/>
                <w:szCs w:val="28"/>
                <w:lang w:val="en-US" w:eastAsia="zh-CN"/>
                <w14:ligatures w14:val="standardContextual"/>
              </w:rPr>
              <w:t>建议参照YY</w:t>
            </w:r>
            <w:r>
              <w:rPr>
                <w:rFonts w:hint="eastAsia" w:ascii="Times New Roman" w:hAnsi="Times New Roman" w:eastAsia="仿宋_GB2312" w:cs="Times New Roman"/>
                <w:sz w:val="28"/>
                <w:szCs w:val="28"/>
                <w:lang w:val="en-US" w:eastAsia="zh-CN"/>
                <w14:ligatures w14:val="standardContextual"/>
              </w:rPr>
              <w:t xml:space="preserve"> </w:t>
            </w:r>
            <w:r>
              <w:rPr>
                <w:rFonts w:hint="default" w:ascii="Times New Roman" w:hAnsi="Times New Roman" w:eastAsia="仿宋_GB2312" w:cs="Times New Roman"/>
                <w:sz w:val="28"/>
                <w:szCs w:val="28"/>
                <w:lang w:val="en-US" w:eastAsia="zh-CN"/>
                <w14:ligatures w14:val="standardContextual"/>
              </w:rPr>
              <w:t>0285.1中的试验方法进行。</w:t>
            </w:r>
          </w:p>
          <w:p w14:paraId="5984D574">
            <w:pPr>
              <w:keepNext w:val="0"/>
              <w:keepLines w:val="0"/>
              <w:pageBreakBefore w:val="0"/>
              <w:widowControl w:val="0"/>
              <w:numPr>
                <w:ilvl w:val="0"/>
                <w:numId w:val="0"/>
              </w:numPr>
              <w:kinsoku/>
              <w:wordWrap/>
              <w:overflowPunct/>
              <w:topLinePunct w:val="0"/>
              <w:autoSpaceDE/>
              <w:autoSpaceDN/>
              <w:bidi w:val="0"/>
              <w:adjustRightInd/>
              <w:snapToGrid/>
              <w:spacing w:before="100" w:beforeAutospacing="1" w:line="400" w:lineRule="exact"/>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kern w:val="2"/>
                <w:sz w:val="28"/>
                <w:szCs w:val="28"/>
                <w:lang w:val="en-US" w:eastAsia="zh-CN" w:bidi="ar-SA"/>
              </w:rPr>
              <w:t>2.</w:t>
            </w:r>
            <w:r>
              <w:rPr>
                <w:rFonts w:hint="default" w:ascii="Times New Roman" w:hAnsi="Times New Roman" w:eastAsia="仿宋_GB2312" w:cs="Times New Roman"/>
                <w:color w:val="auto"/>
                <w:sz w:val="28"/>
                <w:szCs w:val="28"/>
              </w:rPr>
              <w:t>在产品技术要求附录中描述导管为水合性导管或非水合性导管。</w:t>
            </w:r>
          </w:p>
        </w:tc>
      </w:tr>
      <w:tr w14:paraId="12A38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80" w:type="dxa"/>
            <w:tcBorders>
              <w:top w:val="single" w:color="auto" w:sz="4" w:space="0"/>
              <w:left w:val="single" w:color="auto" w:sz="4" w:space="0"/>
              <w:bottom w:val="single" w:color="auto" w:sz="4" w:space="0"/>
              <w:right w:val="single" w:color="auto" w:sz="4" w:space="0"/>
            </w:tcBorders>
            <w:vAlign w:val="center"/>
          </w:tcPr>
          <w:p w14:paraId="5C90FFAA">
            <w:pPr>
              <w:keepNext w:val="0"/>
              <w:keepLines w:val="0"/>
              <w:pageBreakBefore w:val="0"/>
              <w:widowControl w:val="0"/>
              <w:kinsoku/>
              <w:wordWrap/>
              <w:overflowPunct/>
              <w:topLinePunct w:val="0"/>
              <w:autoSpaceDE/>
              <w:autoSpaceDN/>
              <w:bidi w:val="0"/>
              <w:adjustRightInd/>
              <w:snapToGrid/>
              <w:spacing w:before="100" w:beforeAutospacing="1" w:line="400" w:lineRule="exact"/>
              <w:textAlignment w:val="auto"/>
              <w:rPr>
                <w:rFonts w:hint="default" w:ascii="Times New Roman" w:hAnsi="Times New Roman" w:eastAsia="仿宋_GB2312" w:cs="Times New Roman"/>
                <w:color w:val="auto"/>
                <w:sz w:val="28"/>
                <w:szCs w:val="28"/>
                <w:lang w:eastAsia="zh-CN"/>
              </w:rPr>
            </w:pPr>
            <w:r>
              <w:rPr>
                <w:rFonts w:hint="default" w:ascii="Times New Roman" w:hAnsi="Times New Roman" w:eastAsia="仿宋_GB2312" w:cs="Times New Roman"/>
                <w:color w:val="auto"/>
                <w:sz w:val="28"/>
                <w:szCs w:val="28"/>
              </w:rPr>
              <w:t>1</w:t>
            </w:r>
            <w:r>
              <w:rPr>
                <w:rFonts w:hint="default" w:ascii="Times New Roman" w:hAnsi="Times New Roman" w:eastAsia="仿宋_GB2312" w:cs="Times New Roman"/>
                <w:color w:val="auto"/>
                <w:sz w:val="28"/>
                <w:szCs w:val="28"/>
                <w:lang w:val="en-US" w:eastAsia="zh-CN"/>
              </w:rPr>
              <w:t>7</w:t>
            </w:r>
          </w:p>
        </w:tc>
        <w:tc>
          <w:tcPr>
            <w:tcW w:w="2976" w:type="dxa"/>
            <w:gridSpan w:val="2"/>
            <w:tcBorders>
              <w:top w:val="single" w:color="auto" w:sz="4" w:space="0"/>
              <w:left w:val="single" w:color="auto" w:sz="4" w:space="0"/>
              <w:bottom w:val="single" w:color="auto" w:sz="4" w:space="0"/>
              <w:right w:val="single" w:color="auto" w:sz="4" w:space="0"/>
            </w:tcBorders>
            <w:vAlign w:val="center"/>
          </w:tcPr>
          <w:p w14:paraId="41AD0D4D">
            <w:pPr>
              <w:keepNext w:val="0"/>
              <w:keepLines w:val="0"/>
              <w:pageBreakBefore w:val="0"/>
              <w:widowControl w:val="0"/>
              <w:kinsoku/>
              <w:wordWrap/>
              <w:overflowPunct/>
              <w:topLinePunct w:val="0"/>
              <w:autoSpaceDE/>
              <w:autoSpaceDN/>
              <w:bidi w:val="0"/>
              <w:adjustRightInd/>
              <w:snapToGrid/>
              <w:spacing w:before="100" w:beforeAutospacing="1" w:line="400" w:lineRule="exact"/>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lang w:val="en-US" w:eastAsia="zh-CN"/>
              </w:rPr>
              <w:t>可调弯范围（如适用）</w:t>
            </w:r>
          </w:p>
        </w:tc>
        <w:tc>
          <w:tcPr>
            <w:tcW w:w="1985" w:type="dxa"/>
            <w:tcBorders>
              <w:top w:val="single" w:color="auto" w:sz="4" w:space="0"/>
              <w:left w:val="single" w:color="auto" w:sz="4" w:space="0"/>
              <w:bottom w:val="single" w:color="auto" w:sz="4" w:space="0"/>
              <w:right w:val="single" w:color="auto" w:sz="4" w:space="0"/>
            </w:tcBorders>
            <w:vAlign w:val="center"/>
          </w:tcPr>
          <w:p w14:paraId="26E41612">
            <w:pPr>
              <w:keepNext w:val="0"/>
              <w:keepLines w:val="0"/>
              <w:pageBreakBefore w:val="0"/>
              <w:widowControl w:val="0"/>
              <w:kinsoku/>
              <w:wordWrap/>
              <w:overflowPunct/>
              <w:topLinePunct w:val="0"/>
              <w:autoSpaceDE/>
              <w:autoSpaceDN/>
              <w:bidi w:val="0"/>
              <w:adjustRightInd/>
              <w:snapToGrid/>
              <w:spacing w:before="100" w:beforeAutospacing="1" w:line="400" w:lineRule="exact"/>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lang w:val="en-US" w:eastAsia="zh-CN"/>
              </w:rPr>
              <w:t>是</w:t>
            </w:r>
          </w:p>
        </w:tc>
        <w:tc>
          <w:tcPr>
            <w:tcW w:w="3940" w:type="dxa"/>
            <w:tcBorders>
              <w:top w:val="single" w:color="auto" w:sz="4" w:space="0"/>
              <w:left w:val="single" w:color="auto" w:sz="4" w:space="0"/>
              <w:bottom w:val="single" w:color="auto" w:sz="4" w:space="0"/>
              <w:right w:val="single" w:color="auto" w:sz="4" w:space="0"/>
            </w:tcBorders>
            <w:vAlign w:val="center"/>
          </w:tcPr>
          <w:p w14:paraId="172F74E0">
            <w:pPr>
              <w:keepNext w:val="0"/>
              <w:keepLines w:val="0"/>
              <w:pageBreakBefore w:val="0"/>
              <w:widowControl w:val="0"/>
              <w:kinsoku/>
              <w:wordWrap/>
              <w:overflowPunct/>
              <w:topLinePunct w:val="0"/>
              <w:autoSpaceDE/>
              <w:autoSpaceDN/>
              <w:bidi w:val="0"/>
              <w:adjustRightInd/>
              <w:snapToGrid/>
              <w:spacing w:before="100" w:beforeAutospacing="1" w:line="400" w:lineRule="exact"/>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适用于头端可调弯的导管鞘。考虑控弯力、调弯方向、调弯最大角度、调弯最大次数后弯型保持等</w:t>
            </w:r>
            <w:r>
              <w:rPr>
                <w:rFonts w:hint="default" w:ascii="Times New Roman" w:hAnsi="Times New Roman" w:eastAsia="仿宋_GB2312" w:cs="Times New Roman"/>
                <w:color w:val="auto"/>
                <w:sz w:val="28"/>
                <w:szCs w:val="28"/>
                <w:lang w:val="en-US" w:eastAsia="zh-CN"/>
              </w:rPr>
              <w:t>性能研究</w:t>
            </w:r>
            <w:r>
              <w:rPr>
                <w:rFonts w:hint="default" w:ascii="Times New Roman" w:hAnsi="Times New Roman" w:eastAsia="仿宋_GB2312" w:cs="Times New Roman"/>
                <w:color w:val="auto"/>
                <w:sz w:val="28"/>
                <w:szCs w:val="28"/>
              </w:rPr>
              <w:t>。</w:t>
            </w:r>
          </w:p>
        </w:tc>
      </w:tr>
      <w:tr w14:paraId="19E60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80" w:type="dxa"/>
            <w:tcBorders>
              <w:top w:val="single" w:color="auto" w:sz="4" w:space="0"/>
              <w:left w:val="single" w:color="auto" w:sz="4" w:space="0"/>
              <w:bottom w:val="single" w:color="auto" w:sz="4" w:space="0"/>
              <w:right w:val="single" w:color="auto" w:sz="4" w:space="0"/>
            </w:tcBorders>
            <w:vAlign w:val="center"/>
          </w:tcPr>
          <w:p w14:paraId="585F6A04">
            <w:pPr>
              <w:keepNext w:val="0"/>
              <w:keepLines w:val="0"/>
              <w:pageBreakBefore w:val="0"/>
              <w:widowControl w:val="0"/>
              <w:kinsoku/>
              <w:wordWrap/>
              <w:overflowPunct/>
              <w:topLinePunct w:val="0"/>
              <w:autoSpaceDE/>
              <w:autoSpaceDN/>
              <w:bidi w:val="0"/>
              <w:adjustRightInd/>
              <w:snapToGrid/>
              <w:spacing w:before="100" w:beforeAutospacing="1" w:line="400" w:lineRule="exact"/>
              <w:textAlignment w:val="auto"/>
              <w:rPr>
                <w:rFonts w:hint="default" w:ascii="Times New Roman" w:hAnsi="Times New Roman" w:eastAsia="仿宋_GB2312" w:cs="Times New Roman"/>
                <w:color w:val="auto"/>
                <w:sz w:val="28"/>
                <w:szCs w:val="28"/>
                <w:lang w:val="en-US" w:eastAsia="zh-CN"/>
              </w:rPr>
            </w:pPr>
            <w:r>
              <w:rPr>
                <w:rFonts w:hint="default" w:ascii="Times New Roman" w:hAnsi="Times New Roman" w:eastAsia="仿宋_GB2312" w:cs="Times New Roman"/>
                <w:color w:val="auto"/>
                <w:sz w:val="28"/>
                <w:szCs w:val="28"/>
                <w:lang w:val="en-US" w:eastAsia="zh-CN"/>
              </w:rPr>
              <w:t>18</w:t>
            </w:r>
          </w:p>
        </w:tc>
        <w:tc>
          <w:tcPr>
            <w:tcW w:w="2976" w:type="dxa"/>
            <w:gridSpan w:val="2"/>
            <w:tcBorders>
              <w:top w:val="single" w:color="auto" w:sz="4" w:space="0"/>
              <w:left w:val="single" w:color="auto" w:sz="4" w:space="0"/>
              <w:bottom w:val="single" w:color="auto" w:sz="4" w:space="0"/>
              <w:right w:val="single" w:color="auto" w:sz="4" w:space="0"/>
            </w:tcBorders>
            <w:vAlign w:val="center"/>
          </w:tcPr>
          <w:p w14:paraId="67FB2922">
            <w:pPr>
              <w:keepNext w:val="0"/>
              <w:keepLines w:val="0"/>
              <w:pageBreakBefore w:val="0"/>
              <w:widowControl w:val="0"/>
              <w:kinsoku/>
              <w:wordWrap/>
              <w:overflowPunct/>
              <w:topLinePunct w:val="0"/>
              <w:autoSpaceDE/>
              <w:autoSpaceDN/>
              <w:bidi w:val="0"/>
              <w:adjustRightInd/>
              <w:snapToGrid/>
              <w:spacing w:before="100" w:beforeAutospacing="1" w:line="400" w:lineRule="exact"/>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微粒污染</w:t>
            </w:r>
          </w:p>
        </w:tc>
        <w:tc>
          <w:tcPr>
            <w:tcW w:w="1985" w:type="dxa"/>
            <w:tcBorders>
              <w:top w:val="single" w:color="auto" w:sz="4" w:space="0"/>
              <w:left w:val="single" w:color="auto" w:sz="4" w:space="0"/>
              <w:bottom w:val="single" w:color="auto" w:sz="4" w:space="0"/>
              <w:right w:val="single" w:color="auto" w:sz="4" w:space="0"/>
            </w:tcBorders>
            <w:vAlign w:val="center"/>
          </w:tcPr>
          <w:p w14:paraId="7F81DEB1">
            <w:pPr>
              <w:keepNext w:val="0"/>
              <w:keepLines w:val="0"/>
              <w:pageBreakBefore w:val="0"/>
              <w:widowControl w:val="0"/>
              <w:kinsoku/>
              <w:wordWrap/>
              <w:overflowPunct/>
              <w:topLinePunct w:val="0"/>
              <w:autoSpaceDE/>
              <w:autoSpaceDN/>
              <w:bidi w:val="0"/>
              <w:adjustRightInd/>
              <w:snapToGrid/>
              <w:spacing w:before="100" w:beforeAutospacing="1" w:line="400" w:lineRule="exact"/>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是</w:t>
            </w:r>
          </w:p>
        </w:tc>
        <w:tc>
          <w:tcPr>
            <w:tcW w:w="3940" w:type="dxa"/>
            <w:tcBorders>
              <w:top w:val="single" w:color="auto" w:sz="4" w:space="0"/>
              <w:left w:val="single" w:color="auto" w:sz="4" w:space="0"/>
              <w:bottom w:val="single" w:color="auto" w:sz="4" w:space="0"/>
              <w:right w:val="single" w:color="auto" w:sz="4" w:space="0"/>
            </w:tcBorders>
            <w:vAlign w:val="center"/>
          </w:tcPr>
          <w:p w14:paraId="16DAEA80">
            <w:pPr>
              <w:keepNext w:val="0"/>
              <w:keepLines w:val="0"/>
              <w:pageBreakBefore w:val="0"/>
              <w:widowControl w:val="0"/>
              <w:kinsoku/>
              <w:wordWrap/>
              <w:overflowPunct/>
              <w:topLinePunct w:val="0"/>
              <w:autoSpaceDE/>
              <w:autoSpaceDN/>
              <w:bidi w:val="0"/>
              <w:adjustRightInd/>
              <w:snapToGrid/>
              <w:spacing w:before="100" w:beforeAutospacing="1" w:line="400" w:lineRule="exact"/>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w:t>
            </w:r>
          </w:p>
        </w:tc>
      </w:tr>
      <w:tr w14:paraId="41B64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880" w:type="dxa"/>
            <w:vMerge w:val="restart"/>
            <w:tcBorders>
              <w:top w:val="single" w:color="auto" w:sz="4" w:space="0"/>
              <w:left w:val="single" w:color="auto" w:sz="4" w:space="0"/>
              <w:bottom w:val="single" w:color="auto" w:sz="4" w:space="0"/>
              <w:right w:val="single" w:color="auto" w:sz="4" w:space="0"/>
            </w:tcBorders>
            <w:vAlign w:val="center"/>
          </w:tcPr>
          <w:p w14:paraId="7F77996E">
            <w:pPr>
              <w:spacing w:before="100" w:beforeAutospacing="1"/>
              <w:rPr>
                <w:rFonts w:hint="default" w:ascii="Times New Roman" w:hAnsi="Times New Roman" w:eastAsia="仿宋_GB2312" w:cs="Times New Roman"/>
                <w:color w:val="auto"/>
                <w:sz w:val="28"/>
                <w:szCs w:val="28"/>
                <w:lang w:eastAsia="zh-CN"/>
              </w:rPr>
            </w:pPr>
            <w:r>
              <w:rPr>
                <w:rFonts w:hint="default" w:ascii="Times New Roman" w:hAnsi="Times New Roman" w:eastAsia="仿宋_GB2312" w:cs="Times New Roman"/>
                <w:color w:val="auto"/>
                <w:sz w:val="28"/>
                <w:szCs w:val="28"/>
              </w:rPr>
              <w:t>1</w:t>
            </w:r>
            <w:r>
              <w:rPr>
                <w:rFonts w:hint="default" w:ascii="Times New Roman" w:hAnsi="Times New Roman" w:eastAsia="仿宋_GB2312" w:cs="Times New Roman"/>
                <w:color w:val="auto"/>
                <w:sz w:val="28"/>
                <w:szCs w:val="28"/>
                <w:lang w:val="en-US" w:eastAsia="zh-CN"/>
              </w:rPr>
              <w:t>9</w:t>
            </w:r>
          </w:p>
        </w:tc>
        <w:tc>
          <w:tcPr>
            <w:tcW w:w="1272" w:type="dxa"/>
            <w:vMerge w:val="restart"/>
            <w:tcBorders>
              <w:top w:val="single" w:color="auto" w:sz="4" w:space="0"/>
              <w:left w:val="single" w:color="auto" w:sz="4" w:space="0"/>
              <w:bottom w:val="single" w:color="auto" w:sz="4" w:space="0"/>
              <w:right w:val="single" w:color="auto" w:sz="4" w:space="0"/>
            </w:tcBorders>
            <w:vAlign w:val="center"/>
          </w:tcPr>
          <w:p w14:paraId="2A460374">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化学性能</w:t>
            </w:r>
          </w:p>
        </w:tc>
        <w:tc>
          <w:tcPr>
            <w:tcW w:w="1704" w:type="dxa"/>
            <w:tcBorders>
              <w:top w:val="single" w:color="auto" w:sz="4" w:space="0"/>
              <w:left w:val="single" w:color="auto" w:sz="4" w:space="0"/>
              <w:bottom w:val="single" w:color="auto" w:sz="4" w:space="0"/>
              <w:right w:val="single" w:color="auto" w:sz="4" w:space="0"/>
            </w:tcBorders>
            <w:vAlign w:val="center"/>
          </w:tcPr>
          <w:p w14:paraId="5AFF4198">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重金属</w:t>
            </w:r>
          </w:p>
        </w:tc>
        <w:tc>
          <w:tcPr>
            <w:tcW w:w="1985" w:type="dxa"/>
            <w:tcBorders>
              <w:top w:val="single" w:color="auto" w:sz="4" w:space="0"/>
              <w:left w:val="single" w:color="auto" w:sz="4" w:space="0"/>
              <w:bottom w:val="single" w:color="auto" w:sz="4" w:space="0"/>
              <w:right w:val="single" w:color="auto" w:sz="4" w:space="0"/>
            </w:tcBorders>
            <w:vAlign w:val="center"/>
          </w:tcPr>
          <w:p w14:paraId="0D8456DD">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是</w:t>
            </w:r>
          </w:p>
        </w:tc>
        <w:tc>
          <w:tcPr>
            <w:tcW w:w="3940" w:type="dxa"/>
            <w:tcBorders>
              <w:top w:val="single" w:color="auto" w:sz="4" w:space="0"/>
              <w:left w:val="single" w:color="auto" w:sz="4" w:space="0"/>
              <w:bottom w:val="single" w:color="auto" w:sz="4" w:space="0"/>
              <w:right w:val="single" w:color="auto" w:sz="4" w:space="0"/>
            </w:tcBorders>
            <w:vAlign w:val="center"/>
          </w:tcPr>
          <w:p w14:paraId="29050C51">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需注意单独制定镉含量要求。</w:t>
            </w:r>
          </w:p>
        </w:tc>
      </w:tr>
      <w:tr w14:paraId="66E69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880" w:type="dxa"/>
            <w:vMerge w:val="continue"/>
            <w:tcBorders>
              <w:top w:val="single" w:color="auto" w:sz="4" w:space="0"/>
              <w:left w:val="single" w:color="auto" w:sz="4" w:space="0"/>
              <w:bottom w:val="single" w:color="auto" w:sz="4" w:space="0"/>
              <w:right w:val="single" w:color="auto" w:sz="4" w:space="0"/>
            </w:tcBorders>
            <w:vAlign w:val="center"/>
          </w:tcPr>
          <w:p w14:paraId="0846DD03">
            <w:pPr>
              <w:spacing w:before="100" w:beforeAutospacing="1"/>
              <w:rPr>
                <w:rFonts w:hint="default" w:ascii="Times New Roman" w:hAnsi="Times New Roman" w:eastAsia="仿宋_GB2312" w:cs="Times New Roman"/>
                <w:color w:val="auto"/>
                <w:sz w:val="28"/>
                <w:szCs w:val="28"/>
              </w:rPr>
            </w:pPr>
          </w:p>
        </w:tc>
        <w:tc>
          <w:tcPr>
            <w:tcW w:w="1272" w:type="dxa"/>
            <w:vMerge w:val="continue"/>
            <w:tcBorders>
              <w:top w:val="single" w:color="auto" w:sz="4" w:space="0"/>
              <w:left w:val="single" w:color="auto" w:sz="4" w:space="0"/>
              <w:bottom w:val="single" w:color="auto" w:sz="4" w:space="0"/>
              <w:right w:val="single" w:color="auto" w:sz="4" w:space="0"/>
            </w:tcBorders>
            <w:vAlign w:val="center"/>
          </w:tcPr>
          <w:p w14:paraId="21997915">
            <w:pPr>
              <w:spacing w:before="100" w:beforeAutospacing="1"/>
              <w:rPr>
                <w:rFonts w:hint="default" w:ascii="Times New Roman" w:hAnsi="Times New Roman" w:eastAsia="仿宋_GB2312" w:cs="Times New Roman"/>
                <w:color w:val="auto"/>
                <w:sz w:val="28"/>
                <w:szCs w:val="28"/>
              </w:rPr>
            </w:pPr>
          </w:p>
        </w:tc>
        <w:tc>
          <w:tcPr>
            <w:tcW w:w="1704" w:type="dxa"/>
            <w:tcBorders>
              <w:top w:val="single" w:color="auto" w:sz="4" w:space="0"/>
              <w:left w:val="single" w:color="auto" w:sz="4" w:space="0"/>
              <w:bottom w:val="single" w:color="auto" w:sz="4" w:space="0"/>
              <w:right w:val="single" w:color="auto" w:sz="4" w:space="0"/>
            </w:tcBorders>
            <w:vAlign w:val="center"/>
          </w:tcPr>
          <w:p w14:paraId="17C6EEED">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pH</w:t>
            </w:r>
          </w:p>
        </w:tc>
        <w:tc>
          <w:tcPr>
            <w:tcW w:w="1985" w:type="dxa"/>
            <w:tcBorders>
              <w:top w:val="single" w:color="auto" w:sz="4" w:space="0"/>
              <w:left w:val="single" w:color="auto" w:sz="4" w:space="0"/>
              <w:bottom w:val="single" w:color="auto" w:sz="4" w:space="0"/>
              <w:right w:val="single" w:color="auto" w:sz="4" w:space="0"/>
            </w:tcBorders>
            <w:vAlign w:val="center"/>
          </w:tcPr>
          <w:p w14:paraId="45C8BAD6">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是</w:t>
            </w:r>
          </w:p>
        </w:tc>
        <w:tc>
          <w:tcPr>
            <w:tcW w:w="3940" w:type="dxa"/>
            <w:vMerge w:val="restart"/>
            <w:tcBorders>
              <w:top w:val="single" w:color="auto" w:sz="4" w:space="0"/>
              <w:left w:val="single" w:color="auto" w:sz="4" w:space="0"/>
              <w:bottom w:val="single" w:color="auto" w:sz="4" w:space="0"/>
              <w:right w:val="single" w:color="auto" w:sz="4" w:space="0"/>
            </w:tcBorders>
            <w:vAlign w:val="center"/>
          </w:tcPr>
          <w:p w14:paraId="40B47B2F">
            <w:pPr>
              <w:keepNext w:val="0"/>
              <w:keepLines w:val="0"/>
              <w:pageBreakBefore w:val="0"/>
              <w:widowControl w:val="0"/>
              <w:kinsoku/>
              <w:wordWrap/>
              <w:overflowPunct/>
              <w:topLinePunct w:val="0"/>
              <w:autoSpaceDE/>
              <w:autoSpaceDN/>
              <w:bidi w:val="0"/>
              <w:adjustRightInd/>
              <w:snapToGrid/>
              <w:spacing w:before="100" w:beforeAutospacing="1" w:line="400" w:lineRule="exact"/>
              <w:textAlignment w:val="auto"/>
              <w:rPr>
                <w:rFonts w:hint="default" w:ascii="Times New Roman" w:hAnsi="Times New Roman" w:eastAsia="仿宋_GB2312" w:cs="Times New Roman"/>
                <w:color w:val="FF0000"/>
                <w:sz w:val="28"/>
                <w:szCs w:val="28"/>
              </w:rPr>
            </w:pPr>
            <w:r>
              <w:rPr>
                <w:rFonts w:hint="default" w:ascii="Times New Roman" w:hAnsi="Times New Roman" w:eastAsia="仿宋_GB2312" w:cs="Times New Roman"/>
                <w:color w:val="auto"/>
                <w:sz w:val="28"/>
                <w:szCs w:val="28"/>
              </w:rPr>
              <w:t>若涂层材料导致某项化学性能结果</w:t>
            </w:r>
            <w:r>
              <w:rPr>
                <w:rFonts w:hint="default" w:ascii="Times New Roman" w:hAnsi="Times New Roman" w:eastAsia="仿宋_GB2312" w:cs="Times New Roman"/>
                <w:color w:val="auto"/>
                <w:sz w:val="28"/>
                <w:szCs w:val="28"/>
                <w:lang w:eastAsia="zh-CN"/>
              </w:rPr>
              <w:t>异常</w:t>
            </w:r>
            <w:r>
              <w:rPr>
                <w:rFonts w:hint="default" w:ascii="Times New Roman" w:hAnsi="Times New Roman" w:eastAsia="仿宋_GB2312" w:cs="Times New Roman"/>
                <w:color w:val="auto"/>
                <w:sz w:val="28"/>
                <w:szCs w:val="28"/>
              </w:rPr>
              <w:t>，建议对无涂层产品进行测试，确认其化学性能是否可接受，同时结合涂层材料的临床应用史及生物相容性数据，</w:t>
            </w:r>
            <w:r>
              <w:rPr>
                <w:rFonts w:hint="default" w:ascii="Times New Roman" w:hAnsi="Times New Roman" w:eastAsia="仿宋_GB2312" w:cs="Times New Roman"/>
                <w:color w:val="auto"/>
                <w:sz w:val="28"/>
                <w:szCs w:val="28"/>
                <w:lang w:eastAsia="zh-CN"/>
              </w:rPr>
              <w:t>进行综合</w:t>
            </w:r>
            <w:r>
              <w:rPr>
                <w:rFonts w:hint="default" w:ascii="Times New Roman" w:hAnsi="Times New Roman" w:eastAsia="仿宋_GB2312" w:cs="Times New Roman"/>
                <w:color w:val="auto"/>
                <w:sz w:val="28"/>
                <w:szCs w:val="28"/>
              </w:rPr>
              <w:t>评价。若涂层可安全用于人体，且无涂层产品化学性能结果正常，可不在产品技术要求中</w:t>
            </w:r>
            <w:r>
              <w:rPr>
                <w:rFonts w:hint="default" w:ascii="Times New Roman" w:hAnsi="Times New Roman" w:eastAsia="仿宋_GB2312" w:cs="Times New Roman"/>
                <w:color w:val="auto"/>
                <w:sz w:val="28"/>
                <w:szCs w:val="28"/>
                <w:lang w:eastAsia="zh-CN"/>
              </w:rPr>
              <w:t>制定</w:t>
            </w:r>
            <w:r>
              <w:rPr>
                <w:rFonts w:hint="default" w:ascii="Times New Roman" w:hAnsi="Times New Roman" w:eastAsia="仿宋_GB2312" w:cs="Times New Roman"/>
                <w:color w:val="auto"/>
                <w:sz w:val="28"/>
                <w:szCs w:val="28"/>
              </w:rPr>
              <w:t>该项化学性能</w:t>
            </w:r>
            <w:r>
              <w:rPr>
                <w:rFonts w:hint="default" w:ascii="Times New Roman" w:hAnsi="Times New Roman" w:eastAsia="仿宋_GB2312" w:cs="Times New Roman"/>
                <w:color w:val="auto"/>
                <w:sz w:val="28"/>
                <w:szCs w:val="28"/>
                <w:lang w:eastAsia="zh-CN"/>
              </w:rPr>
              <w:t>要求。</w:t>
            </w:r>
          </w:p>
        </w:tc>
      </w:tr>
      <w:tr w14:paraId="2109D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880" w:type="dxa"/>
            <w:vMerge w:val="continue"/>
            <w:tcBorders>
              <w:top w:val="single" w:color="auto" w:sz="4" w:space="0"/>
              <w:left w:val="single" w:color="auto" w:sz="4" w:space="0"/>
              <w:bottom w:val="single" w:color="auto" w:sz="4" w:space="0"/>
              <w:right w:val="single" w:color="auto" w:sz="4" w:space="0"/>
            </w:tcBorders>
            <w:vAlign w:val="center"/>
          </w:tcPr>
          <w:p w14:paraId="369FEB5D">
            <w:pPr>
              <w:spacing w:before="100" w:beforeAutospacing="1"/>
              <w:rPr>
                <w:rFonts w:hint="default" w:ascii="Times New Roman" w:hAnsi="Times New Roman" w:eastAsia="仿宋_GB2312" w:cs="Times New Roman"/>
                <w:color w:val="auto"/>
                <w:sz w:val="28"/>
                <w:szCs w:val="28"/>
              </w:rPr>
            </w:pPr>
          </w:p>
        </w:tc>
        <w:tc>
          <w:tcPr>
            <w:tcW w:w="1272" w:type="dxa"/>
            <w:vMerge w:val="continue"/>
            <w:tcBorders>
              <w:top w:val="single" w:color="auto" w:sz="4" w:space="0"/>
              <w:left w:val="single" w:color="auto" w:sz="4" w:space="0"/>
              <w:bottom w:val="single" w:color="auto" w:sz="4" w:space="0"/>
              <w:right w:val="single" w:color="auto" w:sz="4" w:space="0"/>
            </w:tcBorders>
            <w:vAlign w:val="center"/>
          </w:tcPr>
          <w:p w14:paraId="30151106">
            <w:pPr>
              <w:spacing w:before="100" w:beforeAutospacing="1"/>
              <w:rPr>
                <w:rFonts w:hint="default" w:ascii="Times New Roman" w:hAnsi="Times New Roman" w:eastAsia="仿宋_GB2312" w:cs="Times New Roman"/>
                <w:color w:val="auto"/>
                <w:sz w:val="28"/>
                <w:szCs w:val="28"/>
              </w:rPr>
            </w:pPr>
          </w:p>
        </w:tc>
        <w:tc>
          <w:tcPr>
            <w:tcW w:w="1704" w:type="dxa"/>
            <w:tcBorders>
              <w:top w:val="single" w:color="auto" w:sz="4" w:space="0"/>
              <w:left w:val="single" w:color="auto" w:sz="4" w:space="0"/>
              <w:bottom w:val="single" w:color="auto" w:sz="4" w:space="0"/>
              <w:right w:val="single" w:color="auto" w:sz="4" w:space="0"/>
            </w:tcBorders>
            <w:vAlign w:val="center"/>
          </w:tcPr>
          <w:p w14:paraId="333ADC89">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蒸发残渣</w:t>
            </w:r>
          </w:p>
        </w:tc>
        <w:tc>
          <w:tcPr>
            <w:tcW w:w="1985" w:type="dxa"/>
            <w:tcBorders>
              <w:top w:val="single" w:color="auto" w:sz="4" w:space="0"/>
              <w:left w:val="single" w:color="auto" w:sz="4" w:space="0"/>
              <w:bottom w:val="single" w:color="auto" w:sz="4" w:space="0"/>
              <w:right w:val="single" w:color="auto" w:sz="4" w:space="0"/>
            </w:tcBorders>
            <w:vAlign w:val="center"/>
          </w:tcPr>
          <w:p w14:paraId="742B46F0">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是</w:t>
            </w:r>
          </w:p>
        </w:tc>
        <w:tc>
          <w:tcPr>
            <w:tcW w:w="3940" w:type="dxa"/>
            <w:vMerge w:val="continue"/>
            <w:tcBorders>
              <w:top w:val="single" w:color="auto" w:sz="4" w:space="0"/>
              <w:left w:val="single" w:color="auto" w:sz="4" w:space="0"/>
              <w:bottom w:val="single" w:color="auto" w:sz="4" w:space="0"/>
              <w:right w:val="single" w:color="auto" w:sz="4" w:space="0"/>
            </w:tcBorders>
            <w:vAlign w:val="center"/>
          </w:tcPr>
          <w:p w14:paraId="3B4D56DB">
            <w:pPr>
              <w:spacing w:before="100" w:beforeAutospacing="1"/>
              <w:rPr>
                <w:rFonts w:hint="default" w:ascii="Times New Roman" w:hAnsi="Times New Roman" w:eastAsia="仿宋_GB2312" w:cs="Times New Roman"/>
                <w:color w:val="FF0000"/>
                <w:sz w:val="28"/>
                <w:szCs w:val="28"/>
              </w:rPr>
            </w:pPr>
          </w:p>
        </w:tc>
      </w:tr>
      <w:tr w14:paraId="68C70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880" w:type="dxa"/>
            <w:vMerge w:val="continue"/>
            <w:tcBorders>
              <w:top w:val="single" w:color="auto" w:sz="4" w:space="0"/>
              <w:left w:val="single" w:color="auto" w:sz="4" w:space="0"/>
              <w:bottom w:val="single" w:color="auto" w:sz="4" w:space="0"/>
              <w:right w:val="single" w:color="auto" w:sz="4" w:space="0"/>
            </w:tcBorders>
            <w:vAlign w:val="center"/>
          </w:tcPr>
          <w:p w14:paraId="11B69D7A">
            <w:pPr>
              <w:spacing w:before="100" w:beforeAutospacing="1"/>
              <w:rPr>
                <w:rFonts w:hint="default" w:ascii="Times New Roman" w:hAnsi="Times New Roman" w:eastAsia="仿宋_GB2312" w:cs="Times New Roman"/>
                <w:color w:val="auto"/>
                <w:sz w:val="28"/>
                <w:szCs w:val="28"/>
              </w:rPr>
            </w:pPr>
          </w:p>
        </w:tc>
        <w:tc>
          <w:tcPr>
            <w:tcW w:w="1272" w:type="dxa"/>
            <w:vMerge w:val="continue"/>
            <w:tcBorders>
              <w:top w:val="single" w:color="auto" w:sz="4" w:space="0"/>
              <w:left w:val="single" w:color="auto" w:sz="4" w:space="0"/>
              <w:bottom w:val="single" w:color="auto" w:sz="4" w:space="0"/>
              <w:right w:val="single" w:color="auto" w:sz="4" w:space="0"/>
            </w:tcBorders>
            <w:vAlign w:val="center"/>
          </w:tcPr>
          <w:p w14:paraId="25C3F91C">
            <w:pPr>
              <w:spacing w:before="100" w:beforeAutospacing="1"/>
              <w:rPr>
                <w:rFonts w:hint="default" w:ascii="Times New Roman" w:hAnsi="Times New Roman" w:eastAsia="仿宋_GB2312" w:cs="Times New Roman"/>
                <w:color w:val="auto"/>
                <w:sz w:val="28"/>
                <w:szCs w:val="28"/>
              </w:rPr>
            </w:pPr>
          </w:p>
        </w:tc>
        <w:tc>
          <w:tcPr>
            <w:tcW w:w="1704" w:type="dxa"/>
            <w:tcBorders>
              <w:top w:val="single" w:color="auto" w:sz="4" w:space="0"/>
              <w:left w:val="single" w:color="auto" w:sz="4" w:space="0"/>
              <w:bottom w:val="single" w:color="auto" w:sz="4" w:space="0"/>
              <w:right w:val="single" w:color="auto" w:sz="4" w:space="0"/>
            </w:tcBorders>
            <w:vAlign w:val="center"/>
          </w:tcPr>
          <w:p w14:paraId="6A386BF4">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还原物质</w:t>
            </w:r>
          </w:p>
        </w:tc>
        <w:tc>
          <w:tcPr>
            <w:tcW w:w="1985" w:type="dxa"/>
            <w:tcBorders>
              <w:top w:val="single" w:color="auto" w:sz="4" w:space="0"/>
              <w:left w:val="single" w:color="auto" w:sz="4" w:space="0"/>
              <w:bottom w:val="single" w:color="auto" w:sz="4" w:space="0"/>
              <w:right w:val="single" w:color="auto" w:sz="4" w:space="0"/>
            </w:tcBorders>
            <w:vAlign w:val="center"/>
          </w:tcPr>
          <w:p w14:paraId="1192661B">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是</w:t>
            </w:r>
          </w:p>
        </w:tc>
        <w:tc>
          <w:tcPr>
            <w:tcW w:w="3940" w:type="dxa"/>
            <w:vMerge w:val="continue"/>
            <w:tcBorders>
              <w:top w:val="single" w:color="auto" w:sz="4" w:space="0"/>
              <w:left w:val="single" w:color="auto" w:sz="4" w:space="0"/>
              <w:bottom w:val="single" w:color="auto" w:sz="4" w:space="0"/>
              <w:right w:val="single" w:color="auto" w:sz="4" w:space="0"/>
            </w:tcBorders>
            <w:vAlign w:val="center"/>
          </w:tcPr>
          <w:p w14:paraId="3863D3F4">
            <w:pPr>
              <w:spacing w:before="100" w:beforeAutospacing="1"/>
              <w:rPr>
                <w:rFonts w:hint="default" w:ascii="Times New Roman" w:hAnsi="Times New Roman" w:eastAsia="仿宋_GB2312" w:cs="Times New Roman"/>
                <w:color w:val="FF0000"/>
                <w:sz w:val="28"/>
                <w:szCs w:val="28"/>
              </w:rPr>
            </w:pPr>
          </w:p>
        </w:tc>
      </w:tr>
      <w:tr w14:paraId="346CA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880" w:type="dxa"/>
            <w:vMerge w:val="continue"/>
            <w:tcBorders>
              <w:top w:val="single" w:color="auto" w:sz="4" w:space="0"/>
              <w:left w:val="single" w:color="auto" w:sz="4" w:space="0"/>
              <w:bottom w:val="single" w:color="auto" w:sz="4" w:space="0"/>
              <w:right w:val="single" w:color="auto" w:sz="4" w:space="0"/>
            </w:tcBorders>
            <w:vAlign w:val="center"/>
          </w:tcPr>
          <w:p w14:paraId="37B17076">
            <w:pPr>
              <w:spacing w:before="100" w:beforeAutospacing="1"/>
              <w:rPr>
                <w:rFonts w:hint="default" w:ascii="Times New Roman" w:hAnsi="Times New Roman" w:eastAsia="仿宋_GB2312" w:cs="Times New Roman"/>
                <w:color w:val="auto"/>
                <w:sz w:val="28"/>
                <w:szCs w:val="28"/>
              </w:rPr>
            </w:pPr>
          </w:p>
        </w:tc>
        <w:tc>
          <w:tcPr>
            <w:tcW w:w="1272" w:type="dxa"/>
            <w:vMerge w:val="continue"/>
            <w:tcBorders>
              <w:top w:val="single" w:color="auto" w:sz="4" w:space="0"/>
              <w:left w:val="single" w:color="auto" w:sz="4" w:space="0"/>
              <w:bottom w:val="single" w:color="auto" w:sz="4" w:space="0"/>
              <w:right w:val="single" w:color="auto" w:sz="4" w:space="0"/>
            </w:tcBorders>
            <w:vAlign w:val="center"/>
          </w:tcPr>
          <w:p w14:paraId="2D342813">
            <w:pPr>
              <w:spacing w:before="100" w:beforeAutospacing="1"/>
              <w:rPr>
                <w:rFonts w:hint="default" w:ascii="Times New Roman" w:hAnsi="Times New Roman" w:eastAsia="仿宋_GB2312" w:cs="Times New Roman"/>
                <w:color w:val="auto"/>
                <w:sz w:val="28"/>
                <w:szCs w:val="28"/>
              </w:rPr>
            </w:pPr>
          </w:p>
        </w:tc>
        <w:tc>
          <w:tcPr>
            <w:tcW w:w="1704" w:type="dxa"/>
            <w:tcBorders>
              <w:top w:val="single" w:color="auto" w:sz="4" w:space="0"/>
              <w:left w:val="single" w:color="auto" w:sz="4" w:space="0"/>
              <w:bottom w:val="single" w:color="auto" w:sz="4" w:space="0"/>
              <w:right w:val="single" w:color="auto" w:sz="4" w:space="0"/>
            </w:tcBorders>
            <w:vAlign w:val="center"/>
          </w:tcPr>
          <w:p w14:paraId="44F22623">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紫外吸光度</w:t>
            </w:r>
          </w:p>
        </w:tc>
        <w:tc>
          <w:tcPr>
            <w:tcW w:w="1985" w:type="dxa"/>
            <w:tcBorders>
              <w:top w:val="single" w:color="auto" w:sz="4" w:space="0"/>
              <w:left w:val="single" w:color="auto" w:sz="4" w:space="0"/>
              <w:bottom w:val="single" w:color="auto" w:sz="4" w:space="0"/>
              <w:right w:val="single" w:color="auto" w:sz="4" w:space="0"/>
            </w:tcBorders>
            <w:vAlign w:val="center"/>
          </w:tcPr>
          <w:p w14:paraId="18ADE043">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是</w:t>
            </w:r>
          </w:p>
        </w:tc>
        <w:tc>
          <w:tcPr>
            <w:tcW w:w="3940" w:type="dxa"/>
            <w:vMerge w:val="continue"/>
            <w:tcBorders>
              <w:top w:val="single" w:color="auto" w:sz="4" w:space="0"/>
              <w:left w:val="single" w:color="auto" w:sz="4" w:space="0"/>
              <w:bottom w:val="single" w:color="auto" w:sz="4" w:space="0"/>
              <w:right w:val="single" w:color="auto" w:sz="4" w:space="0"/>
            </w:tcBorders>
            <w:vAlign w:val="center"/>
          </w:tcPr>
          <w:p w14:paraId="6181321F">
            <w:pPr>
              <w:spacing w:before="100" w:beforeAutospacing="1"/>
              <w:rPr>
                <w:rFonts w:hint="default" w:ascii="Times New Roman" w:hAnsi="Times New Roman" w:eastAsia="仿宋_GB2312" w:cs="Times New Roman"/>
                <w:color w:val="FF0000"/>
                <w:sz w:val="28"/>
                <w:szCs w:val="28"/>
              </w:rPr>
            </w:pPr>
          </w:p>
        </w:tc>
      </w:tr>
      <w:tr w14:paraId="6562E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vMerge w:val="continue"/>
            <w:tcBorders>
              <w:top w:val="single" w:color="auto" w:sz="4" w:space="0"/>
              <w:left w:val="single" w:color="auto" w:sz="4" w:space="0"/>
              <w:bottom w:val="single" w:color="auto" w:sz="4" w:space="0"/>
              <w:right w:val="single" w:color="auto" w:sz="4" w:space="0"/>
            </w:tcBorders>
            <w:vAlign w:val="center"/>
          </w:tcPr>
          <w:p w14:paraId="47B15B57">
            <w:pPr>
              <w:spacing w:before="100" w:beforeAutospacing="1"/>
              <w:rPr>
                <w:rFonts w:hint="default" w:ascii="Times New Roman" w:hAnsi="Times New Roman" w:eastAsia="仿宋_GB2312" w:cs="Times New Roman"/>
                <w:color w:val="FF0000"/>
                <w:sz w:val="28"/>
                <w:szCs w:val="28"/>
              </w:rPr>
            </w:pPr>
          </w:p>
        </w:tc>
        <w:tc>
          <w:tcPr>
            <w:tcW w:w="1272" w:type="dxa"/>
            <w:vMerge w:val="continue"/>
            <w:tcBorders>
              <w:top w:val="single" w:color="auto" w:sz="4" w:space="0"/>
              <w:left w:val="single" w:color="auto" w:sz="4" w:space="0"/>
              <w:bottom w:val="single" w:color="auto" w:sz="4" w:space="0"/>
              <w:right w:val="single" w:color="auto" w:sz="4" w:space="0"/>
            </w:tcBorders>
            <w:vAlign w:val="center"/>
          </w:tcPr>
          <w:p w14:paraId="7A09FFA1">
            <w:pPr>
              <w:spacing w:before="100" w:beforeAutospacing="1"/>
              <w:rPr>
                <w:rFonts w:hint="default" w:ascii="Times New Roman" w:hAnsi="Times New Roman" w:eastAsia="仿宋_GB2312" w:cs="Times New Roman"/>
                <w:color w:val="FF0000"/>
                <w:sz w:val="28"/>
                <w:szCs w:val="28"/>
              </w:rPr>
            </w:pPr>
          </w:p>
        </w:tc>
        <w:tc>
          <w:tcPr>
            <w:tcW w:w="1704" w:type="dxa"/>
            <w:tcBorders>
              <w:top w:val="single" w:color="auto" w:sz="4" w:space="0"/>
              <w:left w:val="single" w:color="auto" w:sz="4" w:space="0"/>
              <w:bottom w:val="single" w:color="auto" w:sz="4" w:space="0"/>
              <w:right w:val="single" w:color="auto" w:sz="4" w:space="0"/>
            </w:tcBorders>
            <w:vAlign w:val="center"/>
          </w:tcPr>
          <w:p w14:paraId="6CA0BA52">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化学物质残留量</w:t>
            </w:r>
            <w:r>
              <w:rPr>
                <w:rFonts w:hint="default" w:ascii="Times New Roman" w:hAnsi="Times New Roman" w:eastAsia="仿宋_GB2312" w:cs="Times New Roman"/>
                <w:color w:val="auto"/>
                <w:sz w:val="28"/>
                <w:szCs w:val="28"/>
              </w:rPr>
              <w:t>(</w:t>
            </w:r>
            <w:r>
              <w:rPr>
                <w:rFonts w:hint="default" w:ascii="Times New Roman" w:hAnsi="Times New Roman" w:eastAsia="仿宋_GB2312" w:cs="Times New Roman"/>
                <w:color w:val="auto"/>
                <w:sz w:val="28"/>
                <w:szCs w:val="28"/>
              </w:rPr>
              <w:t>如适用</w:t>
            </w:r>
            <w:r>
              <w:rPr>
                <w:rFonts w:hint="default" w:ascii="Times New Roman" w:hAnsi="Times New Roman" w:eastAsia="仿宋_GB2312" w:cs="Times New Roman"/>
                <w:color w:val="auto"/>
                <w:sz w:val="28"/>
                <w:szCs w:val="28"/>
              </w:rPr>
              <w:t>)</w:t>
            </w:r>
          </w:p>
        </w:tc>
        <w:tc>
          <w:tcPr>
            <w:tcW w:w="1985" w:type="dxa"/>
            <w:tcBorders>
              <w:top w:val="single" w:color="auto" w:sz="4" w:space="0"/>
              <w:left w:val="single" w:color="auto" w:sz="4" w:space="0"/>
              <w:bottom w:val="single" w:color="auto" w:sz="4" w:space="0"/>
              <w:right w:val="single" w:color="auto" w:sz="4" w:space="0"/>
            </w:tcBorders>
            <w:vAlign w:val="center"/>
          </w:tcPr>
          <w:p w14:paraId="6D18DF49">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w:t>
            </w:r>
          </w:p>
        </w:tc>
        <w:tc>
          <w:tcPr>
            <w:tcW w:w="3940" w:type="dxa"/>
            <w:tcBorders>
              <w:top w:val="single" w:color="auto" w:sz="4" w:space="0"/>
              <w:left w:val="single" w:color="auto" w:sz="4" w:space="0"/>
              <w:bottom w:val="single" w:color="auto" w:sz="4" w:space="0"/>
              <w:right w:val="single" w:color="auto" w:sz="4" w:space="0"/>
            </w:tcBorders>
            <w:vAlign w:val="center"/>
          </w:tcPr>
          <w:p w14:paraId="6E3AEB54">
            <w:pPr>
              <w:keepNext w:val="0"/>
              <w:keepLines w:val="0"/>
              <w:pageBreakBefore w:val="0"/>
              <w:widowControl w:val="0"/>
              <w:kinsoku/>
              <w:wordWrap/>
              <w:overflowPunct/>
              <w:topLinePunct w:val="0"/>
              <w:autoSpaceDE/>
              <w:autoSpaceDN/>
              <w:bidi w:val="0"/>
              <w:adjustRightInd/>
              <w:snapToGrid/>
              <w:spacing w:before="100" w:beforeAutospacing="1" w:line="400" w:lineRule="exact"/>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针对终产品中可能存在的有害化学物质，如生产工艺中引入的添加剂、材料单体等，经相关分析，认为该化学物质残留量接近毒理学关注阈值，预期对人体有严重危害而需严格控制的化学物质。</w:t>
            </w:r>
          </w:p>
        </w:tc>
      </w:tr>
      <w:tr w14:paraId="56AB2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880" w:type="dxa"/>
            <w:tcBorders>
              <w:top w:val="single" w:color="auto" w:sz="4" w:space="0"/>
              <w:left w:val="single" w:color="auto" w:sz="4" w:space="0"/>
              <w:bottom w:val="single" w:color="auto" w:sz="4" w:space="0"/>
              <w:right w:val="single" w:color="auto" w:sz="4" w:space="0"/>
            </w:tcBorders>
            <w:vAlign w:val="center"/>
          </w:tcPr>
          <w:p w14:paraId="1D490A52">
            <w:pPr>
              <w:spacing w:before="100" w:beforeAutospacing="1"/>
              <w:rPr>
                <w:rFonts w:hint="default" w:ascii="Times New Roman" w:hAnsi="Times New Roman" w:eastAsia="仿宋_GB2312" w:cs="Times New Roman"/>
                <w:color w:val="auto"/>
                <w:sz w:val="28"/>
                <w:szCs w:val="28"/>
                <w:lang w:val="en-US" w:eastAsia="zh-CN"/>
              </w:rPr>
            </w:pPr>
            <w:r>
              <w:rPr>
                <w:rFonts w:hint="default" w:ascii="Times New Roman" w:hAnsi="Times New Roman" w:eastAsia="仿宋_GB2312" w:cs="Times New Roman"/>
                <w:color w:val="auto"/>
                <w:sz w:val="28"/>
                <w:szCs w:val="28"/>
                <w:lang w:val="en-US" w:eastAsia="zh-CN"/>
              </w:rPr>
              <w:t>20</w:t>
            </w:r>
          </w:p>
        </w:tc>
        <w:tc>
          <w:tcPr>
            <w:tcW w:w="2976" w:type="dxa"/>
            <w:gridSpan w:val="2"/>
            <w:tcBorders>
              <w:top w:val="single" w:color="auto" w:sz="4" w:space="0"/>
              <w:left w:val="single" w:color="auto" w:sz="4" w:space="0"/>
              <w:bottom w:val="single" w:color="auto" w:sz="4" w:space="0"/>
              <w:right w:val="single" w:color="auto" w:sz="4" w:space="0"/>
            </w:tcBorders>
            <w:vAlign w:val="center"/>
          </w:tcPr>
          <w:p w14:paraId="161DB945">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环氧乙烷残留量（如适用）</w:t>
            </w:r>
          </w:p>
        </w:tc>
        <w:tc>
          <w:tcPr>
            <w:tcW w:w="1985" w:type="dxa"/>
            <w:tcBorders>
              <w:top w:val="single" w:color="auto" w:sz="4" w:space="0"/>
              <w:left w:val="single" w:color="auto" w:sz="4" w:space="0"/>
              <w:bottom w:val="single" w:color="auto" w:sz="4" w:space="0"/>
              <w:right w:val="single" w:color="auto" w:sz="4" w:space="0"/>
            </w:tcBorders>
            <w:vAlign w:val="center"/>
          </w:tcPr>
          <w:p w14:paraId="0D593881">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是</w:t>
            </w:r>
          </w:p>
        </w:tc>
        <w:tc>
          <w:tcPr>
            <w:tcW w:w="3940" w:type="dxa"/>
            <w:tcBorders>
              <w:top w:val="single" w:color="auto" w:sz="4" w:space="0"/>
              <w:left w:val="single" w:color="auto" w:sz="4" w:space="0"/>
              <w:bottom w:val="single" w:color="auto" w:sz="4" w:space="0"/>
              <w:right w:val="single" w:color="auto" w:sz="4" w:space="0"/>
            </w:tcBorders>
            <w:vAlign w:val="center"/>
          </w:tcPr>
          <w:p w14:paraId="32D95553">
            <w:pPr>
              <w:keepNext w:val="0"/>
              <w:keepLines w:val="0"/>
              <w:pageBreakBefore w:val="0"/>
              <w:widowControl w:val="0"/>
              <w:kinsoku/>
              <w:wordWrap/>
              <w:overflowPunct/>
              <w:topLinePunct w:val="0"/>
              <w:autoSpaceDE/>
              <w:autoSpaceDN/>
              <w:bidi w:val="0"/>
              <w:adjustRightInd/>
              <w:snapToGrid/>
              <w:spacing w:before="100" w:beforeAutospacing="1" w:line="400" w:lineRule="exact"/>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适用于环氧乙烷灭菌的</w:t>
            </w:r>
            <w:r>
              <w:rPr>
                <w:rFonts w:hint="default" w:ascii="Times New Roman" w:hAnsi="Times New Roman" w:eastAsia="仿宋_GB2312" w:cs="Times New Roman"/>
                <w:color w:val="auto"/>
                <w:sz w:val="28"/>
                <w:szCs w:val="28"/>
                <w:lang w:val="en-US" w:eastAsia="zh-CN"/>
              </w:rPr>
              <w:t>产品</w:t>
            </w:r>
          </w:p>
        </w:tc>
      </w:tr>
      <w:tr w14:paraId="77C4B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880" w:type="dxa"/>
            <w:tcBorders>
              <w:top w:val="single" w:color="auto" w:sz="4" w:space="0"/>
              <w:left w:val="single" w:color="auto" w:sz="4" w:space="0"/>
              <w:bottom w:val="single" w:color="auto" w:sz="4" w:space="0"/>
              <w:right w:val="single" w:color="auto" w:sz="4" w:space="0"/>
            </w:tcBorders>
            <w:vAlign w:val="center"/>
          </w:tcPr>
          <w:p w14:paraId="001B9E42">
            <w:pPr>
              <w:spacing w:before="100" w:beforeAutospacing="1"/>
              <w:rPr>
                <w:rFonts w:hint="default" w:ascii="Times New Roman" w:hAnsi="Times New Roman" w:eastAsia="仿宋_GB2312" w:cs="Times New Roman"/>
                <w:color w:val="auto"/>
                <w:sz w:val="28"/>
                <w:szCs w:val="28"/>
                <w:lang w:val="en-US" w:eastAsia="zh-CN"/>
              </w:rPr>
            </w:pPr>
            <w:r>
              <w:rPr>
                <w:rFonts w:hint="default" w:ascii="Times New Roman" w:hAnsi="Times New Roman" w:eastAsia="仿宋_GB2312" w:cs="Times New Roman"/>
                <w:color w:val="auto"/>
                <w:sz w:val="28"/>
                <w:szCs w:val="28"/>
                <w:lang w:val="en-US" w:eastAsia="zh-CN"/>
              </w:rPr>
              <w:t>21</w:t>
            </w:r>
          </w:p>
        </w:tc>
        <w:tc>
          <w:tcPr>
            <w:tcW w:w="2976" w:type="dxa"/>
            <w:gridSpan w:val="2"/>
            <w:tcBorders>
              <w:top w:val="single" w:color="auto" w:sz="4" w:space="0"/>
              <w:left w:val="single" w:color="auto" w:sz="4" w:space="0"/>
              <w:bottom w:val="single" w:color="auto" w:sz="4" w:space="0"/>
              <w:right w:val="single" w:color="auto" w:sz="4" w:space="0"/>
            </w:tcBorders>
            <w:vAlign w:val="center"/>
          </w:tcPr>
          <w:p w14:paraId="3E93077E">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2-</w:t>
            </w:r>
            <w:r>
              <w:rPr>
                <w:rFonts w:hint="default" w:ascii="Times New Roman" w:hAnsi="Times New Roman" w:eastAsia="仿宋_GB2312" w:cs="Times New Roman"/>
                <w:color w:val="auto"/>
                <w:sz w:val="28"/>
                <w:szCs w:val="28"/>
              </w:rPr>
              <w:t>氯乙醇（如适用）</w:t>
            </w:r>
          </w:p>
        </w:tc>
        <w:tc>
          <w:tcPr>
            <w:tcW w:w="1985" w:type="dxa"/>
            <w:tcBorders>
              <w:top w:val="single" w:color="auto" w:sz="4" w:space="0"/>
              <w:left w:val="single" w:color="auto" w:sz="4" w:space="0"/>
              <w:bottom w:val="single" w:color="auto" w:sz="4" w:space="0"/>
              <w:right w:val="single" w:color="auto" w:sz="4" w:space="0"/>
            </w:tcBorders>
            <w:vAlign w:val="center"/>
          </w:tcPr>
          <w:p w14:paraId="29934B7C">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w:t>
            </w:r>
          </w:p>
        </w:tc>
        <w:tc>
          <w:tcPr>
            <w:tcW w:w="3940" w:type="dxa"/>
            <w:tcBorders>
              <w:top w:val="single" w:color="auto" w:sz="4" w:space="0"/>
              <w:left w:val="single" w:color="auto" w:sz="4" w:space="0"/>
              <w:bottom w:val="single" w:color="auto" w:sz="4" w:space="0"/>
              <w:right w:val="single" w:color="auto" w:sz="4" w:space="0"/>
            </w:tcBorders>
            <w:vAlign w:val="center"/>
          </w:tcPr>
          <w:p w14:paraId="12C3ACB1">
            <w:pPr>
              <w:keepNext w:val="0"/>
              <w:keepLines w:val="0"/>
              <w:pageBreakBefore w:val="0"/>
              <w:widowControl w:val="0"/>
              <w:kinsoku/>
              <w:wordWrap/>
              <w:overflowPunct/>
              <w:topLinePunct w:val="0"/>
              <w:autoSpaceDE/>
              <w:autoSpaceDN/>
              <w:bidi w:val="0"/>
              <w:adjustRightInd/>
              <w:snapToGrid/>
              <w:spacing w:before="100" w:beforeAutospacing="1" w:line="400" w:lineRule="exact"/>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适用于环氧乙烷灭菌的</w:t>
            </w:r>
            <w:r>
              <w:rPr>
                <w:rFonts w:hint="default" w:ascii="Times New Roman" w:hAnsi="Times New Roman" w:eastAsia="仿宋_GB2312" w:cs="Times New Roman"/>
                <w:color w:val="auto"/>
                <w:sz w:val="28"/>
                <w:szCs w:val="28"/>
                <w:lang w:val="en-US" w:eastAsia="zh-CN"/>
              </w:rPr>
              <w:t>产品</w:t>
            </w:r>
          </w:p>
        </w:tc>
      </w:tr>
      <w:tr w14:paraId="0B26C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tcBorders>
              <w:top w:val="single" w:color="auto" w:sz="4" w:space="0"/>
              <w:left w:val="single" w:color="auto" w:sz="4" w:space="0"/>
              <w:bottom w:val="single" w:color="auto" w:sz="4" w:space="0"/>
              <w:right w:val="single" w:color="auto" w:sz="4" w:space="0"/>
            </w:tcBorders>
            <w:vAlign w:val="center"/>
          </w:tcPr>
          <w:p w14:paraId="4FCF0CDA">
            <w:pPr>
              <w:spacing w:before="100" w:beforeAutospacing="1"/>
              <w:rPr>
                <w:rFonts w:hint="default" w:ascii="Times New Roman" w:hAnsi="Times New Roman" w:eastAsia="仿宋_GB2312" w:cs="Times New Roman"/>
                <w:color w:val="auto"/>
                <w:sz w:val="28"/>
                <w:szCs w:val="28"/>
                <w:lang w:val="en-US" w:eastAsia="zh-CN"/>
              </w:rPr>
            </w:pPr>
            <w:r>
              <w:rPr>
                <w:rFonts w:hint="default" w:ascii="Times New Roman" w:hAnsi="Times New Roman" w:eastAsia="仿宋_GB2312" w:cs="Times New Roman"/>
                <w:color w:val="auto"/>
                <w:sz w:val="28"/>
                <w:szCs w:val="28"/>
              </w:rPr>
              <w:t>2</w:t>
            </w:r>
            <w:r>
              <w:rPr>
                <w:rFonts w:hint="default" w:ascii="Times New Roman" w:hAnsi="Times New Roman" w:eastAsia="仿宋_GB2312" w:cs="Times New Roman"/>
                <w:color w:val="auto"/>
                <w:sz w:val="28"/>
                <w:szCs w:val="28"/>
                <w:lang w:val="en-US" w:eastAsia="zh-CN"/>
              </w:rPr>
              <w:t>2</w:t>
            </w:r>
          </w:p>
        </w:tc>
        <w:tc>
          <w:tcPr>
            <w:tcW w:w="2976" w:type="dxa"/>
            <w:gridSpan w:val="2"/>
            <w:tcBorders>
              <w:top w:val="single" w:color="auto" w:sz="4" w:space="0"/>
              <w:left w:val="single" w:color="auto" w:sz="4" w:space="0"/>
              <w:bottom w:val="single" w:color="auto" w:sz="4" w:space="0"/>
              <w:right w:val="single" w:color="auto" w:sz="4" w:space="0"/>
            </w:tcBorders>
            <w:vAlign w:val="center"/>
          </w:tcPr>
          <w:p w14:paraId="552CF5DD">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无菌</w:t>
            </w:r>
          </w:p>
        </w:tc>
        <w:tc>
          <w:tcPr>
            <w:tcW w:w="1985" w:type="dxa"/>
            <w:tcBorders>
              <w:top w:val="single" w:color="auto" w:sz="4" w:space="0"/>
              <w:left w:val="single" w:color="auto" w:sz="4" w:space="0"/>
              <w:bottom w:val="single" w:color="auto" w:sz="4" w:space="0"/>
              <w:right w:val="single" w:color="auto" w:sz="4" w:space="0"/>
            </w:tcBorders>
            <w:vAlign w:val="center"/>
          </w:tcPr>
          <w:p w14:paraId="38E103FD">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是</w:t>
            </w:r>
          </w:p>
        </w:tc>
        <w:tc>
          <w:tcPr>
            <w:tcW w:w="3940" w:type="dxa"/>
            <w:tcBorders>
              <w:top w:val="single" w:color="auto" w:sz="4" w:space="0"/>
              <w:left w:val="single" w:color="auto" w:sz="4" w:space="0"/>
              <w:bottom w:val="single" w:color="auto" w:sz="4" w:space="0"/>
              <w:right w:val="single" w:color="auto" w:sz="4" w:space="0"/>
            </w:tcBorders>
            <w:vAlign w:val="center"/>
          </w:tcPr>
          <w:p w14:paraId="2B62DF8C">
            <w:pPr>
              <w:keepNext w:val="0"/>
              <w:keepLines w:val="0"/>
              <w:pageBreakBefore w:val="0"/>
              <w:widowControl w:val="0"/>
              <w:kinsoku/>
              <w:wordWrap/>
              <w:overflowPunct/>
              <w:topLinePunct w:val="0"/>
              <w:autoSpaceDE/>
              <w:autoSpaceDN/>
              <w:bidi w:val="0"/>
              <w:adjustRightInd/>
              <w:snapToGrid/>
              <w:spacing w:before="100" w:beforeAutospacing="1" w:line="400" w:lineRule="exact"/>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w:t>
            </w:r>
          </w:p>
        </w:tc>
      </w:tr>
      <w:tr w14:paraId="25266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tcBorders>
              <w:top w:val="single" w:color="auto" w:sz="4" w:space="0"/>
              <w:left w:val="single" w:color="auto" w:sz="4" w:space="0"/>
              <w:bottom w:val="single" w:color="auto" w:sz="4" w:space="0"/>
              <w:right w:val="single" w:color="auto" w:sz="4" w:space="0"/>
            </w:tcBorders>
            <w:vAlign w:val="center"/>
          </w:tcPr>
          <w:p w14:paraId="68CC86A0">
            <w:pPr>
              <w:spacing w:before="100" w:beforeAutospacing="1"/>
              <w:rPr>
                <w:rFonts w:hint="default" w:ascii="Times New Roman" w:hAnsi="Times New Roman" w:eastAsia="仿宋_GB2312" w:cs="Times New Roman"/>
                <w:color w:val="auto"/>
                <w:sz w:val="28"/>
                <w:szCs w:val="28"/>
                <w:lang w:eastAsia="zh-CN"/>
              </w:rPr>
            </w:pPr>
            <w:r>
              <w:rPr>
                <w:rFonts w:hint="default" w:ascii="Times New Roman" w:hAnsi="Times New Roman" w:eastAsia="仿宋_GB2312" w:cs="Times New Roman"/>
                <w:color w:val="auto"/>
                <w:sz w:val="28"/>
                <w:szCs w:val="28"/>
              </w:rPr>
              <w:t>2</w:t>
            </w:r>
            <w:r>
              <w:rPr>
                <w:rFonts w:hint="default" w:ascii="Times New Roman" w:hAnsi="Times New Roman" w:eastAsia="仿宋_GB2312" w:cs="Times New Roman"/>
                <w:color w:val="auto"/>
                <w:sz w:val="28"/>
                <w:szCs w:val="28"/>
                <w:lang w:val="en-US" w:eastAsia="zh-CN"/>
              </w:rPr>
              <w:t>3</w:t>
            </w:r>
          </w:p>
        </w:tc>
        <w:tc>
          <w:tcPr>
            <w:tcW w:w="2976" w:type="dxa"/>
            <w:gridSpan w:val="2"/>
            <w:tcBorders>
              <w:top w:val="single" w:color="auto" w:sz="4" w:space="0"/>
              <w:left w:val="single" w:color="auto" w:sz="4" w:space="0"/>
              <w:bottom w:val="single" w:color="auto" w:sz="4" w:space="0"/>
              <w:right w:val="single" w:color="auto" w:sz="4" w:space="0"/>
            </w:tcBorders>
            <w:vAlign w:val="center"/>
          </w:tcPr>
          <w:p w14:paraId="09558E55">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细菌内毒素</w:t>
            </w:r>
          </w:p>
        </w:tc>
        <w:tc>
          <w:tcPr>
            <w:tcW w:w="1985" w:type="dxa"/>
            <w:tcBorders>
              <w:top w:val="single" w:color="auto" w:sz="4" w:space="0"/>
              <w:left w:val="single" w:color="auto" w:sz="4" w:space="0"/>
              <w:bottom w:val="single" w:color="auto" w:sz="4" w:space="0"/>
              <w:right w:val="single" w:color="auto" w:sz="4" w:space="0"/>
            </w:tcBorders>
            <w:vAlign w:val="center"/>
          </w:tcPr>
          <w:p w14:paraId="3241FD11">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是</w:t>
            </w:r>
          </w:p>
        </w:tc>
        <w:tc>
          <w:tcPr>
            <w:tcW w:w="3940" w:type="dxa"/>
            <w:tcBorders>
              <w:top w:val="single" w:color="auto" w:sz="4" w:space="0"/>
              <w:left w:val="single" w:color="auto" w:sz="4" w:space="0"/>
              <w:bottom w:val="single" w:color="auto" w:sz="4" w:space="0"/>
              <w:right w:val="single" w:color="auto" w:sz="4" w:space="0"/>
            </w:tcBorders>
            <w:vAlign w:val="center"/>
          </w:tcPr>
          <w:p w14:paraId="289632C5">
            <w:pPr>
              <w:keepNext w:val="0"/>
              <w:keepLines w:val="0"/>
              <w:pageBreakBefore w:val="0"/>
              <w:widowControl w:val="0"/>
              <w:kinsoku/>
              <w:wordWrap/>
              <w:overflowPunct/>
              <w:topLinePunct w:val="0"/>
              <w:autoSpaceDE/>
              <w:autoSpaceDN/>
              <w:bidi w:val="0"/>
              <w:adjustRightInd/>
              <w:snapToGrid/>
              <w:spacing w:before="100" w:beforeAutospacing="1" w:line="400" w:lineRule="exact"/>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w:t>
            </w:r>
          </w:p>
        </w:tc>
      </w:tr>
      <w:tr w14:paraId="2C913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880" w:type="dxa"/>
            <w:tcBorders>
              <w:top w:val="single" w:color="auto" w:sz="4" w:space="0"/>
              <w:left w:val="single" w:color="auto" w:sz="4" w:space="0"/>
              <w:bottom w:val="single" w:color="auto" w:sz="4" w:space="0"/>
              <w:right w:val="single" w:color="auto" w:sz="4" w:space="0"/>
            </w:tcBorders>
            <w:vAlign w:val="center"/>
          </w:tcPr>
          <w:p w14:paraId="4E789A3C">
            <w:pPr>
              <w:keepNext w:val="0"/>
              <w:keepLines w:val="0"/>
              <w:pageBreakBefore w:val="0"/>
              <w:widowControl w:val="0"/>
              <w:kinsoku/>
              <w:wordWrap/>
              <w:overflowPunct/>
              <w:topLinePunct w:val="0"/>
              <w:autoSpaceDE/>
              <w:autoSpaceDN/>
              <w:bidi w:val="0"/>
              <w:adjustRightInd/>
              <w:snapToGrid/>
              <w:spacing w:before="100" w:beforeAutospacing="1" w:line="400" w:lineRule="exact"/>
              <w:textAlignment w:val="auto"/>
              <w:rPr>
                <w:rFonts w:hint="default" w:ascii="Times New Roman" w:hAnsi="Times New Roman" w:eastAsia="仿宋_GB2312" w:cs="Times New Roman"/>
                <w:color w:val="auto"/>
                <w:sz w:val="28"/>
                <w:szCs w:val="28"/>
                <w:lang w:eastAsia="zh-CN"/>
              </w:rPr>
            </w:pPr>
            <w:r>
              <w:rPr>
                <w:rFonts w:hint="default" w:ascii="Times New Roman" w:hAnsi="Times New Roman" w:eastAsia="仿宋_GB2312" w:cs="Times New Roman"/>
                <w:color w:val="auto"/>
                <w:sz w:val="28"/>
                <w:szCs w:val="28"/>
              </w:rPr>
              <w:t>2</w:t>
            </w:r>
            <w:r>
              <w:rPr>
                <w:rFonts w:hint="default" w:ascii="Times New Roman" w:hAnsi="Times New Roman" w:eastAsia="仿宋_GB2312" w:cs="Times New Roman"/>
                <w:color w:val="auto"/>
                <w:sz w:val="28"/>
                <w:szCs w:val="28"/>
                <w:lang w:val="en-US" w:eastAsia="zh-CN"/>
              </w:rPr>
              <w:t>4</w:t>
            </w:r>
          </w:p>
        </w:tc>
        <w:tc>
          <w:tcPr>
            <w:tcW w:w="2976" w:type="dxa"/>
            <w:gridSpan w:val="2"/>
            <w:tcBorders>
              <w:top w:val="single" w:color="auto" w:sz="4" w:space="0"/>
              <w:left w:val="single" w:color="auto" w:sz="4" w:space="0"/>
              <w:bottom w:val="single" w:color="auto" w:sz="4" w:space="0"/>
              <w:right w:val="single" w:color="auto" w:sz="4" w:space="0"/>
            </w:tcBorders>
            <w:vAlign w:val="center"/>
          </w:tcPr>
          <w:p w14:paraId="3C7842DA">
            <w:pPr>
              <w:keepNext w:val="0"/>
              <w:keepLines w:val="0"/>
              <w:pageBreakBefore w:val="0"/>
              <w:widowControl w:val="0"/>
              <w:numPr>
                <w:ilvl w:val="0"/>
                <w:numId w:val="0"/>
              </w:numPr>
              <w:kinsoku/>
              <w:wordWrap/>
              <w:overflowPunct/>
              <w:topLinePunct w:val="0"/>
              <w:autoSpaceDE/>
              <w:autoSpaceDN/>
              <w:bidi w:val="0"/>
              <w:adjustRightInd/>
              <w:snapToGrid/>
              <w:spacing w:before="100" w:beforeAutospacing="1" w:line="400" w:lineRule="exact"/>
              <w:ind w:left="0" w:leftChars="0" w:firstLine="0" w:firstLineChars="0"/>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附件（外观、配合使用及其他适用性能）</w:t>
            </w:r>
          </w:p>
        </w:tc>
        <w:tc>
          <w:tcPr>
            <w:tcW w:w="1985" w:type="dxa"/>
            <w:tcBorders>
              <w:top w:val="single" w:color="auto" w:sz="4" w:space="0"/>
              <w:left w:val="single" w:color="auto" w:sz="4" w:space="0"/>
              <w:bottom w:val="single" w:color="auto" w:sz="4" w:space="0"/>
              <w:right w:val="single" w:color="auto" w:sz="4" w:space="0"/>
            </w:tcBorders>
            <w:vAlign w:val="center"/>
          </w:tcPr>
          <w:p w14:paraId="6CA983FA">
            <w:pPr>
              <w:spacing w:before="100" w:beforeAutospacing="1"/>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是</w:t>
            </w:r>
          </w:p>
        </w:tc>
        <w:tc>
          <w:tcPr>
            <w:tcW w:w="3940" w:type="dxa"/>
            <w:tcBorders>
              <w:top w:val="single" w:color="auto" w:sz="4" w:space="0"/>
              <w:left w:val="single" w:color="auto" w:sz="4" w:space="0"/>
              <w:bottom w:val="single" w:color="auto" w:sz="4" w:space="0"/>
              <w:right w:val="single" w:color="auto" w:sz="4" w:space="0"/>
            </w:tcBorders>
            <w:vAlign w:val="center"/>
          </w:tcPr>
          <w:p w14:paraId="3E390568">
            <w:pPr>
              <w:keepNext w:val="0"/>
              <w:keepLines w:val="0"/>
              <w:pageBreakBefore w:val="0"/>
              <w:widowControl w:val="0"/>
              <w:kinsoku/>
              <w:wordWrap/>
              <w:overflowPunct/>
              <w:topLinePunct w:val="0"/>
              <w:autoSpaceDE/>
              <w:autoSpaceDN/>
              <w:bidi w:val="0"/>
              <w:adjustRightInd/>
              <w:snapToGrid/>
              <w:spacing w:before="100" w:beforeAutospacing="1" w:line="400" w:lineRule="exact"/>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w:t>
            </w:r>
          </w:p>
        </w:tc>
      </w:tr>
    </w:tbl>
    <w:p w14:paraId="58718A1B">
      <w:pPr>
        <w:spacing w:line="52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3.2 检验方法</w:t>
      </w:r>
    </w:p>
    <w:p w14:paraId="4668165B">
      <w:pPr>
        <w:spacing w:line="52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产品的检验方法应根据技术性能指标设定，检验方法宜优先参考相关国家、行业标准等建立的检验方法，标准检验方法不适用时提交单独文件说明。检验方法必要时进行方法学研究或验证，以确保检验方法的可重现性和可操作性。检验方法宜包括试验步骤和结果的表述（如计算方法等）。</w:t>
      </w:r>
    </w:p>
    <w:p w14:paraId="222E7F3F">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3.3 产品检验报告</w:t>
      </w:r>
    </w:p>
    <w:p w14:paraId="0E46F5DD">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可提交以下任一形式的检验报告：</w:t>
      </w:r>
    </w:p>
    <w:p w14:paraId="5352C99E">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（1）注册申请人出具的自检报告。</w:t>
      </w:r>
    </w:p>
    <w:p w14:paraId="2A0DA44B">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提交自检报告的，应符合《医疗器械注册自检管理规定》相关要求。</w:t>
      </w:r>
    </w:p>
    <w:p w14:paraId="68648851">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（2）委托有资质的医疗器械检验机构出具的检验报告。</w:t>
      </w:r>
    </w:p>
    <w:p w14:paraId="03FD36D3">
      <w:pPr>
        <w:spacing w:line="52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提供检验样品型号/规格的选择依据，所检验型号/规格需为能够代表本注册单元内其他型号/规格的典型产品。</w:t>
      </w:r>
    </w:p>
    <w:p w14:paraId="37C8F160">
      <w:pPr>
        <w:spacing w:line="52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当申报产品包括多个型号规格时，需综合考虑产品的原材料、结构组成、包装方式、灭菌方式、生产工艺和预期用途等影响因素，原则上应选取结构最复杂、功能最齐全、风险最高的型号规格作为典型产品，注意典型型号/规格不一定是临床常用型号/规格。例如，若同时有不带涂层和带涂层两种形式，应选择带涂层产品作为典型性产品进行全性能检验，若仅选择带涂层产品不能覆盖所有性能，还应选取不带涂层产品作为差异型号进行未覆盖项目的检验。</w:t>
      </w:r>
    </w:p>
    <w:p w14:paraId="353B8DB0">
      <w:pPr>
        <w:spacing w:line="520" w:lineRule="exact"/>
        <w:ind w:firstLine="640" w:firstLineChars="200"/>
        <w:rPr>
          <w:rFonts w:hint="default" w:ascii="Times New Roman" w:hAnsi="Times New Roman" w:cs="Times New Roman"/>
        </w:rPr>
      </w:pPr>
      <w:r>
        <w:rPr>
          <w:rFonts w:hint="default" w:ascii="Times New Roman" w:hAnsi="Times New Roman" w:eastAsia="仿宋_GB2312" w:cs="Times New Roman"/>
          <w:color w:val="000000"/>
          <w:sz w:val="32"/>
          <w:szCs w:val="32"/>
          <w:lang w:val="en-US" w:eastAsia="zh-CN"/>
        </w:rPr>
        <w:t>一个型号/规格不能完全覆盖时，应选择其他型号/规格进行相关性能的补充性检测。例如，导管鞘及导管鞘与座连结处的峰值拉力在YY 0450.1中为分段要求，两段力学性能之间不可互相覆盖，每段性能应选择有代表性的型号规格，并提供支持性资料。</w:t>
      </w:r>
    </w:p>
    <w:p w14:paraId="7158271E">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4.研究资料</w:t>
      </w:r>
    </w:p>
    <w:p w14:paraId="31CF413B">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4.1产品性能研究</w:t>
      </w:r>
    </w:p>
    <w:p w14:paraId="7246DAD4">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说明产品性能指标的确定依据、设计输入来源以及临床意义，所采用的标准或方法、采用的原因及理论基础。依据产品性能研究结果，结合临床需求制定性能指标的接受标准。对于自建检验方法，宜提供相应的依据和/或方法学验证资料。</w:t>
      </w:r>
    </w:p>
    <w:p w14:paraId="18595D59">
      <w:pPr>
        <w:spacing w:line="52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导管鞘产品的材料和设计应满足YY 0450.1附录A.1的要求。</w:t>
      </w:r>
    </w:p>
    <w:p w14:paraId="115B341D">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提供性能研究资料，包括研究方法和研究结论。性能研究宜采用终产品，选择典型型号规格。如使用替代样品，请提供合理理由及依据（如使用不带涂层的样品进行化学性能检测等情况）。应结合产品风险及统计学意义，确定研究项目所用的样本数量，并对项目研究结果进行统计学分析。</w:t>
      </w:r>
    </w:p>
    <w:p w14:paraId="41D3CABE">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导管鞘产品性能研究项目宜考虑但不限于表</w:t>
      </w:r>
      <w:r>
        <w:rPr>
          <w:rFonts w:hint="default" w:ascii="Times New Roman" w:hAnsi="Times New Roman" w:eastAsia="仿宋_GB2312" w:cs="Times New Roman"/>
          <w:color w:val="000000"/>
          <w:sz w:val="32"/>
          <w:szCs w:val="32"/>
        </w:rPr>
        <w:t>1</w:t>
      </w:r>
      <w:r>
        <w:rPr>
          <w:rFonts w:hint="default" w:ascii="Times New Roman" w:hAnsi="Times New Roman" w:eastAsia="仿宋_GB2312" w:cs="Times New Roman"/>
          <w:color w:val="000000"/>
          <w:sz w:val="32"/>
          <w:szCs w:val="32"/>
        </w:rPr>
        <w:t>所列项</w:t>
      </w:r>
      <w:r>
        <w:rPr>
          <w:rFonts w:hint="default" w:ascii="Times New Roman" w:hAnsi="Times New Roman" w:eastAsia="仿宋_GB2312" w:cs="Times New Roman"/>
          <w:color w:val="000000"/>
          <w:sz w:val="32"/>
          <w:szCs w:val="32"/>
        </w:rPr>
        <w:t>目。申请人应根据具体产品特性，考虑需增加的性能研究项目。对于表1列举的项目中，如有不适用项，亦需说明具体理由。</w:t>
      </w:r>
    </w:p>
    <w:p w14:paraId="77063CD0">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4.2原材料控制</w:t>
      </w:r>
    </w:p>
    <w:p w14:paraId="7811CA5D">
      <w:pPr>
        <w:spacing w:line="52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应说明各原材料（包括主体材料、涂层材料、加工助剂等）的选择依据</w:t>
      </w:r>
      <w:r>
        <w:rPr>
          <w:rFonts w:hint="default" w:ascii="Times New Roman" w:hAnsi="Times New Roman" w:eastAsia="仿宋_GB2312" w:cs="Times New Roman"/>
          <w:color w:val="auto"/>
          <w:sz w:val="32"/>
          <w:szCs w:val="32"/>
          <w:lang w:val="en-US" w:eastAsia="zh-CN"/>
        </w:rPr>
        <w:t>。对于首次应用于医疗器械的新材料，需提供该材料适合用于人体预期使用用途、使用部位及安全性的相关研究资料。</w:t>
      </w:r>
    </w:p>
    <w:p w14:paraId="39395CA3">
      <w:pPr>
        <w:spacing w:line="52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应明确原材料质量控制标准，并确保其具有稳定的供货渠道，以保证产品质量。</w:t>
      </w:r>
      <w:r>
        <w:rPr>
          <w:rFonts w:hint="default" w:ascii="Times New Roman" w:hAnsi="Times New Roman" w:eastAsia="仿宋_GB2312" w:cs="Times New Roman"/>
          <w:color w:val="auto"/>
          <w:sz w:val="32"/>
          <w:szCs w:val="32"/>
          <w:lang w:val="en-US" w:eastAsia="zh-CN"/>
        </w:rPr>
        <w:t>若原材料外购</w:t>
      </w:r>
      <w:r>
        <w:rPr>
          <w:rFonts w:hint="default" w:ascii="Times New Roman" w:hAnsi="Times New Roman" w:eastAsia="仿宋_GB2312" w:cs="Times New Roman"/>
          <w:color w:val="auto"/>
          <w:sz w:val="32"/>
          <w:szCs w:val="32"/>
          <w:lang w:val="en-US" w:eastAsia="zh-CN"/>
        </w:rPr>
        <w:t>，应</w:t>
      </w:r>
      <w:r>
        <w:rPr>
          <w:rFonts w:hint="default" w:ascii="Times New Roman" w:hAnsi="Times New Roman" w:eastAsia="仿宋_GB2312" w:cs="Times New Roman"/>
          <w:color w:val="auto"/>
          <w:sz w:val="32"/>
          <w:szCs w:val="32"/>
          <w:lang w:val="en-US" w:eastAsia="zh-CN"/>
        </w:rPr>
        <w:t>提供采购质量标准、进货检验标准、材料安全数据表（MSDS，如有）、供应商的测试报告或合格证明</w:t>
      </w:r>
      <w:r>
        <w:rPr>
          <w:rFonts w:hint="default" w:ascii="Times New Roman" w:hAnsi="Times New Roman" w:eastAsia="仿宋_GB2312" w:cs="Times New Roman"/>
          <w:color w:val="auto"/>
          <w:sz w:val="32"/>
          <w:szCs w:val="32"/>
          <w:lang w:val="en-US" w:eastAsia="zh-CN"/>
        </w:rPr>
        <w:t>；若原材料为自行加工，应提供材料生产过程中的质量控制标准及相关的验证报告。</w:t>
      </w:r>
    </w:p>
    <w:p w14:paraId="57B54F62">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4.3生物学特性研究</w:t>
      </w:r>
    </w:p>
    <w:p w14:paraId="61B35397">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导管鞘属于与循环血液短期接触的外部接入器械，目前根据 GB/T 16886《医疗器械生物学评价》系列标准，考虑的生物相容性评价终点需包括：热原、细胞毒性、致敏</w:t>
      </w:r>
      <w:r>
        <w:rPr>
          <w:rFonts w:hint="default" w:ascii="Times New Roman" w:hAnsi="Times New Roman" w:eastAsia="仿宋_GB2312" w:cs="Times New Roman"/>
          <w:color w:val="000000"/>
          <w:sz w:val="32"/>
          <w:szCs w:val="32"/>
          <w:lang w:val="en-US" w:eastAsia="zh-CN"/>
        </w:rPr>
        <w:t>反应</w:t>
      </w:r>
      <w:r>
        <w:rPr>
          <w:rFonts w:hint="default" w:ascii="Times New Roman" w:hAnsi="Times New Roman" w:eastAsia="仿宋_GB2312" w:cs="Times New Roman"/>
          <w:color w:val="000000"/>
          <w:sz w:val="32"/>
          <w:szCs w:val="32"/>
        </w:rPr>
        <w:t>、皮内反应、急性全身毒性、血液相容性</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溶血、血栓</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等。如产品表面有涂层，生物相容性评价研究应对涂层成分、涂覆工艺及其可能引入的生物学风险进行详细说明。对生物学试验制样描述应明确样品制备是否涵盖涂层部分。</w:t>
      </w:r>
    </w:p>
    <w:p w14:paraId="379AC4C3">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4.4产品灭菌工艺研究</w:t>
      </w:r>
    </w:p>
    <w:p w14:paraId="5E258076">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明确灭菌工艺（方法和参数）和无菌保证水平（SAL）。导管鞘的无菌保证水平（SAL）需达到10</w:t>
      </w:r>
      <w:r>
        <w:rPr>
          <w:rFonts w:hint="default" w:ascii="Times New Roman" w:hAnsi="Times New Roman" w:eastAsia="仿宋_GB2312" w:cs="Times New Roman"/>
          <w:color w:val="000000"/>
          <w:sz w:val="32"/>
          <w:szCs w:val="32"/>
          <w:vertAlign w:val="superscript"/>
        </w:rPr>
        <w:t>-6</w:t>
      </w:r>
      <w:r>
        <w:rPr>
          <w:rFonts w:hint="default" w:ascii="Times New Roman" w:hAnsi="Times New Roman" w:eastAsia="仿宋_GB2312" w:cs="Times New Roman"/>
          <w:color w:val="000000"/>
          <w:sz w:val="32"/>
          <w:szCs w:val="32"/>
        </w:rPr>
        <w:t>。参考GB 18279《医疗保健产品灭菌 环氧乙烷》标准、GB 18280《医疗保健产品灭菌</w:t>
      </w:r>
      <w:r>
        <w:rPr>
          <w:rFonts w:hint="default" w:ascii="Times New Roman" w:hAnsi="Times New Roman" w:eastAsia="仿宋_GB2312" w:cs="Times New Roman"/>
          <w:color w:val="000000"/>
          <w:sz w:val="32"/>
          <w:szCs w:val="32"/>
        </w:rPr>
        <w:t xml:space="preserve"> </w:t>
      </w:r>
      <w:r>
        <w:rPr>
          <w:rFonts w:hint="default" w:ascii="Times New Roman" w:hAnsi="Times New Roman" w:eastAsia="仿宋_GB2312" w:cs="Times New Roman"/>
          <w:color w:val="000000"/>
          <w:sz w:val="32"/>
          <w:szCs w:val="32"/>
        </w:rPr>
        <w:t>辐射》系列标准等开展灭菌研究，并提供灭菌验证及确认的相关研究资料。若产品经灭菌后可能产生残留物质，应当明确残留物信息（如环氧乙烷</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auto"/>
          <w:sz w:val="32"/>
          <w:szCs w:val="32"/>
          <w:lang w:val="en-US" w:eastAsia="zh-CN"/>
        </w:rPr>
        <w:t>2－氯乙醇</w:t>
      </w:r>
      <w:r>
        <w:rPr>
          <w:rFonts w:hint="default" w:ascii="Times New Roman" w:hAnsi="Times New Roman" w:eastAsia="仿宋_GB2312" w:cs="Times New Roman"/>
          <w:color w:val="000000"/>
          <w:sz w:val="32"/>
          <w:szCs w:val="32"/>
        </w:rPr>
        <w:t>等）及采取的处理方法、残留量接受标准及其确定依据，并提供相关研究资料。</w:t>
      </w:r>
    </w:p>
    <w:p w14:paraId="5FBE12F8">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4.5产品稳定性研究</w:t>
      </w:r>
    </w:p>
    <w:p w14:paraId="19EAA7B6">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（1）货架有效期</w:t>
      </w:r>
    </w:p>
    <w:p w14:paraId="5A30AF02">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应当提供产品货架有效期和包装研究资料，证明在货架有效期内，在生产企业规定的运输贮存条件下，产品可保持性能满足使用要求，并保持无菌状态。</w:t>
      </w:r>
    </w:p>
    <w:p w14:paraId="18B6BAEB">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产品货架有效期的验证可选择加速稳定性试验或实时稳定性试验，具体需根据产品特性选择验证方式。无论加速稳定性试验还是实时稳定性试验，注册申请人均需在试验方案中设定测试项目、测试方法及判定标准。货架有效期验证项目通常包括产品技术要求中与有效期密切相关的条款，加速老化研究的具体要求可参考《无源植入性医疗器械稳定性研究指导原则》和YY/T 0681.1《无菌医疗器械包装试验方法 第 1 部分：加速老化试验指南》等标准。</w:t>
      </w:r>
    </w:p>
    <w:p w14:paraId="352D7F05">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包装研究资料应包括封口试验以及包装材料对灭菌的适应性研究。可依据GB/T 19633、GB/T 4857系列标准对包装进行分析研究和评价。直接接触产品的包装材料的选择应至少考虑以下因素：包装材料的物理化学特性；包装材料与产品的适应性；包装材料与成型和密封过程的适应性；包装材料与灭菌过程的适应性；包装材料所能提供的物理、化学和微生物屏障保护；包装材料与使用者使用时的要求无菌开启的适应性；包装材料与标签系统的适应性；对含有涂层的产品，建议对加速老化或者实时老化后产品性能验证项目增加涂层相关性能的评价，从而保证在器械在货架有效期内涂层的安全有效性。</w:t>
      </w:r>
    </w:p>
    <w:p w14:paraId="2D6EBEC1">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提交包装验证报告，常见验证项目包括但不限于：包装完整性、封口强度和微生物屏障性能等。</w:t>
      </w:r>
    </w:p>
    <w:p w14:paraId="0C98C716">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（2）运输稳定性</w:t>
      </w:r>
    </w:p>
    <w:p w14:paraId="5C1A49B8">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在宣称的有效期内以及运输（例如：震动、振动、温度和湿度的波动）储存条件下，提供保持包装完整性的依据。企业需提交产品包装验证和运输验证资料。</w:t>
      </w:r>
    </w:p>
    <w:p w14:paraId="778AF08E">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需提交运输稳定性验证资料，可依据YY/T 0681.15、GB/T 4857系列标准等进行验证并提交运输稳定性验证资料，证明在规定的运输条件下，运输过程中环境条件不会对医疗器械的特性和性能造成不利影响。</w:t>
      </w:r>
    </w:p>
    <w:p w14:paraId="283B7A30">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4.6可用性/人为因素研究</w:t>
      </w:r>
    </w:p>
    <w:p w14:paraId="1B92E766">
      <w:pPr>
        <w:spacing w:line="520" w:lineRule="exact"/>
        <w:ind w:firstLine="640" w:firstLineChars="200"/>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按照《医疗器械可用性工程注册审查指导原则》要求，中、低使用风险医疗器械可基于风险管理过程开展可用性工程生命周期质控工作，提交使用错误评估报告。若前期已开展可用性工程工作，亦可提交可用性工程研究报告，用于替代使用错误评估报告。</w:t>
      </w:r>
    </w:p>
    <w:p w14:paraId="5B5F59E9">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auto"/>
          <w:sz w:val="32"/>
          <w:szCs w:val="32"/>
          <w:lang w:val="en-US" w:eastAsia="zh-CN"/>
        </w:rPr>
        <w:t>使用错误评估报告用于细化风险管理报告关于可用性的内容，包括基本信息、使用风险级别、核心要素、同类医疗器械上市后使用问题分析、使用风险管理、结论等内容。</w:t>
      </w:r>
    </w:p>
    <w:p w14:paraId="6E7BD8D8">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4.7证明产品安全性、有效性的其他研究资料。</w:t>
      </w:r>
    </w:p>
    <w:p w14:paraId="203AD2ED">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若产品宣称具有</w:t>
      </w:r>
      <w:r>
        <w:rPr>
          <w:rFonts w:hint="default" w:ascii="Times New Roman" w:hAnsi="Times New Roman" w:eastAsia="仿宋_GB2312" w:cs="Times New Roman"/>
          <w:color w:val="000000"/>
          <w:sz w:val="32"/>
          <w:szCs w:val="32"/>
          <w:lang w:val="en-US" w:eastAsia="zh-CN"/>
        </w:rPr>
        <w:t>可调弯、可撕等</w:t>
      </w:r>
      <w:r>
        <w:rPr>
          <w:rFonts w:hint="default" w:ascii="Times New Roman" w:hAnsi="Times New Roman" w:eastAsia="仿宋_GB2312" w:cs="Times New Roman"/>
          <w:color w:val="000000"/>
          <w:sz w:val="32"/>
          <w:szCs w:val="32"/>
        </w:rPr>
        <w:t>特殊功能，应提交相关研究资料。</w:t>
      </w:r>
    </w:p>
    <w:p w14:paraId="4E484BD1">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对于符合</w:t>
      </w:r>
      <w:r>
        <w:rPr>
          <w:rFonts w:hint="default" w:ascii="Times New Roman" w:hAnsi="Times New Roman" w:eastAsia="仿宋_GB2312" w:cs="Times New Roman"/>
          <w:color w:val="000000"/>
          <w:sz w:val="32"/>
          <w:szCs w:val="32"/>
        </w:rPr>
        <w:t>《免于进行临床评价医疗器械目录》（以下简称《目录》）</w:t>
      </w:r>
      <w:r>
        <w:rPr>
          <w:rFonts w:hint="default" w:ascii="Times New Roman" w:hAnsi="Times New Roman" w:eastAsia="仿宋_GB2312" w:cs="Times New Roman"/>
          <w:color w:val="000000"/>
          <w:sz w:val="32"/>
          <w:szCs w:val="32"/>
          <w:lang w:val="en-US" w:eastAsia="zh-CN"/>
        </w:rPr>
        <w:t>的导管鞘产品</w:t>
      </w:r>
      <w:r>
        <w:rPr>
          <w:rFonts w:hint="default" w:ascii="Times New Roman" w:hAnsi="Times New Roman" w:eastAsia="仿宋_GB2312" w:cs="Times New Roman"/>
          <w:color w:val="000000"/>
          <w:sz w:val="32"/>
          <w:szCs w:val="32"/>
        </w:rPr>
        <w:t>，注册申请人需提交申报产品相关信息与《目录》所述内容的对比资料和申报产品与已获准境内注册的《目录》中的医疗器械的对比说明。注册申请人</w:t>
      </w:r>
      <w:r>
        <w:rPr>
          <w:rFonts w:hint="default" w:ascii="Times New Roman" w:hAnsi="Times New Roman" w:eastAsia="仿宋_GB2312" w:cs="Times New Roman"/>
          <w:color w:val="000000"/>
          <w:sz w:val="32"/>
          <w:szCs w:val="32"/>
          <w:lang w:val="en-US" w:eastAsia="zh-CN"/>
        </w:rPr>
        <w:t>应</w:t>
      </w:r>
      <w:r>
        <w:rPr>
          <w:rFonts w:hint="default" w:ascii="Times New Roman" w:hAnsi="Times New Roman" w:eastAsia="仿宋_GB2312" w:cs="Times New Roman"/>
          <w:color w:val="000000"/>
          <w:sz w:val="32"/>
          <w:szCs w:val="32"/>
        </w:rPr>
        <w:t>充分考虑豁免情况不包括新型结构设计、新型作用机理、药械组合产品</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具体需提交资料的要求可参照《列入免于进行临床评价医疗器械目录产品对比说明技术指导原则》。</w:t>
      </w:r>
    </w:p>
    <w:p w14:paraId="46917DA6">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（四）临床评价资料</w:t>
      </w:r>
    </w:p>
    <w:p w14:paraId="23605137">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若产品不在《免于进行临床评价医疗器械目录》的产品描述范围之内，或不能证明与已获准境内注册的产品具有基本等同性，应按照《医疗器械临床评价技术指导原则》进行临床评价。</w:t>
      </w:r>
    </w:p>
    <w:p w14:paraId="41186487">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（五）产品说明书和标签样稿</w:t>
      </w:r>
    </w:p>
    <w:p w14:paraId="164598E2">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产品说明书、标签样稿内容除应符合《医疗器械说明书和标签管理规定》要求外，还应符合YY 0450.1《一次性使用无菌血管内导管辅件 第 1 部分 导引器械》中的相关规定，并注意以下内容：</w:t>
      </w:r>
    </w:p>
    <w:p w14:paraId="0706DC50">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1.说明书中关于产品性能特征的描述不应超出研究资料及产品技术要求，不应含有未经验证的夸大宣传的相关描述；</w:t>
      </w:r>
    </w:p>
    <w:p w14:paraId="2D3EA41C">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2.说明书中的产品适用范围宜与研究资料等申报资料保持一致。</w:t>
      </w:r>
    </w:p>
    <w:p w14:paraId="572A7EBE">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3.型号规格的表述与产品技术要求保持一致；</w:t>
      </w:r>
    </w:p>
    <w:p w14:paraId="144D1E2F">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4.明确配合使用器械的尺寸信息；</w:t>
      </w:r>
    </w:p>
    <w:p w14:paraId="6D8BBEC6">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5.储存和运输条件不应超出产品稳定性研究范围；</w:t>
      </w:r>
    </w:p>
    <w:p w14:paraId="252299A2">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6.在说明书中告知使用者产品使用过程中的相关风险，如某些操作可能导致产品损坏等，对可能的并发症进行预警；</w:t>
      </w:r>
    </w:p>
    <w:p w14:paraId="3B6C9E50">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7.说明书应详细阐明申报产品的具体操作步骤，如导管鞘的准备和影像学引导方式、患者体位、规格选择、与其他器械配合方式、使用后的处理方式等；</w:t>
      </w:r>
    </w:p>
    <w:p w14:paraId="5E90D3F5">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8.在说明书中明确产品的禁忌证、注意事项、警示信息、可能的不良事件及处理措施等，如对产品中所含成分过敏的患者不能使用等。应根据导管鞘使用部位/术式等列明并发症，如经皮穿刺出血、感染、血栓、气体栓塞、血管损伤等风险。</w:t>
      </w:r>
    </w:p>
    <w:p w14:paraId="73C86012">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9.</w:t>
      </w:r>
      <w:r>
        <w:rPr>
          <w:rFonts w:hint="default" w:ascii="Times New Roman" w:hAnsi="Times New Roman" w:eastAsia="仿宋_GB2312" w:cs="Times New Roman"/>
          <w:color w:val="000000"/>
          <w:sz w:val="32"/>
          <w:szCs w:val="32"/>
        </w:rPr>
        <w:t>对含有涂层的产品，说明书中明确涂层主要成分、类型及位置，并应在说明书中警示涂层脱落风险，针对涂层增加相关警告、明确相关注意事项及准备步骤，并对可能的不良事件进行警示。涂层脱落相关潜在不良事件可能包括但不限于：涂层栓塞部位出</w:t>
      </w:r>
      <w:r>
        <w:rPr>
          <w:rFonts w:hint="default" w:ascii="Times New Roman" w:hAnsi="Times New Roman" w:eastAsia="仿宋_GB2312" w:cs="Times New Roman"/>
          <w:color w:val="000000"/>
          <w:sz w:val="32"/>
          <w:szCs w:val="32"/>
        </w:rPr>
        <w:t>现无菌性炎症或肉芽肿、肺栓塞、肺梗塞、心肌栓塞、心肌梗塞、栓塞性中风、脑梗塞、额外的手术干预、组织坏死甚至死亡。</w:t>
      </w:r>
    </w:p>
    <w:p w14:paraId="691A9B22">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（六）质量管理体系文件</w:t>
      </w:r>
    </w:p>
    <w:p w14:paraId="6A9B3DAD">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质量管理体系文件应符合国家药品监督管理局《关于公布医疗器械注册申报资料要求和批准证明文件格式的公告》中对质量管理体系文件的要求。</w:t>
      </w:r>
    </w:p>
    <w:p w14:paraId="609A09E9">
      <w:pPr>
        <w:spacing w:line="520" w:lineRule="exact"/>
        <w:ind w:firstLine="640" w:firstLineChars="200"/>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三、参考文献</w:t>
      </w:r>
    </w:p>
    <w:p w14:paraId="071A45A4">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[1]中华人民共和国国务院.医疗器械监督管理条例:中华人民共和国国务院令第739号[Z].</w:t>
      </w:r>
    </w:p>
    <w:p w14:paraId="15EE66F8">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[2]国家市场监督管理总局.医疗器械注册与备案管理办法:国家市场监督管理总局令第47号[Z].</w:t>
      </w:r>
    </w:p>
    <w:p w14:paraId="75F0E905">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[3]国家药品监督管理局.医疗器械注册申报资料要求和批准证明文件格式:国家药监局公告2021年第121号[Z].</w:t>
      </w:r>
    </w:p>
    <w:p w14:paraId="3628561C">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[4]国家食品药品监督管理局.医疗器械注册单元划分指导原则:总局通告2017年第187号[Z].</w:t>
      </w:r>
    </w:p>
    <w:p w14:paraId="447C3C39">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[5]国家食品药品监督管理局.医疗器械分类目录:国家食品药品监督管理总局公告2017年第104号[Z].</w:t>
      </w:r>
    </w:p>
    <w:p w14:paraId="6D1F3E8E">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[6]国家药品监督管理局.医疗器械安全和性能基本原则清单:国家药监局公告2021年第121号[Z].</w:t>
      </w:r>
    </w:p>
    <w:p w14:paraId="62AFC458">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[7]国家药品监督管理局.医疗器械产品技术要求编写指导原则:国家药监局公告2022年第8号[Z].</w:t>
      </w:r>
    </w:p>
    <w:p w14:paraId="51DC041F">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[8]国家药品监督管理局.医疗器械注册自检管理规定:国家药监局公告2021年第126号[Z].</w:t>
      </w:r>
    </w:p>
    <w:p w14:paraId="16D87D59">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[9]国家药品监督管理局.神经和心血管手术器械通用名称命名指导原则:国家药品监督管理局通告2021年第62号[Z].</w:t>
      </w:r>
    </w:p>
    <w:p w14:paraId="6E69239F">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[10]</w:t>
      </w:r>
      <w:r>
        <w:rPr>
          <w:rFonts w:hint="default" w:ascii="Times New Roman" w:hAnsi="Times New Roman" w:eastAsia="仿宋_GB2312" w:cs="Times New Roman"/>
          <w:color w:val="000000"/>
          <w:sz w:val="32"/>
          <w:szCs w:val="32"/>
          <w:lang w:val="en-US" w:eastAsia="zh-CN"/>
        </w:rPr>
        <w:t>国家食品药品监督管理局.医疗器械生物学评价和审查指南:国家食品药品监督管理局通知2007年345号[Z].</w:t>
      </w:r>
    </w:p>
    <w:p w14:paraId="009700E4">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[11]国家药品监督管理局.</w:t>
      </w:r>
      <w:bookmarkStart w:id="1" w:name="OLE_LINK2"/>
      <w:r>
        <w:rPr>
          <w:rFonts w:hint="default" w:ascii="Times New Roman" w:hAnsi="Times New Roman" w:eastAsia="仿宋_GB2312" w:cs="Times New Roman"/>
          <w:color w:val="000000"/>
          <w:sz w:val="32"/>
          <w:szCs w:val="32"/>
        </w:rPr>
        <w:t>列入免于临床评价医疗器械目录产品对比说明技术指导原则</w:t>
      </w:r>
      <w:bookmarkEnd w:id="1"/>
      <w:r>
        <w:rPr>
          <w:rFonts w:hint="default" w:ascii="Times New Roman" w:hAnsi="Times New Roman" w:eastAsia="仿宋_GB2312" w:cs="Times New Roman"/>
          <w:color w:val="000000"/>
          <w:sz w:val="32"/>
          <w:szCs w:val="32"/>
        </w:rPr>
        <w:t>:国家药监局通告2021年第73号附件5[Z].</w:t>
      </w:r>
    </w:p>
    <w:p w14:paraId="3C09E652">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w:t>
      </w:r>
      <w:r>
        <w:rPr>
          <w:rFonts w:hint="default" w:ascii="Times New Roman" w:hAnsi="Times New Roman" w:eastAsia="仿宋_GB2312" w:cs="Times New Roman"/>
          <w:color w:val="000000"/>
          <w:sz w:val="32"/>
          <w:szCs w:val="32"/>
          <w:lang w:val="en-US" w:eastAsia="zh-CN"/>
        </w:rPr>
        <w:t>2</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z w:val="32"/>
          <w:szCs w:val="32"/>
          <w:lang w:val="en-US" w:eastAsia="zh-CN"/>
        </w:rPr>
        <w:t>国家药品监督管理局.免于进行临床评价医疗器械目录:国家药监局通告2025年第19号</w:t>
      </w:r>
      <w:r>
        <w:rPr>
          <w:rFonts w:hint="default" w:ascii="Times New Roman" w:hAnsi="Times New Roman" w:eastAsia="仿宋_GB2312" w:cs="Times New Roman"/>
          <w:color w:val="000000"/>
          <w:sz w:val="32"/>
          <w:szCs w:val="32"/>
        </w:rPr>
        <w:t>[Z].</w:t>
      </w:r>
    </w:p>
    <w:p w14:paraId="62D5BA2B">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w:t>
      </w:r>
      <w:r>
        <w:rPr>
          <w:rFonts w:hint="default"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]国家药品监督管理局.医疗器械临床评价技术指导原则:国家药监局通告2021年第73号附件1[Z].</w:t>
      </w:r>
    </w:p>
    <w:p w14:paraId="3C53FBE2">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w:t>
      </w:r>
      <w:r>
        <w:rPr>
          <w:rFonts w:hint="default" w:ascii="Times New Roman" w:hAnsi="Times New Roman" w:eastAsia="仿宋_GB2312" w:cs="Times New Roman"/>
          <w:color w:val="000000"/>
          <w:sz w:val="32"/>
          <w:szCs w:val="32"/>
          <w:lang w:val="en-US" w:eastAsia="zh-CN"/>
        </w:rPr>
        <w:t>4</w:t>
      </w:r>
      <w:r>
        <w:rPr>
          <w:rFonts w:hint="default" w:ascii="Times New Roman" w:hAnsi="Times New Roman" w:eastAsia="仿宋_GB2312" w:cs="Times New Roman"/>
          <w:color w:val="000000"/>
          <w:sz w:val="32"/>
          <w:szCs w:val="32"/>
        </w:rPr>
        <w:t>]国家食品药品监督管理局.</w:t>
      </w:r>
      <w:bookmarkStart w:id="2" w:name="OLE_LINK3"/>
      <w:r>
        <w:rPr>
          <w:rFonts w:hint="default" w:ascii="Times New Roman" w:hAnsi="Times New Roman" w:eastAsia="仿宋_GB2312" w:cs="Times New Roman"/>
          <w:color w:val="000000"/>
          <w:sz w:val="32"/>
          <w:szCs w:val="32"/>
        </w:rPr>
        <w:t>医疗器械说明书和标签管理规定</w:t>
      </w:r>
      <w:bookmarkEnd w:id="2"/>
      <w:r>
        <w:rPr>
          <w:rFonts w:hint="default" w:ascii="Times New Roman" w:hAnsi="Times New Roman" w:eastAsia="仿宋_GB2312" w:cs="Times New Roman"/>
          <w:color w:val="000000"/>
          <w:sz w:val="32"/>
          <w:szCs w:val="32"/>
        </w:rPr>
        <w:t>:国家食品药品监督管理总局令第6号[Z].</w:t>
      </w:r>
    </w:p>
    <w:p w14:paraId="1A1A8732">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w:t>
      </w:r>
      <w:r>
        <w:rPr>
          <w:rFonts w:hint="default" w:ascii="Times New Roman" w:hAnsi="Times New Roman" w:eastAsia="仿宋_GB2312" w:cs="Times New Roman"/>
          <w:color w:val="000000"/>
          <w:sz w:val="32"/>
          <w:szCs w:val="32"/>
          <w:lang w:val="en-US" w:eastAsia="zh-CN"/>
        </w:rPr>
        <w:t>5</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z w:val="32"/>
          <w:szCs w:val="32"/>
          <w:lang w:val="en-US" w:eastAsia="zh-CN"/>
        </w:rPr>
        <w:t>国家药品监督管理局.无源植入性医疗器械稳定性研究指导原则（2022年修订版）:国家药监局通告2022年第12号</w:t>
      </w:r>
      <w:r>
        <w:rPr>
          <w:rFonts w:hint="default" w:ascii="Times New Roman" w:hAnsi="Times New Roman" w:eastAsia="仿宋_GB2312" w:cs="Times New Roman"/>
          <w:color w:val="000000"/>
          <w:sz w:val="32"/>
          <w:szCs w:val="32"/>
        </w:rPr>
        <w:t>[Z].</w:t>
      </w:r>
    </w:p>
    <w:p w14:paraId="4FC14C0A">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w:t>
      </w:r>
      <w:r>
        <w:rPr>
          <w:rFonts w:hint="default" w:ascii="Times New Roman" w:hAnsi="Times New Roman" w:eastAsia="仿宋_GB2312" w:cs="Times New Roman"/>
          <w:color w:val="000000"/>
          <w:sz w:val="32"/>
          <w:szCs w:val="32"/>
          <w:lang w:val="en-US" w:eastAsia="zh-CN"/>
        </w:rPr>
        <w:t>6</w:t>
      </w:r>
      <w:r>
        <w:rPr>
          <w:rFonts w:hint="default" w:ascii="Times New Roman" w:hAnsi="Times New Roman" w:eastAsia="仿宋_GB2312" w:cs="Times New Roman"/>
          <w:color w:val="000000"/>
          <w:sz w:val="32"/>
          <w:szCs w:val="32"/>
        </w:rPr>
        <w:t>]国家药品监督管理局医疗器械技术审评中心.带有润滑涂层的血管介入器械注册审查指导原则:国家药品监督管理局医疗器械技术审评中心通告2023年第25号[Z].</w:t>
      </w:r>
    </w:p>
    <w:p w14:paraId="0DB2BA2B">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w:t>
      </w:r>
      <w:r>
        <w:rPr>
          <w:rFonts w:hint="default" w:ascii="Times New Roman" w:hAnsi="Times New Roman" w:eastAsia="仿宋_GB2312" w:cs="Times New Roman"/>
          <w:color w:val="000000"/>
          <w:sz w:val="32"/>
          <w:szCs w:val="32"/>
          <w:lang w:val="en-US" w:eastAsia="zh-CN"/>
        </w:rPr>
        <w:t>7</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z w:val="32"/>
          <w:szCs w:val="32"/>
        </w:rPr>
        <w:t>国家药品监督管理局医疗器械技术审评中心</w:t>
      </w:r>
      <w:r>
        <w:rPr>
          <w:rFonts w:hint="default" w:ascii="Times New Roman" w:hAnsi="Times New Roman" w:eastAsia="仿宋_GB2312" w:cs="Times New Roman"/>
          <w:color w:val="000000"/>
          <w:sz w:val="32"/>
          <w:szCs w:val="32"/>
        </w:rPr>
        <w:t>.医疗器械可用性工程注册审查指导原则:2024年第13号[Z].</w:t>
      </w:r>
    </w:p>
    <w:p w14:paraId="54A6A039">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w:t>
      </w:r>
      <w:r>
        <w:rPr>
          <w:rFonts w:hint="default" w:ascii="Times New Roman" w:hAnsi="Times New Roman" w:eastAsia="仿宋_GB2312" w:cs="Times New Roman"/>
          <w:color w:val="000000"/>
          <w:sz w:val="32"/>
          <w:szCs w:val="32"/>
          <w:lang w:val="en-US" w:eastAsia="zh-CN"/>
        </w:rPr>
        <w:t>8</w:t>
      </w:r>
      <w:r>
        <w:rPr>
          <w:rFonts w:hint="default" w:ascii="Times New Roman" w:hAnsi="Times New Roman" w:eastAsia="仿宋_GB2312" w:cs="Times New Roman"/>
          <w:color w:val="000000"/>
          <w:sz w:val="32"/>
          <w:szCs w:val="32"/>
        </w:rPr>
        <w:t>]GB/T 16886,医疗器械生物学评价系列标准[S].</w:t>
      </w:r>
    </w:p>
    <w:p w14:paraId="6504F148">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[19]</w:t>
      </w:r>
      <w:r>
        <w:rPr>
          <w:rFonts w:hint="default" w:ascii="Times New Roman" w:hAnsi="Times New Roman" w:eastAsia="仿宋_GB2312" w:cs="Times New Roman"/>
          <w:color w:val="000000"/>
          <w:sz w:val="32"/>
          <w:szCs w:val="32"/>
          <w:lang w:val="en-US" w:eastAsia="zh-CN"/>
        </w:rPr>
        <w:t>GB 18278,医疗保健产品灭菌湿热医疗器械灭菌过程的开发、确认和常规控制要求[S].</w:t>
      </w:r>
    </w:p>
    <w:p w14:paraId="74A2277A">
      <w:pPr>
        <w:spacing w:line="52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rPr>
        <w:t>[20]</w:t>
      </w:r>
      <w:r>
        <w:rPr>
          <w:rFonts w:hint="default" w:ascii="Times New Roman" w:hAnsi="Times New Roman" w:eastAsia="仿宋_GB2312" w:cs="Times New Roman"/>
          <w:color w:val="000000"/>
          <w:sz w:val="32"/>
          <w:szCs w:val="32"/>
          <w:lang w:val="en-US" w:eastAsia="zh-CN"/>
        </w:rPr>
        <w:t>GB 18279,医疗保健产品灭菌环氧乙烷医疗器械灭菌过程的开发、确认和常规控制要求[S].</w:t>
      </w:r>
    </w:p>
    <w:p w14:paraId="629BFEB3">
      <w:pPr>
        <w:spacing w:line="52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rPr>
        <w:t xml:space="preserve">[21] </w:t>
      </w:r>
      <w:r>
        <w:rPr>
          <w:rFonts w:hint="default" w:ascii="Times New Roman" w:hAnsi="Times New Roman" w:eastAsia="仿宋_GB2312" w:cs="Times New Roman"/>
          <w:color w:val="000000"/>
          <w:sz w:val="32"/>
          <w:szCs w:val="32"/>
          <w:lang w:val="en-US" w:eastAsia="zh-CN"/>
        </w:rPr>
        <w:t>GB 18280.1,医疗保健产品灭菌辐射第1部分：医疗器械灭菌过程的开发、确认和常规控制要求[S].</w:t>
      </w:r>
    </w:p>
    <w:p w14:paraId="5EDA5389">
      <w:pPr>
        <w:spacing w:line="520" w:lineRule="exact"/>
        <w:ind w:firstLine="640" w:firstLineChars="200"/>
        <w:rPr>
          <w:rFonts w:hint="default" w:ascii="Times New Roman" w:hAnsi="Times New Roman" w:eastAsia="仿宋_GB2312" w:cs="Times New Roman"/>
          <w:b/>
          <w:bCs/>
          <w:color w:val="000000"/>
          <w:sz w:val="32"/>
          <w:szCs w:val="32"/>
          <w:lang w:val="en-US" w:eastAsia="zh-CN"/>
        </w:rPr>
      </w:pP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z w:val="32"/>
          <w:szCs w:val="32"/>
          <w:lang w:val="en-US" w:eastAsia="zh-CN"/>
        </w:rPr>
        <w:t>22</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z w:val="32"/>
          <w:szCs w:val="32"/>
          <w:lang w:val="en-US" w:eastAsia="zh-CN"/>
        </w:rPr>
        <w:t>GB 18280.2,医疗保健产品灭菌辐射第2部分：建立灭菌剂量[S].</w:t>
      </w:r>
    </w:p>
    <w:p w14:paraId="11A5FD0A">
      <w:pPr>
        <w:spacing w:line="52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z w:val="32"/>
          <w:szCs w:val="32"/>
          <w:lang w:val="en-US" w:eastAsia="zh-CN"/>
        </w:rPr>
        <w:t>23</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z w:val="32"/>
          <w:szCs w:val="32"/>
          <w:lang w:val="en-US" w:eastAsia="zh-CN"/>
        </w:rPr>
        <w:t>GB/T 18280.3,医疗保健产品灭菌辐射第3部分：剂量测量指南[S].</w:t>
      </w:r>
    </w:p>
    <w:p w14:paraId="278623EA">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[24]YY/T 0681,无菌医疗器械包装试验方法系列标准[S].</w:t>
      </w:r>
    </w:p>
    <w:p w14:paraId="7E6C9AA3">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[25]GB 4857,包装包装运输件系列标准[S].</w:t>
      </w:r>
    </w:p>
    <w:p w14:paraId="07DD3FB8">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[26]YY/T 0698,最终灭菌医疗器械包装材料系列标准[S].</w:t>
      </w:r>
    </w:p>
    <w:p w14:paraId="3051FFA1">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[27]GB/T 19633,最终灭菌医疗器械包装系列标准[S].</w:t>
      </w:r>
    </w:p>
    <w:p w14:paraId="65033B9A">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w:t>
      </w:r>
      <w:r>
        <w:rPr>
          <w:rFonts w:hint="default" w:ascii="Times New Roman" w:hAnsi="Times New Roman" w:eastAsia="仿宋_GB2312" w:cs="Times New Roman"/>
          <w:color w:val="000000"/>
          <w:sz w:val="32"/>
          <w:szCs w:val="32"/>
          <w:lang w:val="en-US" w:eastAsia="zh-CN"/>
        </w:rPr>
        <w:t>8</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z w:val="32"/>
          <w:szCs w:val="32"/>
          <w:lang w:val="en-US" w:eastAsia="zh-CN"/>
        </w:rPr>
        <w:t>GB/T 42061,医疗器械质量管理体系用于法规的要求[S].</w:t>
      </w:r>
    </w:p>
    <w:p w14:paraId="076A2668">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w:t>
      </w:r>
      <w:r>
        <w:rPr>
          <w:rFonts w:hint="default" w:ascii="Times New Roman" w:hAnsi="Times New Roman" w:eastAsia="仿宋_GB2312" w:cs="Times New Roman"/>
          <w:color w:val="000000"/>
          <w:sz w:val="32"/>
          <w:szCs w:val="32"/>
          <w:lang w:val="en-US" w:eastAsia="zh-CN"/>
        </w:rPr>
        <w:t>9</w:t>
      </w:r>
      <w:r>
        <w:rPr>
          <w:rFonts w:hint="default" w:ascii="Times New Roman" w:hAnsi="Times New Roman" w:eastAsia="仿宋_GB2312" w:cs="Times New Roman"/>
          <w:color w:val="000000"/>
          <w:sz w:val="32"/>
          <w:szCs w:val="32"/>
        </w:rPr>
        <w:t>]GB/T 42062,医疗器械风险管理对医疗器械的应用[S].</w:t>
      </w:r>
    </w:p>
    <w:p w14:paraId="5734A754">
      <w:pPr>
        <w:spacing w:line="52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30</w:t>
      </w:r>
      <w:r>
        <w:rPr>
          <w:rFonts w:hint="default" w:ascii="Times New Roman" w:hAnsi="Times New Roman" w:eastAsia="仿宋_GB2312" w:cs="Times New Roman"/>
          <w:color w:val="auto"/>
          <w:sz w:val="32"/>
          <w:szCs w:val="32"/>
        </w:rPr>
        <w:t>]YY/T 1437,医疗器械 GB/T 42062应用指南[S].</w:t>
      </w:r>
    </w:p>
    <w:p w14:paraId="33C7F9CF">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w:t>
      </w:r>
      <w:r>
        <w:rPr>
          <w:rFonts w:hint="default"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rPr>
        <w:t>]YY 0285.1血管内导管 一次性使用无菌导管 第1部分 通用要求[S].</w:t>
      </w:r>
    </w:p>
    <w:p w14:paraId="50A45D9E">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w:t>
      </w:r>
      <w:r>
        <w:rPr>
          <w:rFonts w:hint="default" w:ascii="Times New Roman" w:hAnsi="Times New Roman" w:eastAsia="仿宋_GB2312" w:cs="Times New Roman"/>
          <w:color w:val="000000"/>
          <w:sz w:val="32"/>
          <w:szCs w:val="32"/>
          <w:lang w:val="en-US" w:eastAsia="zh-CN"/>
        </w:rPr>
        <w:t>2</w:t>
      </w:r>
      <w:r>
        <w:rPr>
          <w:rFonts w:hint="default" w:ascii="Times New Roman" w:hAnsi="Times New Roman" w:eastAsia="仿宋_GB2312" w:cs="Times New Roman"/>
          <w:color w:val="000000"/>
          <w:sz w:val="32"/>
          <w:szCs w:val="32"/>
        </w:rPr>
        <w:t>]YY 0450.1,一次性使用无菌血管内导管辅件 第1部分:导引器械[S].</w:t>
      </w:r>
    </w:p>
    <w:p w14:paraId="4188F87B">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w:t>
      </w:r>
      <w:r>
        <w:rPr>
          <w:rFonts w:hint="default"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]YY/T 0466.1,医疗器械用于制造商提供信息的符号第1部分：通用要求.[S].</w:t>
      </w:r>
    </w:p>
    <w:p w14:paraId="3EB14F5D">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w:t>
      </w:r>
      <w:r>
        <w:rPr>
          <w:rFonts w:hint="default" w:ascii="Times New Roman" w:hAnsi="Times New Roman" w:eastAsia="仿宋_GB2312" w:cs="Times New Roman"/>
          <w:color w:val="000000"/>
          <w:sz w:val="32"/>
          <w:szCs w:val="32"/>
          <w:lang w:val="en-US" w:eastAsia="zh-CN"/>
        </w:rPr>
        <w:t>4</w:t>
      </w:r>
      <w:r>
        <w:rPr>
          <w:rFonts w:hint="default" w:ascii="Times New Roman" w:hAnsi="Times New Roman" w:eastAsia="仿宋_GB2312" w:cs="Times New Roman"/>
          <w:color w:val="000000"/>
          <w:sz w:val="32"/>
          <w:szCs w:val="32"/>
        </w:rPr>
        <w:t xml:space="preserve">]YY/T </w:t>
      </w:r>
      <w:bookmarkStart w:id="3" w:name="OLE_LINK4"/>
      <w:r>
        <w:rPr>
          <w:rFonts w:hint="default" w:ascii="Times New Roman" w:hAnsi="Times New Roman" w:eastAsia="仿宋_GB2312" w:cs="Times New Roman"/>
          <w:color w:val="000000"/>
          <w:sz w:val="32"/>
          <w:szCs w:val="32"/>
        </w:rPr>
        <w:t>0615.1</w:t>
      </w:r>
      <w:bookmarkEnd w:id="3"/>
      <w:r>
        <w:rPr>
          <w:rFonts w:hint="default" w:ascii="Times New Roman" w:hAnsi="Times New Roman" w:eastAsia="仿宋_GB2312" w:cs="Times New Roman"/>
          <w:color w:val="000000"/>
          <w:sz w:val="32"/>
          <w:szCs w:val="32"/>
        </w:rPr>
        <w:t>,标示无菌医疗器械的要求第1部分：最终灭菌医疗器械的要求[S].</w:t>
      </w:r>
    </w:p>
    <w:p w14:paraId="35062611">
      <w:pPr>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br w:type="page"/>
      </w:r>
    </w:p>
    <w:p w14:paraId="680AE314">
      <w:pPr>
        <w:spacing w:line="520" w:lineRule="exact"/>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附件</w:t>
      </w:r>
    </w:p>
    <w:p w14:paraId="6827A7DB">
      <w:pPr>
        <w:spacing w:line="520" w:lineRule="exact"/>
        <w:ind w:firstLine="720" w:firstLineChars="200"/>
        <w:jc w:val="center"/>
        <w:rPr>
          <w:rStyle w:val="20"/>
          <w:rFonts w:hint="eastAsia" w:ascii="方正小标宋简体" w:hAnsi="方正小标宋简体" w:eastAsia="方正小标宋简体" w:cs="方正小标宋简体"/>
          <w:bCs/>
          <w:sz w:val="36"/>
          <w:szCs w:val="36"/>
        </w:rPr>
      </w:pPr>
      <w:r>
        <w:rPr>
          <w:rStyle w:val="20"/>
          <w:rFonts w:hint="eastAsia" w:ascii="方正小标宋简体" w:hAnsi="方正小标宋简体" w:eastAsia="方正小标宋简体" w:cs="方正小标宋简体"/>
          <w:bCs/>
          <w:sz w:val="36"/>
          <w:szCs w:val="36"/>
        </w:rPr>
        <w:t>产品主要危险（</w:t>
      </w:r>
      <w:r>
        <w:rPr>
          <w:rStyle w:val="20"/>
          <w:rFonts w:hint="eastAsia" w:ascii="方正小标宋简体" w:hAnsi="方正小标宋简体" w:eastAsia="方正小标宋简体" w:cs="方正小标宋简体"/>
          <w:bCs/>
          <w:sz w:val="36"/>
          <w:szCs w:val="36"/>
          <w:lang w:val="en-US" w:eastAsia="zh-CN"/>
        </w:rPr>
        <w:t>举例</w:t>
      </w:r>
      <w:r>
        <w:rPr>
          <w:rStyle w:val="20"/>
          <w:rFonts w:hint="eastAsia" w:ascii="方正小标宋简体" w:hAnsi="方正小标宋简体" w:eastAsia="方正小标宋简体" w:cs="方正小标宋简体"/>
          <w:bCs/>
          <w:sz w:val="36"/>
          <w:szCs w:val="36"/>
        </w:rPr>
        <w:t>）</w:t>
      </w:r>
    </w:p>
    <w:p w14:paraId="0CA59676">
      <w:pPr>
        <w:pStyle w:val="13"/>
        <w:rPr>
          <w:rFonts w:hint="default" w:ascii="Times New Roman" w:hAnsi="Times New Roman" w:cs="Times New Roman"/>
        </w:rPr>
      </w:pPr>
    </w:p>
    <w:tbl>
      <w:tblPr>
        <w:tblStyle w:val="8"/>
        <w:tblW w:w="8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
        <w:gridCol w:w="2696"/>
        <w:gridCol w:w="2536"/>
        <w:gridCol w:w="2714"/>
      </w:tblGrid>
      <w:tr w14:paraId="0063C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903" w:type="dxa"/>
            <w:tcBorders>
              <w:top w:val="single" w:color="auto" w:sz="4" w:space="0"/>
              <w:left w:val="single" w:color="auto" w:sz="4" w:space="0"/>
              <w:bottom w:val="single" w:color="auto" w:sz="4" w:space="0"/>
              <w:right w:val="single" w:color="auto" w:sz="4" w:space="0"/>
            </w:tcBorders>
            <w:shd w:val="clear" w:color="auto" w:fill="auto"/>
            <w:vAlign w:val="center"/>
          </w:tcPr>
          <w:p w14:paraId="6B8AD392">
            <w:pPr>
              <w:spacing w:line="520" w:lineRule="exact"/>
              <w:jc w:val="both"/>
              <w:rPr>
                <w:rFonts w:hint="default" w:ascii="Times New Roman" w:hAnsi="Times New Roman" w:eastAsia="仿宋" w:cs="Times New Roman"/>
                <w:b/>
                <w:bCs w:val="0"/>
                <w:color w:val="000000"/>
                <w:sz w:val="28"/>
                <w:szCs w:val="28"/>
              </w:rPr>
            </w:pPr>
            <w:r>
              <w:rPr>
                <w:rFonts w:hint="default" w:ascii="Times New Roman" w:hAnsi="Times New Roman" w:eastAsia="仿宋" w:cs="Times New Roman"/>
                <w:b/>
                <w:bCs w:val="0"/>
                <w:color w:val="000000"/>
                <w:sz w:val="28"/>
                <w:szCs w:val="28"/>
              </w:rPr>
              <w:t>危险</w:t>
            </w:r>
          </w:p>
        </w:tc>
        <w:tc>
          <w:tcPr>
            <w:tcW w:w="2696" w:type="dxa"/>
            <w:tcBorders>
              <w:top w:val="single" w:color="auto" w:sz="4" w:space="0"/>
              <w:left w:val="single" w:color="auto" w:sz="4" w:space="0"/>
              <w:bottom w:val="single" w:color="auto" w:sz="4" w:space="0"/>
              <w:right w:val="single" w:color="auto" w:sz="4" w:space="0"/>
            </w:tcBorders>
            <w:shd w:val="clear" w:color="auto" w:fill="auto"/>
            <w:vAlign w:val="center"/>
          </w:tcPr>
          <w:p w14:paraId="2A730968">
            <w:pPr>
              <w:spacing w:line="520" w:lineRule="exact"/>
              <w:jc w:val="both"/>
              <w:rPr>
                <w:rFonts w:hint="default" w:ascii="Times New Roman" w:hAnsi="Times New Roman" w:eastAsia="仿宋_GB2312" w:cs="Times New Roman"/>
                <w:b/>
                <w:bCs w:val="0"/>
                <w:sz w:val="28"/>
                <w:szCs w:val="28"/>
              </w:rPr>
            </w:pPr>
            <w:r>
              <w:rPr>
                <w:rFonts w:hint="default" w:ascii="Times New Roman" w:hAnsi="Times New Roman" w:eastAsia="仿宋_GB2312" w:cs="Times New Roman"/>
                <w:b/>
                <w:bCs w:val="0"/>
                <w:sz w:val="28"/>
                <w:szCs w:val="28"/>
              </w:rPr>
              <w:t>可预见的事件序列</w:t>
            </w:r>
          </w:p>
        </w:tc>
        <w:tc>
          <w:tcPr>
            <w:tcW w:w="2536" w:type="dxa"/>
            <w:tcBorders>
              <w:top w:val="single" w:color="auto" w:sz="4" w:space="0"/>
              <w:left w:val="single" w:color="auto" w:sz="4" w:space="0"/>
              <w:bottom w:val="single" w:color="auto" w:sz="4" w:space="0"/>
              <w:right w:val="single" w:color="auto" w:sz="4" w:space="0"/>
            </w:tcBorders>
            <w:shd w:val="clear" w:color="auto" w:fill="auto"/>
            <w:vAlign w:val="center"/>
          </w:tcPr>
          <w:p w14:paraId="4E33CCD3">
            <w:pPr>
              <w:spacing w:line="520" w:lineRule="exact"/>
              <w:ind w:firstLine="562" w:firstLineChars="200"/>
              <w:jc w:val="both"/>
              <w:rPr>
                <w:rFonts w:hint="default" w:ascii="Times New Roman" w:hAnsi="Times New Roman" w:eastAsia="仿宋_GB2312" w:cs="Times New Roman"/>
                <w:b/>
                <w:bCs w:val="0"/>
                <w:color w:val="000000"/>
                <w:sz w:val="28"/>
                <w:szCs w:val="28"/>
                <w:lang w:val="en-US" w:eastAsia="zh-CN"/>
              </w:rPr>
            </w:pPr>
            <w:r>
              <w:rPr>
                <w:rFonts w:hint="default" w:ascii="Times New Roman" w:hAnsi="Times New Roman" w:eastAsia="仿宋_GB2312" w:cs="Times New Roman"/>
                <w:b/>
                <w:bCs w:val="0"/>
                <w:sz w:val="28"/>
                <w:szCs w:val="28"/>
              </w:rPr>
              <w:t>危害</w:t>
            </w:r>
            <w:r>
              <w:rPr>
                <w:rFonts w:hint="default" w:ascii="Times New Roman" w:hAnsi="Times New Roman" w:eastAsia="仿宋_GB2312" w:cs="Times New Roman"/>
                <w:b/>
                <w:bCs w:val="0"/>
                <w:sz w:val="28"/>
                <w:szCs w:val="28"/>
                <w:lang w:val="en-US" w:eastAsia="zh-CN"/>
              </w:rPr>
              <w:t>情况</w:t>
            </w:r>
          </w:p>
        </w:tc>
        <w:tc>
          <w:tcPr>
            <w:tcW w:w="2714" w:type="dxa"/>
            <w:tcBorders>
              <w:top w:val="single" w:color="auto" w:sz="4" w:space="0"/>
              <w:left w:val="single" w:color="auto" w:sz="4" w:space="0"/>
              <w:bottom w:val="single" w:color="auto" w:sz="4" w:space="0"/>
              <w:right w:val="single" w:color="auto" w:sz="4" w:space="0"/>
            </w:tcBorders>
            <w:shd w:val="clear" w:color="auto" w:fill="auto"/>
            <w:vAlign w:val="center"/>
          </w:tcPr>
          <w:p w14:paraId="28FB33C6">
            <w:pPr>
              <w:spacing w:line="520" w:lineRule="exact"/>
              <w:jc w:val="center"/>
              <w:rPr>
                <w:rFonts w:hint="default" w:ascii="Times New Roman" w:hAnsi="Times New Roman" w:eastAsia="仿宋" w:cs="Times New Roman"/>
                <w:b/>
                <w:bCs w:val="0"/>
                <w:color w:val="000000"/>
                <w:sz w:val="28"/>
                <w:szCs w:val="28"/>
                <w:lang w:val="en-US" w:eastAsia="zh-CN"/>
              </w:rPr>
            </w:pPr>
            <w:r>
              <w:rPr>
                <w:rFonts w:hint="default" w:ascii="Times New Roman" w:hAnsi="Times New Roman" w:eastAsia="仿宋_GB2312" w:cs="Times New Roman"/>
                <w:b/>
                <w:bCs w:val="0"/>
                <w:sz w:val="28"/>
                <w:szCs w:val="28"/>
                <w:lang w:val="en-US" w:eastAsia="zh-CN"/>
              </w:rPr>
              <w:t>伤害</w:t>
            </w:r>
          </w:p>
        </w:tc>
      </w:tr>
      <w:tr w14:paraId="776DA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903" w:type="dxa"/>
            <w:vMerge w:val="restart"/>
            <w:tcBorders>
              <w:top w:val="nil"/>
              <w:left w:val="single" w:color="auto" w:sz="4" w:space="0"/>
              <w:right w:val="single" w:color="auto" w:sz="4" w:space="0"/>
            </w:tcBorders>
            <w:shd w:val="clear" w:color="auto" w:fill="auto"/>
            <w:vAlign w:val="center"/>
          </w:tcPr>
          <w:p w14:paraId="4983939C">
            <w:pPr>
              <w:spacing w:line="520" w:lineRule="exact"/>
              <w:jc w:val="both"/>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生物</w:t>
            </w:r>
            <w:r>
              <w:rPr>
                <w:rFonts w:hint="default" w:ascii="Times New Roman" w:hAnsi="Times New Roman" w:eastAsia="仿宋_GB2312" w:cs="Times New Roman"/>
                <w:b w:val="0"/>
                <w:bCs/>
                <w:sz w:val="28"/>
                <w:szCs w:val="28"/>
                <w:lang w:val="en-US" w:eastAsia="zh-CN"/>
              </w:rPr>
              <w:t>学</w:t>
            </w:r>
            <w:r>
              <w:rPr>
                <w:rFonts w:hint="default" w:ascii="Times New Roman" w:hAnsi="Times New Roman" w:eastAsia="仿宋_GB2312" w:cs="Times New Roman"/>
                <w:b w:val="0"/>
                <w:bCs/>
                <w:sz w:val="28"/>
                <w:szCs w:val="28"/>
              </w:rPr>
              <w:t>和化学危险</w:t>
            </w:r>
          </w:p>
        </w:tc>
        <w:tc>
          <w:tcPr>
            <w:tcW w:w="2696" w:type="dxa"/>
            <w:tcBorders>
              <w:top w:val="single" w:color="auto" w:sz="4" w:space="0"/>
              <w:left w:val="single" w:color="auto" w:sz="4" w:space="0"/>
              <w:bottom w:val="single" w:color="auto" w:sz="4" w:space="0"/>
              <w:right w:val="single" w:color="auto" w:sz="4" w:space="0"/>
            </w:tcBorders>
            <w:shd w:val="clear" w:color="auto" w:fill="auto"/>
          </w:tcPr>
          <w:p w14:paraId="695F4FB5">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产品原材料及初包装材料不具有良好的生物相容性</w:t>
            </w:r>
            <w:r>
              <w:rPr>
                <w:rFonts w:hint="default" w:ascii="Times New Roman" w:hAnsi="Times New Roman" w:eastAsia="仿宋_GB2312" w:cs="Times New Roman"/>
                <w:b w:val="0"/>
                <w:bCs/>
                <w:sz w:val="28"/>
                <w:szCs w:val="28"/>
                <w:lang w:eastAsia="zh-CN"/>
              </w:rPr>
              <w:t>。</w:t>
            </w:r>
          </w:p>
        </w:tc>
        <w:tc>
          <w:tcPr>
            <w:tcW w:w="2536" w:type="dxa"/>
            <w:tcBorders>
              <w:top w:val="single" w:color="auto" w:sz="4" w:space="0"/>
              <w:left w:val="single" w:color="auto" w:sz="4" w:space="0"/>
              <w:bottom w:val="single" w:color="auto" w:sz="4" w:space="0"/>
              <w:right w:val="single" w:color="auto" w:sz="4" w:space="0"/>
            </w:tcBorders>
            <w:shd w:val="clear" w:color="auto" w:fill="auto"/>
          </w:tcPr>
          <w:p w14:paraId="45E3A9D9">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生物相容性差的材料接触患者</w:t>
            </w:r>
            <w:r>
              <w:rPr>
                <w:rFonts w:hint="default" w:ascii="Times New Roman" w:hAnsi="Times New Roman" w:eastAsia="仿宋_GB2312" w:cs="Times New Roman"/>
                <w:b w:val="0"/>
                <w:bCs/>
                <w:sz w:val="28"/>
                <w:szCs w:val="28"/>
                <w:lang w:eastAsia="zh-CN"/>
              </w:rPr>
              <w:t>。</w:t>
            </w:r>
          </w:p>
        </w:tc>
        <w:tc>
          <w:tcPr>
            <w:tcW w:w="2714" w:type="dxa"/>
            <w:tcBorders>
              <w:top w:val="single" w:color="auto" w:sz="4" w:space="0"/>
              <w:left w:val="single" w:color="auto" w:sz="4" w:space="0"/>
              <w:bottom w:val="single" w:color="auto" w:sz="4" w:space="0"/>
              <w:right w:val="single" w:color="auto" w:sz="4" w:space="0"/>
            </w:tcBorders>
            <w:shd w:val="clear" w:color="auto" w:fill="auto"/>
          </w:tcPr>
          <w:p w14:paraId="6B5F3F96">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出现血栓、溶血、凝血功能障碍、局部炎症反应等症状，引起人体组织和血液的生物学反应，危害患者健康，严重时危及</w:t>
            </w:r>
            <w:r>
              <w:rPr>
                <w:rFonts w:hint="default" w:ascii="Times New Roman" w:hAnsi="Times New Roman" w:eastAsia="仿宋_GB2312" w:cs="Times New Roman"/>
                <w:b w:val="0"/>
                <w:bCs/>
                <w:sz w:val="28"/>
                <w:szCs w:val="28"/>
              </w:rPr>
              <w:t>生命</w:t>
            </w:r>
            <w:r>
              <w:rPr>
                <w:rFonts w:hint="default" w:ascii="Times New Roman" w:hAnsi="Times New Roman" w:eastAsia="仿宋_GB2312" w:cs="Times New Roman"/>
                <w:b w:val="0"/>
                <w:bCs/>
                <w:sz w:val="28"/>
                <w:szCs w:val="28"/>
                <w:lang w:eastAsia="zh-CN"/>
              </w:rPr>
              <w:t>。</w:t>
            </w:r>
          </w:p>
        </w:tc>
      </w:tr>
      <w:tr w14:paraId="6E3EF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1" w:hRule="atLeast"/>
          <w:jc w:val="center"/>
        </w:trPr>
        <w:tc>
          <w:tcPr>
            <w:tcW w:w="903" w:type="dxa"/>
            <w:vMerge w:val="continue"/>
            <w:tcBorders>
              <w:left w:val="single" w:color="auto" w:sz="4" w:space="0"/>
              <w:right w:val="single" w:color="auto" w:sz="4" w:space="0"/>
            </w:tcBorders>
            <w:shd w:val="clear" w:color="auto" w:fill="auto"/>
            <w:vAlign w:val="center"/>
          </w:tcPr>
          <w:p w14:paraId="7DCFC7F1">
            <w:pPr>
              <w:spacing w:line="520" w:lineRule="exact"/>
              <w:ind w:firstLine="560" w:firstLineChars="200"/>
              <w:jc w:val="center"/>
              <w:rPr>
                <w:rFonts w:hint="default" w:ascii="Times New Roman" w:hAnsi="Times New Roman" w:eastAsia="仿宋_GB2312" w:cs="Times New Roman"/>
                <w:b w:val="0"/>
                <w:bCs/>
                <w:sz w:val="28"/>
                <w:szCs w:val="28"/>
              </w:rPr>
            </w:pPr>
          </w:p>
        </w:tc>
        <w:tc>
          <w:tcPr>
            <w:tcW w:w="2696" w:type="dxa"/>
            <w:tcBorders>
              <w:top w:val="single" w:color="auto" w:sz="4" w:space="0"/>
              <w:left w:val="single" w:color="auto" w:sz="4" w:space="0"/>
              <w:bottom w:val="single" w:color="auto" w:sz="4" w:space="0"/>
              <w:right w:val="single" w:color="auto" w:sz="4" w:space="0"/>
            </w:tcBorders>
            <w:shd w:val="clear" w:color="auto" w:fill="auto"/>
          </w:tcPr>
          <w:p w14:paraId="70B5A2F5">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生产过程中原材料、包装材料等受到微生物污染，导致产品菌落超标，产品灭菌不彻底</w:t>
            </w:r>
            <w:r>
              <w:rPr>
                <w:rFonts w:hint="default" w:ascii="Times New Roman" w:hAnsi="Times New Roman" w:eastAsia="仿宋_GB2312" w:cs="Times New Roman"/>
                <w:b w:val="0"/>
                <w:bCs/>
                <w:sz w:val="28"/>
                <w:szCs w:val="28"/>
                <w:lang w:eastAsia="zh-CN"/>
              </w:rPr>
              <w:t>。</w:t>
            </w:r>
          </w:p>
        </w:tc>
        <w:tc>
          <w:tcPr>
            <w:tcW w:w="2536" w:type="dxa"/>
            <w:tcBorders>
              <w:top w:val="single" w:color="auto" w:sz="4" w:space="0"/>
              <w:left w:val="single" w:color="auto" w:sz="4" w:space="0"/>
              <w:bottom w:val="single" w:color="auto" w:sz="4" w:space="0"/>
              <w:right w:val="single" w:color="auto" w:sz="4" w:space="0"/>
            </w:tcBorders>
            <w:shd w:val="clear" w:color="auto" w:fill="auto"/>
          </w:tcPr>
          <w:p w14:paraId="23E6213A">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受微生物污染的器械应用于人体</w:t>
            </w:r>
            <w:r>
              <w:rPr>
                <w:rFonts w:hint="default" w:ascii="Times New Roman" w:hAnsi="Times New Roman" w:eastAsia="仿宋_GB2312" w:cs="Times New Roman"/>
                <w:b w:val="0"/>
                <w:bCs/>
                <w:sz w:val="28"/>
                <w:szCs w:val="28"/>
                <w:lang w:eastAsia="zh-CN"/>
              </w:rPr>
              <w:t>。</w:t>
            </w:r>
          </w:p>
        </w:tc>
        <w:tc>
          <w:tcPr>
            <w:tcW w:w="2714" w:type="dxa"/>
            <w:tcBorders>
              <w:top w:val="single" w:color="auto" w:sz="4" w:space="0"/>
              <w:left w:val="single" w:color="auto" w:sz="4" w:space="0"/>
              <w:bottom w:val="single" w:color="auto" w:sz="4" w:space="0"/>
              <w:right w:val="single" w:color="auto" w:sz="4" w:space="0"/>
            </w:tcBorders>
            <w:shd w:val="clear" w:color="auto" w:fill="auto"/>
          </w:tcPr>
          <w:p w14:paraId="7B75592F">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患者被感染，严重时导致发热、局部炎症反应、休克</w:t>
            </w:r>
            <w:r>
              <w:rPr>
                <w:rFonts w:hint="default" w:ascii="Times New Roman" w:hAnsi="Times New Roman" w:eastAsia="仿宋_GB2312" w:cs="Times New Roman"/>
                <w:b w:val="0"/>
                <w:bCs/>
                <w:sz w:val="28"/>
                <w:szCs w:val="28"/>
                <w:lang w:eastAsia="zh-CN"/>
              </w:rPr>
              <w:t>。</w:t>
            </w:r>
          </w:p>
        </w:tc>
      </w:tr>
      <w:tr w14:paraId="0F353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903" w:type="dxa"/>
            <w:vMerge w:val="continue"/>
            <w:tcBorders>
              <w:left w:val="single" w:color="auto" w:sz="4" w:space="0"/>
              <w:right w:val="single" w:color="auto" w:sz="4" w:space="0"/>
            </w:tcBorders>
            <w:shd w:val="clear" w:color="auto" w:fill="auto"/>
            <w:vAlign w:val="center"/>
          </w:tcPr>
          <w:p w14:paraId="45F34F5B">
            <w:pPr>
              <w:spacing w:line="520" w:lineRule="exact"/>
              <w:ind w:firstLine="560" w:firstLineChars="200"/>
              <w:jc w:val="center"/>
              <w:rPr>
                <w:rFonts w:hint="default" w:ascii="Times New Roman" w:hAnsi="Times New Roman" w:eastAsia="仿宋_GB2312" w:cs="Times New Roman"/>
                <w:b w:val="0"/>
                <w:bCs/>
                <w:sz w:val="28"/>
                <w:szCs w:val="28"/>
              </w:rPr>
            </w:pPr>
          </w:p>
        </w:tc>
        <w:tc>
          <w:tcPr>
            <w:tcW w:w="2696" w:type="dxa"/>
            <w:tcBorders>
              <w:top w:val="single" w:color="auto" w:sz="4" w:space="0"/>
              <w:left w:val="single" w:color="auto" w:sz="4" w:space="0"/>
              <w:bottom w:val="single" w:color="auto" w:sz="4" w:space="0"/>
              <w:right w:val="single" w:color="auto" w:sz="4" w:space="0"/>
            </w:tcBorders>
            <w:shd w:val="clear" w:color="auto" w:fill="auto"/>
          </w:tcPr>
          <w:p w14:paraId="4E3162D9">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生产环境的微生物超标，导致灭菌不彻底，产品带菌</w:t>
            </w:r>
            <w:r>
              <w:rPr>
                <w:rFonts w:hint="default" w:ascii="Times New Roman" w:hAnsi="Times New Roman" w:eastAsia="仿宋_GB2312" w:cs="Times New Roman"/>
                <w:b w:val="0"/>
                <w:bCs/>
                <w:sz w:val="28"/>
                <w:szCs w:val="28"/>
                <w:lang w:eastAsia="zh-CN"/>
              </w:rPr>
              <w:t>。</w:t>
            </w:r>
          </w:p>
        </w:tc>
        <w:tc>
          <w:tcPr>
            <w:tcW w:w="2536" w:type="dxa"/>
            <w:tcBorders>
              <w:top w:val="single" w:color="auto" w:sz="4" w:space="0"/>
              <w:left w:val="single" w:color="auto" w:sz="4" w:space="0"/>
              <w:bottom w:val="single" w:color="auto" w:sz="4" w:space="0"/>
              <w:right w:val="single" w:color="auto" w:sz="4" w:space="0"/>
            </w:tcBorders>
            <w:shd w:val="clear" w:color="auto" w:fill="auto"/>
          </w:tcPr>
          <w:p w14:paraId="71C5EBB1">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受微生物污染的器械应用于人体</w:t>
            </w:r>
            <w:r>
              <w:rPr>
                <w:rFonts w:hint="default" w:ascii="Times New Roman" w:hAnsi="Times New Roman" w:eastAsia="仿宋_GB2312" w:cs="Times New Roman"/>
                <w:b w:val="0"/>
                <w:bCs/>
                <w:sz w:val="28"/>
                <w:szCs w:val="28"/>
                <w:lang w:eastAsia="zh-CN"/>
              </w:rPr>
              <w:t>。</w:t>
            </w:r>
          </w:p>
        </w:tc>
        <w:tc>
          <w:tcPr>
            <w:tcW w:w="2714" w:type="dxa"/>
            <w:tcBorders>
              <w:top w:val="single" w:color="auto" w:sz="4" w:space="0"/>
              <w:left w:val="single" w:color="auto" w:sz="4" w:space="0"/>
              <w:bottom w:val="single" w:color="auto" w:sz="4" w:space="0"/>
              <w:right w:val="single" w:color="auto" w:sz="4" w:space="0"/>
            </w:tcBorders>
            <w:shd w:val="clear" w:color="auto" w:fill="auto"/>
          </w:tcPr>
          <w:p w14:paraId="6C42FE10">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患者被感染，严重时导致发热、局部炎症反应、休克</w:t>
            </w:r>
            <w:r>
              <w:rPr>
                <w:rFonts w:hint="default" w:ascii="Times New Roman" w:hAnsi="Times New Roman" w:eastAsia="仿宋_GB2312" w:cs="Times New Roman"/>
                <w:b w:val="0"/>
                <w:bCs/>
                <w:sz w:val="28"/>
                <w:szCs w:val="28"/>
                <w:lang w:eastAsia="zh-CN"/>
              </w:rPr>
              <w:t>。</w:t>
            </w:r>
          </w:p>
        </w:tc>
      </w:tr>
      <w:tr w14:paraId="1221B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903" w:type="dxa"/>
            <w:vMerge w:val="continue"/>
            <w:tcBorders>
              <w:left w:val="single" w:color="auto" w:sz="4" w:space="0"/>
              <w:right w:val="single" w:color="auto" w:sz="4" w:space="0"/>
            </w:tcBorders>
            <w:shd w:val="clear" w:color="auto" w:fill="auto"/>
            <w:vAlign w:val="center"/>
          </w:tcPr>
          <w:p w14:paraId="6947162E">
            <w:pPr>
              <w:spacing w:line="520" w:lineRule="exact"/>
              <w:ind w:firstLine="560" w:firstLineChars="200"/>
              <w:jc w:val="center"/>
              <w:rPr>
                <w:rFonts w:hint="default" w:ascii="Times New Roman" w:hAnsi="Times New Roman" w:eastAsia="仿宋_GB2312" w:cs="Times New Roman"/>
                <w:b w:val="0"/>
                <w:bCs/>
                <w:sz w:val="28"/>
                <w:szCs w:val="28"/>
              </w:rPr>
            </w:pPr>
          </w:p>
        </w:tc>
        <w:tc>
          <w:tcPr>
            <w:tcW w:w="2696" w:type="dxa"/>
            <w:tcBorders>
              <w:top w:val="single" w:color="auto" w:sz="4" w:space="0"/>
              <w:left w:val="single" w:color="auto" w:sz="4" w:space="0"/>
              <w:bottom w:val="single" w:color="auto" w:sz="4" w:space="0"/>
              <w:right w:val="single" w:color="auto" w:sz="4" w:space="0"/>
            </w:tcBorders>
            <w:shd w:val="clear" w:color="auto" w:fill="auto"/>
          </w:tcPr>
          <w:p w14:paraId="62BF6D06">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包装材料不适合所用的灭菌方式，灭菌后包装材料完整性被破坏</w:t>
            </w:r>
            <w:r>
              <w:rPr>
                <w:rFonts w:hint="default" w:ascii="Times New Roman" w:hAnsi="Times New Roman" w:eastAsia="仿宋_GB2312" w:cs="Times New Roman"/>
                <w:b w:val="0"/>
                <w:bCs/>
                <w:sz w:val="28"/>
                <w:szCs w:val="28"/>
                <w:lang w:eastAsia="zh-CN"/>
              </w:rPr>
              <w:t>。</w:t>
            </w:r>
          </w:p>
        </w:tc>
        <w:tc>
          <w:tcPr>
            <w:tcW w:w="2536" w:type="dxa"/>
            <w:tcBorders>
              <w:top w:val="single" w:color="auto" w:sz="4" w:space="0"/>
              <w:left w:val="single" w:color="auto" w:sz="4" w:space="0"/>
              <w:bottom w:val="single" w:color="auto" w:sz="4" w:space="0"/>
              <w:right w:val="single" w:color="auto" w:sz="4" w:space="0"/>
            </w:tcBorders>
            <w:shd w:val="clear" w:color="auto" w:fill="auto"/>
          </w:tcPr>
          <w:p w14:paraId="5646D340">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受微生物污染的器械应用于人体</w:t>
            </w:r>
            <w:r>
              <w:rPr>
                <w:rFonts w:hint="default" w:ascii="Times New Roman" w:hAnsi="Times New Roman" w:eastAsia="仿宋_GB2312" w:cs="Times New Roman"/>
                <w:b w:val="0"/>
                <w:bCs/>
                <w:sz w:val="28"/>
                <w:szCs w:val="28"/>
                <w:lang w:eastAsia="zh-CN"/>
              </w:rPr>
              <w:t>。</w:t>
            </w:r>
          </w:p>
        </w:tc>
        <w:tc>
          <w:tcPr>
            <w:tcW w:w="2714" w:type="dxa"/>
            <w:tcBorders>
              <w:top w:val="single" w:color="auto" w:sz="4" w:space="0"/>
              <w:left w:val="single" w:color="auto" w:sz="4" w:space="0"/>
              <w:bottom w:val="single" w:color="auto" w:sz="4" w:space="0"/>
              <w:right w:val="single" w:color="auto" w:sz="4" w:space="0"/>
            </w:tcBorders>
            <w:shd w:val="clear" w:color="auto" w:fill="auto"/>
          </w:tcPr>
          <w:p w14:paraId="23F36E1D">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患者被感染，严重时导致发热、局部炎症反应、休克</w:t>
            </w:r>
            <w:r>
              <w:rPr>
                <w:rFonts w:hint="default" w:ascii="Times New Roman" w:hAnsi="Times New Roman" w:eastAsia="仿宋_GB2312" w:cs="Times New Roman"/>
                <w:b w:val="0"/>
                <w:bCs/>
                <w:sz w:val="28"/>
                <w:szCs w:val="28"/>
                <w:lang w:eastAsia="zh-CN"/>
              </w:rPr>
              <w:t>。</w:t>
            </w:r>
          </w:p>
        </w:tc>
      </w:tr>
      <w:tr w14:paraId="2148E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903" w:type="dxa"/>
            <w:vMerge w:val="continue"/>
            <w:tcBorders>
              <w:left w:val="single" w:color="auto" w:sz="4" w:space="0"/>
              <w:right w:val="single" w:color="auto" w:sz="4" w:space="0"/>
            </w:tcBorders>
            <w:shd w:val="clear" w:color="auto" w:fill="auto"/>
            <w:vAlign w:val="center"/>
          </w:tcPr>
          <w:p w14:paraId="5ECA154D">
            <w:pPr>
              <w:spacing w:line="520" w:lineRule="exact"/>
              <w:ind w:firstLine="560" w:firstLineChars="200"/>
              <w:jc w:val="center"/>
              <w:rPr>
                <w:rFonts w:hint="default" w:ascii="Times New Roman" w:hAnsi="Times New Roman" w:eastAsia="仿宋_GB2312" w:cs="Times New Roman"/>
                <w:b w:val="0"/>
                <w:bCs/>
                <w:sz w:val="28"/>
                <w:szCs w:val="28"/>
              </w:rPr>
            </w:pPr>
          </w:p>
        </w:tc>
        <w:tc>
          <w:tcPr>
            <w:tcW w:w="2696" w:type="dxa"/>
            <w:tcBorders>
              <w:top w:val="single" w:color="auto" w:sz="4" w:space="0"/>
              <w:left w:val="single" w:color="auto" w:sz="4" w:space="0"/>
              <w:bottom w:val="single" w:color="auto" w:sz="4" w:space="0"/>
              <w:right w:val="single" w:color="auto" w:sz="4" w:space="0"/>
            </w:tcBorders>
            <w:shd w:val="clear" w:color="auto" w:fill="auto"/>
          </w:tcPr>
          <w:p w14:paraId="6E3C3495">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产品未灭菌，或未按已确定的工艺实施灭菌，导致产品无菌性能不合格</w:t>
            </w:r>
            <w:r>
              <w:rPr>
                <w:rFonts w:hint="default" w:ascii="Times New Roman" w:hAnsi="Times New Roman" w:eastAsia="仿宋_GB2312" w:cs="Times New Roman"/>
                <w:b w:val="0"/>
                <w:bCs/>
                <w:sz w:val="28"/>
                <w:szCs w:val="28"/>
                <w:lang w:eastAsia="zh-CN"/>
              </w:rPr>
              <w:t>。</w:t>
            </w:r>
          </w:p>
        </w:tc>
        <w:tc>
          <w:tcPr>
            <w:tcW w:w="2536" w:type="dxa"/>
            <w:tcBorders>
              <w:top w:val="single" w:color="auto" w:sz="4" w:space="0"/>
              <w:left w:val="single" w:color="auto" w:sz="4" w:space="0"/>
              <w:bottom w:val="single" w:color="auto" w:sz="4" w:space="0"/>
              <w:right w:val="single" w:color="auto" w:sz="4" w:space="0"/>
            </w:tcBorders>
            <w:shd w:val="clear" w:color="auto" w:fill="auto"/>
          </w:tcPr>
          <w:p w14:paraId="087D84B2">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受微生物污染的器械应用于人体</w:t>
            </w:r>
            <w:r>
              <w:rPr>
                <w:rFonts w:hint="default" w:ascii="Times New Roman" w:hAnsi="Times New Roman" w:eastAsia="仿宋_GB2312" w:cs="Times New Roman"/>
                <w:b w:val="0"/>
                <w:bCs/>
                <w:sz w:val="28"/>
                <w:szCs w:val="28"/>
                <w:lang w:eastAsia="zh-CN"/>
              </w:rPr>
              <w:t>。</w:t>
            </w:r>
          </w:p>
        </w:tc>
        <w:tc>
          <w:tcPr>
            <w:tcW w:w="2714" w:type="dxa"/>
            <w:tcBorders>
              <w:top w:val="single" w:color="auto" w:sz="4" w:space="0"/>
              <w:left w:val="single" w:color="auto" w:sz="4" w:space="0"/>
              <w:bottom w:val="single" w:color="auto" w:sz="4" w:space="0"/>
              <w:right w:val="single" w:color="auto" w:sz="4" w:space="0"/>
            </w:tcBorders>
            <w:shd w:val="clear" w:color="auto" w:fill="auto"/>
          </w:tcPr>
          <w:p w14:paraId="66A7C46E">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患者被感染，严重时导致发热、局部炎症反应、休克</w:t>
            </w:r>
            <w:r>
              <w:rPr>
                <w:rFonts w:hint="default" w:ascii="Times New Roman" w:hAnsi="Times New Roman" w:eastAsia="仿宋_GB2312" w:cs="Times New Roman"/>
                <w:b w:val="0"/>
                <w:bCs/>
                <w:sz w:val="28"/>
                <w:szCs w:val="28"/>
                <w:lang w:eastAsia="zh-CN"/>
              </w:rPr>
              <w:t>。</w:t>
            </w:r>
          </w:p>
        </w:tc>
      </w:tr>
      <w:tr w14:paraId="0D6AB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903" w:type="dxa"/>
            <w:vMerge w:val="continue"/>
            <w:tcBorders>
              <w:left w:val="single" w:color="auto" w:sz="4" w:space="0"/>
              <w:right w:val="single" w:color="auto" w:sz="4" w:space="0"/>
            </w:tcBorders>
            <w:shd w:val="clear" w:color="auto" w:fill="auto"/>
            <w:vAlign w:val="center"/>
          </w:tcPr>
          <w:p w14:paraId="15DDE942">
            <w:pPr>
              <w:spacing w:line="520" w:lineRule="exact"/>
              <w:ind w:firstLine="560" w:firstLineChars="200"/>
              <w:jc w:val="center"/>
              <w:rPr>
                <w:rFonts w:hint="default" w:ascii="Times New Roman" w:hAnsi="Times New Roman" w:eastAsia="仿宋_GB2312" w:cs="Times New Roman"/>
                <w:b w:val="0"/>
                <w:bCs/>
                <w:sz w:val="28"/>
                <w:szCs w:val="28"/>
              </w:rPr>
            </w:pPr>
          </w:p>
        </w:tc>
        <w:tc>
          <w:tcPr>
            <w:tcW w:w="2696" w:type="dxa"/>
            <w:tcBorders>
              <w:top w:val="single" w:color="auto" w:sz="4" w:space="0"/>
              <w:left w:val="single" w:color="auto" w:sz="4" w:space="0"/>
              <w:bottom w:val="single" w:color="auto" w:sz="4" w:space="0"/>
              <w:right w:val="single" w:color="auto" w:sz="4" w:space="0"/>
            </w:tcBorders>
            <w:shd w:val="clear" w:color="auto" w:fill="auto"/>
          </w:tcPr>
          <w:p w14:paraId="2F6B036E">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对环氧乙烷残留量的控制未确认，或未能按确认的结果实施控制，解析不充分，致使环氧乙烷残留量超标</w:t>
            </w:r>
            <w:r>
              <w:rPr>
                <w:rFonts w:hint="default" w:ascii="Times New Roman" w:hAnsi="Times New Roman" w:eastAsia="仿宋_GB2312" w:cs="Times New Roman"/>
                <w:b w:val="0"/>
                <w:bCs/>
                <w:sz w:val="28"/>
                <w:szCs w:val="28"/>
                <w:lang w:eastAsia="zh-CN"/>
              </w:rPr>
              <w:t>。</w:t>
            </w:r>
          </w:p>
        </w:tc>
        <w:tc>
          <w:tcPr>
            <w:tcW w:w="2536" w:type="dxa"/>
            <w:tcBorders>
              <w:top w:val="single" w:color="auto" w:sz="4" w:space="0"/>
              <w:left w:val="single" w:color="auto" w:sz="4" w:space="0"/>
              <w:bottom w:val="single" w:color="auto" w:sz="4" w:space="0"/>
              <w:right w:val="single" w:color="auto" w:sz="4" w:space="0"/>
            </w:tcBorders>
            <w:shd w:val="clear" w:color="auto" w:fill="auto"/>
          </w:tcPr>
          <w:p w14:paraId="51C79EE2">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超限量的环氧乙烷输入人体</w:t>
            </w:r>
            <w:r>
              <w:rPr>
                <w:rFonts w:hint="default" w:ascii="Times New Roman" w:hAnsi="Times New Roman" w:eastAsia="仿宋_GB2312" w:cs="Times New Roman"/>
                <w:b w:val="0"/>
                <w:bCs/>
                <w:sz w:val="28"/>
                <w:szCs w:val="28"/>
                <w:lang w:eastAsia="zh-CN"/>
              </w:rPr>
              <w:t>。</w:t>
            </w:r>
          </w:p>
        </w:tc>
        <w:tc>
          <w:tcPr>
            <w:tcW w:w="2714" w:type="dxa"/>
            <w:tcBorders>
              <w:top w:val="single" w:color="auto" w:sz="4" w:space="0"/>
              <w:left w:val="single" w:color="auto" w:sz="4" w:space="0"/>
              <w:bottom w:val="single" w:color="auto" w:sz="4" w:space="0"/>
              <w:right w:val="single" w:color="auto" w:sz="4" w:space="0"/>
            </w:tcBorders>
            <w:shd w:val="clear" w:color="auto" w:fill="auto"/>
          </w:tcPr>
          <w:p w14:paraId="575DC2B6">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产生毒性或刺激</w:t>
            </w:r>
            <w:r>
              <w:rPr>
                <w:rFonts w:hint="default" w:ascii="Times New Roman" w:hAnsi="Times New Roman" w:eastAsia="仿宋_GB2312" w:cs="Times New Roman"/>
                <w:b w:val="0"/>
                <w:bCs/>
                <w:sz w:val="28"/>
                <w:szCs w:val="28"/>
                <w:lang w:eastAsia="zh-CN"/>
              </w:rPr>
              <w:t>。</w:t>
            </w:r>
          </w:p>
        </w:tc>
      </w:tr>
      <w:tr w14:paraId="04034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903" w:type="dxa"/>
            <w:vMerge w:val="continue"/>
            <w:tcBorders>
              <w:left w:val="single" w:color="auto" w:sz="4" w:space="0"/>
              <w:right w:val="single" w:color="auto" w:sz="4" w:space="0"/>
            </w:tcBorders>
            <w:shd w:val="clear" w:color="auto" w:fill="auto"/>
            <w:vAlign w:val="center"/>
          </w:tcPr>
          <w:p w14:paraId="482BE3A8">
            <w:pPr>
              <w:spacing w:line="520" w:lineRule="exact"/>
              <w:jc w:val="both"/>
              <w:rPr>
                <w:rFonts w:hint="default" w:ascii="Times New Roman" w:hAnsi="Times New Roman" w:eastAsia="仿宋_GB2312" w:cs="Times New Roman"/>
                <w:b w:val="0"/>
                <w:bCs/>
                <w:sz w:val="28"/>
                <w:szCs w:val="28"/>
              </w:rPr>
            </w:pPr>
          </w:p>
        </w:tc>
        <w:tc>
          <w:tcPr>
            <w:tcW w:w="2696" w:type="dxa"/>
            <w:tcBorders>
              <w:top w:val="single" w:color="auto" w:sz="4" w:space="0"/>
              <w:left w:val="single" w:color="auto" w:sz="4" w:space="0"/>
              <w:bottom w:val="single" w:color="auto" w:sz="4" w:space="0"/>
              <w:right w:val="single" w:color="auto" w:sz="4" w:space="0"/>
            </w:tcBorders>
            <w:shd w:val="clear" w:color="auto" w:fill="auto"/>
          </w:tcPr>
          <w:p w14:paraId="5C0AA8E1">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未按照工艺要求配料，添加剂或助剂使用比例不正确</w:t>
            </w:r>
            <w:r>
              <w:rPr>
                <w:rFonts w:hint="default" w:ascii="Times New Roman" w:hAnsi="Times New Roman" w:eastAsia="仿宋_GB2312" w:cs="Times New Roman"/>
                <w:b w:val="0"/>
                <w:bCs/>
                <w:sz w:val="28"/>
                <w:szCs w:val="28"/>
                <w:lang w:eastAsia="zh-CN"/>
              </w:rPr>
              <w:t>。</w:t>
            </w:r>
          </w:p>
        </w:tc>
        <w:tc>
          <w:tcPr>
            <w:tcW w:w="2536" w:type="dxa"/>
            <w:tcBorders>
              <w:top w:val="single" w:color="auto" w:sz="4" w:space="0"/>
              <w:left w:val="single" w:color="auto" w:sz="4" w:space="0"/>
              <w:bottom w:val="single" w:color="auto" w:sz="4" w:space="0"/>
              <w:right w:val="single" w:color="auto" w:sz="4" w:space="0"/>
            </w:tcBorders>
            <w:shd w:val="clear" w:color="auto" w:fill="auto"/>
          </w:tcPr>
          <w:p w14:paraId="45A3E84D">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化学残留物超标的产品使用于人体</w:t>
            </w:r>
            <w:r>
              <w:rPr>
                <w:rFonts w:hint="default" w:ascii="Times New Roman" w:hAnsi="Times New Roman" w:eastAsia="仿宋_GB2312" w:cs="Times New Roman"/>
                <w:b w:val="0"/>
                <w:bCs/>
                <w:sz w:val="28"/>
                <w:szCs w:val="28"/>
                <w:lang w:eastAsia="zh-CN"/>
              </w:rPr>
              <w:t>。</w:t>
            </w:r>
          </w:p>
        </w:tc>
        <w:tc>
          <w:tcPr>
            <w:tcW w:w="2714" w:type="dxa"/>
            <w:tcBorders>
              <w:top w:val="single" w:color="auto" w:sz="4" w:space="0"/>
              <w:left w:val="single" w:color="auto" w:sz="4" w:space="0"/>
              <w:bottom w:val="single" w:color="auto" w:sz="4" w:space="0"/>
              <w:right w:val="single" w:color="auto" w:sz="4" w:space="0"/>
            </w:tcBorders>
            <w:shd w:val="clear" w:color="auto" w:fill="auto"/>
          </w:tcPr>
          <w:p w14:paraId="3A37AE84">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产生毒性或刺激</w:t>
            </w:r>
            <w:r>
              <w:rPr>
                <w:rFonts w:hint="default" w:ascii="Times New Roman" w:hAnsi="Times New Roman" w:eastAsia="仿宋_GB2312" w:cs="Times New Roman"/>
                <w:b w:val="0"/>
                <w:bCs/>
                <w:sz w:val="28"/>
                <w:szCs w:val="28"/>
                <w:lang w:eastAsia="zh-CN"/>
              </w:rPr>
              <w:t>。</w:t>
            </w:r>
          </w:p>
        </w:tc>
      </w:tr>
      <w:tr w14:paraId="6E0C6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903" w:type="dxa"/>
            <w:vMerge w:val="continue"/>
            <w:tcBorders>
              <w:left w:val="single" w:color="auto" w:sz="4" w:space="0"/>
              <w:right w:val="single" w:color="auto" w:sz="4" w:space="0"/>
            </w:tcBorders>
            <w:shd w:val="clear" w:color="auto" w:fill="auto"/>
            <w:vAlign w:val="center"/>
          </w:tcPr>
          <w:p w14:paraId="12EA6F35">
            <w:pPr>
              <w:spacing w:line="520" w:lineRule="exact"/>
              <w:jc w:val="both"/>
              <w:rPr>
                <w:rFonts w:hint="default" w:ascii="Times New Roman" w:hAnsi="Times New Roman" w:eastAsia="仿宋_GB2312" w:cs="Times New Roman"/>
                <w:b w:val="0"/>
                <w:bCs/>
                <w:sz w:val="28"/>
                <w:szCs w:val="28"/>
              </w:rPr>
            </w:pPr>
          </w:p>
        </w:tc>
        <w:tc>
          <w:tcPr>
            <w:tcW w:w="2696" w:type="dxa"/>
            <w:tcBorders>
              <w:top w:val="single" w:color="auto" w:sz="4" w:space="0"/>
              <w:left w:val="single" w:color="auto" w:sz="4" w:space="0"/>
              <w:bottom w:val="single" w:color="auto" w:sz="4" w:space="0"/>
              <w:right w:val="single" w:color="auto" w:sz="4" w:space="0"/>
            </w:tcBorders>
            <w:shd w:val="clear" w:color="auto" w:fill="auto"/>
          </w:tcPr>
          <w:p w14:paraId="5F26F364">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产品及包装材料中有害物质析出</w:t>
            </w:r>
            <w:r>
              <w:rPr>
                <w:rFonts w:hint="default" w:ascii="Times New Roman" w:hAnsi="Times New Roman" w:eastAsia="仿宋_GB2312" w:cs="Times New Roman"/>
                <w:b w:val="0"/>
                <w:bCs/>
                <w:sz w:val="28"/>
                <w:szCs w:val="28"/>
                <w:lang w:eastAsia="zh-CN"/>
              </w:rPr>
              <w:t>。</w:t>
            </w:r>
          </w:p>
        </w:tc>
        <w:tc>
          <w:tcPr>
            <w:tcW w:w="2536" w:type="dxa"/>
            <w:tcBorders>
              <w:top w:val="single" w:color="auto" w:sz="4" w:space="0"/>
              <w:left w:val="single" w:color="auto" w:sz="4" w:space="0"/>
              <w:bottom w:val="single" w:color="auto" w:sz="4" w:space="0"/>
              <w:right w:val="single" w:color="auto" w:sz="4" w:space="0"/>
            </w:tcBorders>
            <w:shd w:val="clear" w:color="auto" w:fill="auto"/>
          </w:tcPr>
          <w:p w14:paraId="272DB8AD">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含有有害化学物质的产品使用于人体</w:t>
            </w:r>
            <w:r>
              <w:rPr>
                <w:rFonts w:hint="default" w:ascii="Times New Roman" w:hAnsi="Times New Roman" w:eastAsia="仿宋_GB2312" w:cs="Times New Roman"/>
                <w:b w:val="0"/>
                <w:bCs/>
                <w:sz w:val="28"/>
                <w:szCs w:val="28"/>
                <w:lang w:eastAsia="zh-CN"/>
              </w:rPr>
              <w:t>。</w:t>
            </w:r>
          </w:p>
        </w:tc>
        <w:tc>
          <w:tcPr>
            <w:tcW w:w="2714" w:type="dxa"/>
            <w:tcBorders>
              <w:top w:val="single" w:color="auto" w:sz="4" w:space="0"/>
              <w:left w:val="single" w:color="auto" w:sz="4" w:space="0"/>
              <w:bottom w:val="single" w:color="auto" w:sz="4" w:space="0"/>
              <w:right w:val="single" w:color="auto" w:sz="4" w:space="0"/>
            </w:tcBorders>
            <w:shd w:val="clear" w:color="auto" w:fill="auto"/>
          </w:tcPr>
          <w:p w14:paraId="707C4DEF">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产生毒性或刺激</w:t>
            </w:r>
            <w:r>
              <w:rPr>
                <w:rFonts w:hint="default" w:ascii="Times New Roman" w:hAnsi="Times New Roman" w:eastAsia="仿宋_GB2312" w:cs="Times New Roman"/>
                <w:b w:val="0"/>
                <w:bCs/>
                <w:sz w:val="28"/>
                <w:szCs w:val="28"/>
                <w:lang w:eastAsia="zh-CN"/>
              </w:rPr>
              <w:t>。</w:t>
            </w:r>
          </w:p>
        </w:tc>
      </w:tr>
      <w:tr w14:paraId="735A9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903" w:type="dxa"/>
            <w:vMerge w:val="continue"/>
            <w:tcBorders>
              <w:left w:val="single" w:color="auto" w:sz="4" w:space="0"/>
              <w:bottom w:val="single" w:color="auto" w:sz="4" w:space="0"/>
              <w:right w:val="single" w:color="auto" w:sz="4" w:space="0"/>
            </w:tcBorders>
            <w:shd w:val="clear" w:color="auto" w:fill="auto"/>
            <w:vAlign w:val="center"/>
          </w:tcPr>
          <w:p w14:paraId="43925B9F">
            <w:pPr>
              <w:spacing w:line="520" w:lineRule="exact"/>
              <w:jc w:val="both"/>
              <w:rPr>
                <w:rFonts w:hint="default" w:ascii="Times New Roman" w:hAnsi="Times New Roman" w:eastAsia="仿宋_GB2312" w:cs="Times New Roman"/>
                <w:b w:val="0"/>
                <w:bCs/>
                <w:sz w:val="28"/>
                <w:szCs w:val="28"/>
              </w:rPr>
            </w:pPr>
          </w:p>
        </w:tc>
        <w:tc>
          <w:tcPr>
            <w:tcW w:w="2696" w:type="dxa"/>
            <w:tcBorders>
              <w:top w:val="single" w:color="auto" w:sz="4" w:space="0"/>
              <w:left w:val="single" w:color="auto" w:sz="4" w:space="0"/>
              <w:bottom w:val="single" w:color="auto" w:sz="4" w:space="0"/>
              <w:right w:val="single" w:color="auto" w:sz="4" w:space="0"/>
            </w:tcBorders>
            <w:shd w:val="clear" w:color="auto" w:fill="auto"/>
          </w:tcPr>
          <w:p w14:paraId="07545E93">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在标签注明的有效期内，包装材料破损或包装材料老化已不能保持无菌</w:t>
            </w:r>
            <w:r>
              <w:rPr>
                <w:rFonts w:hint="default" w:ascii="Times New Roman" w:hAnsi="Times New Roman" w:eastAsia="仿宋_GB2312" w:cs="Times New Roman"/>
                <w:b w:val="0"/>
                <w:bCs/>
                <w:sz w:val="28"/>
                <w:szCs w:val="28"/>
                <w:lang w:eastAsia="zh-CN"/>
              </w:rPr>
              <w:t>。</w:t>
            </w:r>
          </w:p>
        </w:tc>
        <w:tc>
          <w:tcPr>
            <w:tcW w:w="2536" w:type="dxa"/>
            <w:tcBorders>
              <w:top w:val="single" w:color="auto" w:sz="4" w:space="0"/>
              <w:left w:val="single" w:color="auto" w:sz="4" w:space="0"/>
              <w:bottom w:val="single" w:color="auto" w:sz="4" w:space="0"/>
              <w:right w:val="single" w:color="auto" w:sz="4" w:space="0"/>
            </w:tcBorders>
            <w:shd w:val="clear" w:color="auto" w:fill="auto"/>
          </w:tcPr>
          <w:p w14:paraId="50EFE5FD">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患者使用带菌的产品或产品质量问题影响使用</w:t>
            </w:r>
            <w:r>
              <w:rPr>
                <w:rFonts w:hint="default" w:ascii="Times New Roman" w:hAnsi="Times New Roman" w:eastAsia="仿宋_GB2312" w:cs="Times New Roman"/>
                <w:b w:val="0"/>
                <w:bCs/>
                <w:sz w:val="28"/>
                <w:szCs w:val="28"/>
                <w:lang w:eastAsia="zh-CN"/>
              </w:rPr>
              <w:t>。</w:t>
            </w:r>
          </w:p>
        </w:tc>
        <w:tc>
          <w:tcPr>
            <w:tcW w:w="2714" w:type="dxa"/>
            <w:tcBorders>
              <w:top w:val="single" w:color="auto" w:sz="4" w:space="0"/>
              <w:left w:val="single" w:color="auto" w:sz="4" w:space="0"/>
              <w:bottom w:val="single" w:color="auto" w:sz="4" w:space="0"/>
              <w:right w:val="single" w:color="auto" w:sz="4" w:space="0"/>
            </w:tcBorders>
            <w:shd w:val="clear" w:color="auto" w:fill="auto"/>
          </w:tcPr>
          <w:p w14:paraId="47B6ED8D">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患者被感染，严重时导致发热、休克</w:t>
            </w:r>
            <w:r>
              <w:rPr>
                <w:rFonts w:hint="default" w:ascii="Times New Roman" w:hAnsi="Times New Roman" w:eastAsia="仿宋_GB2312" w:cs="Times New Roman"/>
                <w:b w:val="0"/>
                <w:bCs/>
                <w:sz w:val="28"/>
                <w:szCs w:val="28"/>
                <w:lang w:eastAsia="zh-CN"/>
              </w:rPr>
              <w:t>。</w:t>
            </w:r>
          </w:p>
        </w:tc>
      </w:tr>
      <w:tr w14:paraId="5CF91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3" w:type="dxa"/>
            <w:vMerge w:val="restart"/>
            <w:tcBorders>
              <w:top w:val="nil"/>
              <w:left w:val="single" w:color="auto" w:sz="4" w:space="0"/>
              <w:right w:val="single" w:color="auto" w:sz="4" w:space="0"/>
            </w:tcBorders>
            <w:shd w:val="clear" w:color="auto" w:fill="auto"/>
            <w:vAlign w:val="center"/>
          </w:tcPr>
          <w:p w14:paraId="1137AC62">
            <w:pPr>
              <w:spacing w:line="520" w:lineRule="exact"/>
              <w:jc w:val="both"/>
              <w:rPr>
                <w:rFonts w:hint="default" w:ascii="Times New Roman" w:hAnsi="Times New Roman" w:eastAsia="仿宋_GB2312" w:cs="Times New Roman"/>
                <w:b w:val="0"/>
                <w:bCs/>
                <w:sz w:val="28"/>
                <w:szCs w:val="28"/>
                <w:lang w:val="en-US" w:eastAsia="zh-CN"/>
              </w:rPr>
            </w:pPr>
            <w:r>
              <w:rPr>
                <w:rFonts w:hint="default" w:ascii="Times New Roman" w:hAnsi="Times New Roman" w:eastAsia="仿宋_GB2312" w:cs="Times New Roman"/>
                <w:b w:val="0"/>
                <w:bCs/>
                <w:sz w:val="28"/>
                <w:szCs w:val="28"/>
                <w:lang w:val="en-US" w:eastAsia="zh-CN"/>
              </w:rPr>
              <w:t>操作危险</w:t>
            </w:r>
          </w:p>
        </w:tc>
        <w:tc>
          <w:tcPr>
            <w:tcW w:w="2696" w:type="dxa"/>
            <w:tcBorders>
              <w:top w:val="single" w:color="auto" w:sz="4" w:space="0"/>
              <w:left w:val="single" w:color="auto" w:sz="4" w:space="0"/>
              <w:bottom w:val="single" w:color="auto" w:sz="4" w:space="0"/>
              <w:right w:val="single" w:color="auto" w:sz="4" w:space="0"/>
            </w:tcBorders>
            <w:shd w:val="clear" w:color="auto" w:fill="auto"/>
          </w:tcPr>
          <w:p w14:paraId="3DBCC971">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导管鞘推送、回撤阻力大</w:t>
            </w:r>
            <w:r>
              <w:rPr>
                <w:rFonts w:hint="default" w:ascii="Times New Roman" w:hAnsi="Times New Roman" w:eastAsia="仿宋_GB2312" w:cs="Times New Roman"/>
                <w:b w:val="0"/>
                <w:bCs/>
                <w:sz w:val="28"/>
                <w:szCs w:val="28"/>
                <w:lang w:eastAsia="zh-CN"/>
              </w:rPr>
              <w:t>。</w:t>
            </w:r>
          </w:p>
        </w:tc>
        <w:tc>
          <w:tcPr>
            <w:tcW w:w="2536" w:type="dxa"/>
            <w:tcBorders>
              <w:top w:val="single" w:color="auto" w:sz="4" w:space="0"/>
              <w:left w:val="single" w:color="auto" w:sz="4" w:space="0"/>
              <w:bottom w:val="single" w:color="auto" w:sz="4" w:space="0"/>
              <w:right w:val="single" w:color="auto" w:sz="4" w:space="0"/>
            </w:tcBorders>
            <w:shd w:val="clear" w:color="auto" w:fill="auto"/>
          </w:tcPr>
          <w:p w14:paraId="652CEC0A">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鞘管在血管中穿行或回撤时有明显阻力</w:t>
            </w:r>
            <w:r>
              <w:rPr>
                <w:rFonts w:hint="default" w:ascii="Times New Roman" w:hAnsi="Times New Roman" w:eastAsia="仿宋_GB2312" w:cs="Times New Roman"/>
                <w:b w:val="0"/>
                <w:bCs/>
                <w:sz w:val="28"/>
                <w:szCs w:val="28"/>
                <w:lang w:eastAsia="zh-CN"/>
              </w:rPr>
              <w:t>。</w:t>
            </w:r>
          </w:p>
        </w:tc>
        <w:tc>
          <w:tcPr>
            <w:tcW w:w="2714" w:type="dxa"/>
            <w:tcBorders>
              <w:top w:val="single" w:color="auto" w:sz="4" w:space="0"/>
              <w:left w:val="single" w:color="auto" w:sz="4" w:space="0"/>
              <w:bottom w:val="single" w:color="auto" w:sz="4" w:space="0"/>
              <w:right w:val="single" w:color="auto" w:sz="4" w:space="0"/>
            </w:tcBorders>
            <w:shd w:val="clear" w:color="auto" w:fill="auto"/>
          </w:tcPr>
          <w:p w14:paraId="4F295D1E">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损伤血管，显著延长手术时间</w:t>
            </w:r>
            <w:r>
              <w:rPr>
                <w:rFonts w:hint="default" w:ascii="Times New Roman" w:hAnsi="Times New Roman" w:eastAsia="仿宋_GB2312" w:cs="Times New Roman"/>
                <w:b w:val="0"/>
                <w:bCs/>
                <w:sz w:val="28"/>
                <w:szCs w:val="28"/>
                <w:lang w:eastAsia="zh-CN"/>
              </w:rPr>
              <w:t>。</w:t>
            </w:r>
          </w:p>
        </w:tc>
      </w:tr>
      <w:tr w14:paraId="37E76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3" w:type="dxa"/>
            <w:vMerge w:val="continue"/>
            <w:tcBorders>
              <w:left w:val="single" w:color="auto" w:sz="4" w:space="0"/>
              <w:right w:val="single" w:color="auto" w:sz="4" w:space="0"/>
            </w:tcBorders>
            <w:shd w:val="clear" w:color="auto" w:fill="auto"/>
            <w:vAlign w:val="center"/>
          </w:tcPr>
          <w:p w14:paraId="4CC05CD7">
            <w:pPr>
              <w:spacing w:line="520" w:lineRule="exact"/>
              <w:ind w:firstLine="560" w:firstLineChars="200"/>
              <w:jc w:val="center"/>
              <w:rPr>
                <w:rFonts w:hint="default" w:ascii="Times New Roman" w:hAnsi="Times New Roman" w:eastAsia="仿宋_GB2312" w:cs="Times New Roman"/>
                <w:b w:val="0"/>
                <w:bCs/>
                <w:sz w:val="28"/>
                <w:szCs w:val="28"/>
              </w:rPr>
            </w:pPr>
          </w:p>
        </w:tc>
        <w:tc>
          <w:tcPr>
            <w:tcW w:w="2696" w:type="dxa"/>
            <w:tcBorders>
              <w:top w:val="single" w:color="auto" w:sz="4" w:space="0"/>
              <w:left w:val="single" w:color="auto" w:sz="4" w:space="0"/>
              <w:bottom w:val="single" w:color="auto" w:sz="4" w:space="0"/>
              <w:right w:val="single" w:color="auto" w:sz="4" w:space="0"/>
            </w:tcBorders>
            <w:shd w:val="clear" w:color="auto" w:fill="auto"/>
          </w:tcPr>
          <w:p w14:paraId="52AB66EE">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由不熟练</w:t>
            </w:r>
            <w:r>
              <w:rPr>
                <w:rFonts w:hint="default" w:ascii="Times New Roman" w:hAnsi="Times New Roman" w:eastAsia="仿宋_GB2312" w:cs="Times New Roman"/>
                <w:b w:val="0"/>
                <w:bCs/>
                <w:sz w:val="28"/>
                <w:szCs w:val="28"/>
              </w:rPr>
              <w:t>/</w:t>
            </w:r>
            <w:r>
              <w:rPr>
                <w:rFonts w:hint="default" w:ascii="Times New Roman" w:hAnsi="Times New Roman" w:eastAsia="仿宋_GB2312" w:cs="Times New Roman"/>
                <w:b w:val="0"/>
                <w:bCs/>
                <w:sz w:val="28"/>
                <w:szCs w:val="28"/>
              </w:rPr>
              <w:t>未经培训的人员使用</w:t>
            </w:r>
            <w:r>
              <w:rPr>
                <w:rFonts w:hint="default" w:ascii="Times New Roman" w:hAnsi="Times New Roman" w:eastAsia="仿宋_GB2312" w:cs="Times New Roman"/>
                <w:b w:val="0"/>
                <w:bCs/>
                <w:sz w:val="28"/>
                <w:szCs w:val="28"/>
                <w:lang w:eastAsia="zh-CN"/>
              </w:rPr>
              <w:t>。</w:t>
            </w:r>
          </w:p>
        </w:tc>
        <w:tc>
          <w:tcPr>
            <w:tcW w:w="2536" w:type="dxa"/>
            <w:tcBorders>
              <w:top w:val="single" w:color="auto" w:sz="4" w:space="0"/>
              <w:left w:val="single" w:color="auto" w:sz="4" w:space="0"/>
              <w:bottom w:val="single" w:color="auto" w:sz="4" w:space="0"/>
              <w:right w:val="single" w:color="auto" w:sz="4" w:space="0"/>
            </w:tcBorders>
            <w:shd w:val="clear" w:color="auto" w:fill="auto"/>
          </w:tcPr>
          <w:p w14:paraId="108B6B15">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操作不熟练、操作失误</w:t>
            </w:r>
            <w:r>
              <w:rPr>
                <w:rFonts w:hint="default" w:ascii="Times New Roman" w:hAnsi="Times New Roman" w:eastAsia="仿宋_GB2312" w:cs="Times New Roman"/>
                <w:b w:val="0"/>
                <w:bCs/>
                <w:sz w:val="28"/>
                <w:szCs w:val="28"/>
                <w:lang w:eastAsia="zh-CN"/>
              </w:rPr>
              <w:t>。</w:t>
            </w:r>
          </w:p>
        </w:tc>
        <w:tc>
          <w:tcPr>
            <w:tcW w:w="2714" w:type="dxa"/>
            <w:tcBorders>
              <w:top w:val="single" w:color="auto" w:sz="4" w:space="0"/>
              <w:left w:val="single" w:color="auto" w:sz="4" w:space="0"/>
              <w:bottom w:val="single" w:color="auto" w:sz="4" w:space="0"/>
              <w:right w:val="single" w:color="auto" w:sz="4" w:space="0"/>
            </w:tcBorders>
            <w:shd w:val="clear" w:color="auto" w:fill="auto"/>
          </w:tcPr>
          <w:p w14:paraId="1C351D80">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手术失败，造成医源性血管损伤</w:t>
            </w:r>
            <w:r>
              <w:rPr>
                <w:rFonts w:hint="default" w:ascii="Times New Roman" w:hAnsi="Times New Roman" w:eastAsia="仿宋_GB2312" w:cs="Times New Roman"/>
                <w:b w:val="0"/>
                <w:bCs/>
                <w:sz w:val="28"/>
                <w:szCs w:val="28"/>
                <w:lang w:eastAsia="zh-CN"/>
              </w:rPr>
              <w:t>。</w:t>
            </w:r>
          </w:p>
        </w:tc>
      </w:tr>
      <w:tr w14:paraId="62A4F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3" w:type="dxa"/>
            <w:vMerge w:val="continue"/>
            <w:tcBorders>
              <w:left w:val="single" w:color="auto" w:sz="4" w:space="0"/>
              <w:right w:val="single" w:color="auto" w:sz="4" w:space="0"/>
            </w:tcBorders>
            <w:shd w:val="clear" w:color="auto" w:fill="auto"/>
            <w:vAlign w:val="center"/>
          </w:tcPr>
          <w:p w14:paraId="6C9D7791">
            <w:pPr>
              <w:spacing w:line="520" w:lineRule="exact"/>
              <w:ind w:firstLine="560" w:firstLineChars="200"/>
              <w:jc w:val="center"/>
              <w:rPr>
                <w:rFonts w:hint="default" w:ascii="Times New Roman" w:hAnsi="Times New Roman" w:eastAsia="仿宋_GB2312" w:cs="Times New Roman"/>
                <w:b w:val="0"/>
                <w:bCs/>
                <w:sz w:val="28"/>
                <w:szCs w:val="28"/>
              </w:rPr>
            </w:pPr>
          </w:p>
        </w:tc>
        <w:tc>
          <w:tcPr>
            <w:tcW w:w="2696" w:type="dxa"/>
            <w:tcBorders>
              <w:top w:val="single" w:color="auto" w:sz="4" w:space="0"/>
              <w:left w:val="single" w:color="auto" w:sz="4" w:space="0"/>
              <w:bottom w:val="single" w:color="auto" w:sz="4" w:space="0"/>
              <w:right w:val="single" w:color="auto" w:sz="4" w:space="0"/>
            </w:tcBorders>
            <w:shd w:val="clear" w:color="auto" w:fill="auto"/>
          </w:tcPr>
          <w:p w14:paraId="2800F6A8">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导管鞘侧支粘接不牢</w:t>
            </w:r>
            <w:r>
              <w:rPr>
                <w:rFonts w:hint="default" w:ascii="Times New Roman" w:hAnsi="Times New Roman" w:eastAsia="仿宋_GB2312" w:cs="Times New Roman"/>
                <w:b w:val="0"/>
                <w:bCs/>
                <w:sz w:val="28"/>
                <w:szCs w:val="28"/>
                <w:lang w:eastAsia="zh-CN"/>
              </w:rPr>
              <w:t>。</w:t>
            </w:r>
          </w:p>
        </w:tc>
        <w:tc>
          <w:tcPr>
            <w:tcW w:w="2536" w:type="dxa"/>
            <w:tcBorders>
              <w:top w:val="single" w:color="auto" w:sz="4" w:space="0"/>
              <w:left w:val="single" w:color="auto" w:sz="4" w:space="0"/>
              <w:bottom w:val="single" w:color="auto" w:sz="4" w:space="0"/>
              <w:right w:val="single" w:color="auto" w:sz="4" w:space="0"/>
            </w:tcBorders>
            <w:shd w:val="clear" w:color="auto" w:fill="auto"/>
          </w:tcPr>
          <w:p w14:paraId="4DADF468">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导管鞘座和三通阀粘接处发生泄漏、器械损坏</w:t>
            </w:r>
            <w:r>
              <w:rPr>
                <w:rFonts w:hint="default" w:ascii="Times New Roman" w:hAnsi="Times New Roman" w:eastAsia="仿宋_GB2312" w:cs="Times New Roman"/>
                <w:b w:val="0"/>
                <w:bCs/>
                <w:sz w:val="28"/>
                <w:szCs w:val="28"/>
                <w:lang w:eastAsia="zh-CN"/>
              </w:rPr>
              <w:t>。</w:t>
            </w:r>
          </w:p>
        </w:tc>
        <w:tc>
          <w:tcPr>
            <w:tcW w:w="2714" w:type="dxa"/>
            <w:tcBorders>
              <w:top w:val="single" w:color="auto" w:sz="4" w:space="0"/>
              <w:left w:val="single" w:color="auto" w:sz="4" w:space="0"/>
              <w:bottom w:val="single" w:color="auto" w:sz="4" w:space="0"/>
              <w:right w:val="single" w:color="auto" w:sz="4" w:space="0"/>
            </w:tcBorders>
            <w:shd w:val="clear" w:color="auto" w:fill="auto"/>
          </w:tcPr>
          <w:p w14:paraId="4F03567E">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延长手术时间</w:t>
            </w:r>
            <w:r>
              <w:rPr>
                <w:rFonts w:hint="default" w:ascii="Times New Roman" w:hAnsi="Times New Roman" w:eastAsia="仿宋_GB2312" w:cs="Times New Roman"/>
                <w:b w:val="0"/>
                <w:bCs/>
                <w:sz w:val="28"/>
                <w:szCs w:val="28"/>
                <w:lang w:eastAsia="zh-CN"/>
              </w:rPr>
              <w:t>。</w:t>
            </w:r>
          </w:p>
        </w:tc>
      </w:tr>
      <w:tr w14:paraId="55DA8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3" w:type="dxa"/>
            <w:vMerge w:val="continue"/>
            <w:tcBorders>
              <w:left w:val="single" w:color="auto" w:sz="4" w:space="0"/>
              <w:right w:val="single" w:color="auto" w:sz="4" w:space="0"/>
            </w:tcBorders>
            <w:shd w:val="clear" w:color="auto" w:fill="auto"/>
            <w:vAlign w:val="center"/>
          </w:tcPr>
          <w:p w14:paraId="4656BD14">
            <w:pPr>
              <w:spacing w:line="520" w:lineRule="exact"/>
              <w:ind w:firstLine="560" w:firstLineChars="200"/>
              <w:jc w:val="center"/>
              <w:rPr>
                <w:rFonts w:hint="default" w:ascii="Times New Roman" w:hAnsi="Times New Roman" w:eastAsia="仿宋_GB2312" w:cs="Times New Roman"/>
                <w:b w:val="0"/>
                <w:bCs/>
                <w:sz w:val="28"/>
                <w:szCs w:val="28"/>
              </w:rPr>
            </w:pPr>
          </w:p>
        </w:tc>
        <w:tc>
          <w:tcPr>
            <w:tcW w:w="2696" w:type="dxa"/>
            <w:tcBorders>
              <w:top w:val="single" w:color="auto" w:sz="4" w:space="0"/>
              <w:left w:val="single" w:color="auto" w:sz="4" w:space="0"/>
              <w:bottom w:val="single" w:color="auto" w:sz="4" w:space="0"/>
              <w:right w:val="single" w:color="auto" w:sz="4" w:space="0"/>
            </w:tcBorders>
            <w:shd w:val="clear" w:color="auto" w:fill="auto"/>
          </w:tcPr>
          <w:p w14:paraId="58E0F604">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止血阀过软或过松</w:t>
            </w:r>
            <w:r>
              <w:rPr>
                <w:rFonts w:hint="default" w:ascii="Times New Roman" w:hAnsi="Times New Roman" w:eastAsia="仿宋_GB2312" w:cs="Times New Roman"/>
                <w:b w:val="0"/>
                <w:bCs/>
                <w:sz w:val="28"/>
                <w:szCs w:val="28"/>
                <w:lang w:eastAsia="zh-CN"/>
              </w:rPr>
              <w:t>。</w:t>
            </w:r>
          </w:p>
        </w:tc>
        <w:tc>
          <w:tcPr>
            <w:tcW w:w="2536" w:type="dxa"/>
            <w:tcBorders>
              <w:top w:val="single" w:color="auto" w:sz="4" w:space="0"/>
              <w:left w:val="single" w:color="auto" w:sz="4" w:space="0"/>
              <w:bottom w:val="single" w:color="auto" w:sz="4" w:space="0"/>
              <w:right w:val="single" w:color="auto" w:sz="4" w:space="0"/>
            </w:tcBorders>
            <w:shd w:val="clear" w:color="auto" w:fill="auto"/>
          </w:tcPr>
          <w:p w14:paraId="5427BEDD">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无法实现封堵止血</w:t>
            </w:r>
            <w:r>
              <w:rPr>
                <w:rFonts w:hint="default" w:ascii="Times New Roman" w:hAnsi="Times New Roman" w:eastAsia="仿宋_GB2312" w:cs="Times New Roman"/>
                <w:b w:val="0"/>
                <w:bCs/>
                <w:sz w:val="28"/>
                <w:szCs w:val="28"/>
                <w:lang w:eastAsia="zh-CN"/>
              </w:rPr>
              <w:t>。</w:t>
            </w:r>
          </w:p>
        </w:tc>
        <w:tc>
          <w:tcPr>
            <w:tcW w:w="2714" w:type="dxa"/>
            <w:tcBorders>
              <w:top w:val="single" w:color="auto" w:sz="4" w:space="0"/>
              <w:left w:val="single" w:color="auto" w:sz="4" w:space="0"/>
              <w:bottom w:val="single" w:color="auto" w:sz="4" w:space="0"/>
              <w:right w:val="single" w:color="auto" w:sz="4" w:space="0"/>
            </w:tcBorders>
            <w:shd w:val="clear" w:color="auto" w:fill="auto"/>
          </w:tcPr>
          <w:p w14:paraId="24D32A12">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密封性不好导致渗血</w:t>
            </w:r>
            <w:r>
              <w:rPr>
                <w:rFonts w:hint="default" w:ascii="Times New Roman" w:hAnsi="Times New Roman" w:eastAsia="仿宋_GB2312" w:cs="Times New Roman"/>
                <w:b w:val="0"/>
                <w:bCs/>
                <w:sz w:val="28"/>
                <w:szCs w:val="28"/>
                <w:lang w:eastAsia="zh-CN"/>
              </w:rPr>
              <w:t>。</w:t>
            </w:r>
          </w:p>
        </w:tc>
      </w:tr>
      <w:tr w14:paraId="0C34D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3" w:type="dxa"/>
            <w:vMerge w:val="continue"/>
            <w:tcBorders>
              <w:left w:val="single" w:color="auto" w:sz="4" w:space="0"/>
              <w:right w:val="single" w:color="auto" w:sz="4" w:space="0"/>
            </w:tcBorders>
            <w:shd w:val="clear" w:color="auto" w:fill="auto"/>
            <w:vAlign w:val="center"/>
          </w:tcPr>
          <w:p w14:paraId="2B6525D6">
            <w:pPr>
              <w:spacing w:line="520" w:lineRule="exact"/>
              <w:ind w:firstLine="560" w:firstLineChars="200"/>
              <w:jc w:val="center"/>
              <w:rPr>
                <w:rFonts w:hint="default" w:ascii="Times New Roman" w:hAnsi="Times New Roman" w:eastAsia="仿宋_GB2312" w:cs="Times New Roman"/>
                <w:b w:val="0"/>
                <w:bCs/>
                <w:sz w:val="28"/>
                <w:szCs w:val="28"/>
              </w:rPr>
            </w:pPr>
          </w:p>
        </w:tc>
        <w:tc>
          <w:tcPr>
            <w:tcW w:w="2696" w:type="dxa"/>
            <w:tcBorders>
              <w:top w:val="single" w:color="auto" w:sz="4" w:space="0"/>
              <w:left w:val="single" w:color="auto" w:sz="4" w:space="0"/>
              <w:bottom w:val="single" w:color="auto" w:sz="4" w:space="0"/>
              <w:right w:val="single" w:color="auto" w:sz="4" w:space="0"/>
            </w:tcBorders>
            <w:shd w:val="clear" w:color="auto" w:fill="auto"/>
          </w:tcPr>
          <w:p w14:paraId="7F82A713">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产品不具备显影效果或显影效果不佳</w:t>
            </w:r>
            <w:r>
              <w:rPr>
                <w:rFonts w:hint="default" w:ascii="Times New Roman" w:hAnsi="Times New Roman" w:eastAsia="仿宋_GB2312" w:cs="Times New Roman"/>
                <w:b w:val="0"/>
                <w:bCs/>
                <w:sz w:val="28"/>
                <w:szCs w:val="28"/>
                <w:lang w:eastAsia="zh-CN"/>
              </w:rPr>
              <w:t>。</w:t>
            </w:r>
          </w:p>
        </w:tc>
        <w:tc>
          <w:tcPr>
            <w:tcW w:w="2536" w:type="dxa"/>
            <w:tcBorders>
              <w:top w:val="single" w:color="auto" w:sz="4" w:space="0"/>
              <w:left w:val="single" w:color="auto" w:sz="4" w:space="0"/>
              <w:bottom w:val="single" w:color="auto" w:sz="4" w:space="0"/>
              <w:right w:val="single" w:color="auto" w:sz="4" w:space="0"/>
            </w:tcBorders>
            <w:shd w:val="clear" w:color="auto" w:fill="auto"/>
          </w:tcPr>
          <w:p w14:paraId="2EA80BCD">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医护人员在操作时看不清到达的部位</w:t>
            </w:r>
            <w:r>
              <w:rPr>
                <w:rFonts w:hint="default" w:ascii="Times New Roman" w:hAnsi="Times New Roman" w:eastAsia="仿宋_GB2312" w:cs="Times New Roman"/>
                <w:b w:val="0"/>
                <w:bCs/>
                <w:sz w:val="28"/>
                <w:szCs w:val="28"/>
                <w:lang w:eastAsia="zh-CN"/>
              </w:rPr>
              <w:t>。</w:t>
            </w:r>
          </w:p>
        </w:tc>
        <w:tc>
          <w:tcPr>
            <w:tcW w:w="2714" w:type="dxa"/>
            <w:tcBorders>
              <w:top w:val="single" w:color="auto" w:sz="4" w:space="0"/>
              <w:left w:val="single" w:color="auto" w:sz="4" w:space="0"/>
              <w:bottom w:val="single" w:color="auto" w:sz="4" w:space="0"/>
              <w:right w:val="single" w:color="auto" w:sz="4" w:space="0"/>
            </w:tcBorders>
            <w:shd w:val="clear" w:color="auto" w:fill="auto"/>
          </w:tcPr>
          <w:p w14:paraId="004C12B7">
            <w:pPr>
              <w:spacing w:line="520" w:lineRule="exact"/>
              <w:jc w:val="both"/>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延长手术时间，增加患者痛苦，提高手术难度。</w:t>
            </w:r>
          </w:p>
        </w:tc>
      </w:tr>
      <w:tr w14:paraId="637AA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3" w:type="dxa"/>
            <w:vMerge w:val="continue"/>
            <w:tcBorders>
              <w:left w:val="single" w:color="auto" w:sz="4" w:space="0"/>
              <w:right w:val="single" w:color="auto" w:sz="4" w:space="0"/>
            </w:tcBorders>
            <w:shd w:val="clear" w:color="auto" w:fill="auto"/>
            <w:vAlign w:val="center"/>
          </w:tcPr>
          <w:p w14:paraId="7D51F42D">
            <w:pPr>
              <w:spacing w:line="520" w:lineRule="exact"/>
              <w:ind w:firstLine="560" w:firstLineChars="200"/>
              <w:jc w:val="center"/>
              <w:rPr>
                <w:rFonts w:hint="default" w:ascii="Times New Roman" w:hAnsi="Times New Roman" w:eastAsia="仿宋_GB2312" w:cs="Times New Roman"/>
                <w:b w:val="0"/>
                <w:bCs/>
                <w:sz w:val="28"/>
                <w:szCs w:val="28"/>
              </w:rPr>
            </w:pPr>
          </w:p>
        </w:tc>
        <w:tc>
          <w:tcPr>
            <w:tcW w:w="2696" w:type="dxa"/>
            <w:tcBorders>
              <w:top w:val="single" w:color="auto" w:sz="4" w:space="0"/>
              <w:left w:val="single" w:color="auto" w:sz="4" w:space="0"/>
              <w:bottom w:val="single" w:color="auto" w:sz="4" w:space="0"/>
              <w:right w:val="single" w:color="auto" w:sz="4" w:space="0"/>
            </w:tcBorders>
            <w:shd w:val="clear" w:color="auto" w:fill="auto"/>
          </w:tcPr>
          <w:p w14:paraId="4F1F4BC8">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使用后的产品没有按照要求集中销毁</w:t>
            </w:r>
            <w:r>
              <w:rPr>
                <w:rFonts w:hint="default" w:ascii="Times New Roman" w:hAnsi="Times New Roman" w:eastAsia="仿宋_GB2312" w:cs="Times New Roman"/>
                <w:b w:val="0"/>
                <w:bCs/>
                <w:sz w:val="28"/>
                <w:szCs w:val="28"/>
                <w:lang w:eastAsia="zh-CN"/>
              </w:rPr>
              <w:t>。</w:t>
            </w:r>
          </w:p>
        </w:tc>
        <w:tc>
          <w:tcPr>
            <w:tcW w:w="2536" w:type="dxa"/>
            <w:tcBorders>
              <w:top w:val="single" w:color="auto" w:sz="4" w:space="0"/>
              <w:left w:val="single" w:color="auto" w:sz="4" w:space="0"/>
              <w:bottom w:val="single" w:color="auto" w:sz="4" w:space="0"/>
              <w:right w:val="single" w:color="auto" w:sz="4" w:space="0"/>
            </w:tcBorders>
            <w:shd w:val="clear" w:color="auto" w:fill="auto"/>
          </w:tcPr>
          <w:p w14:paraId="0B5BF443">
            <w:pPr>
              <w:spacing w:line="520" w:lineRule="exact"/>
              <w:jc w:val="both"/>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随意丢弃的产品上带有细菌。</w:t>
            </w:r>
          </w:p>
        </w:tc>
        <w:tc>
          <w:tcPr>
            <w:tcW w:w="2714" w:type="dxa"/>
            <w:tcBorders>
              <w:top w:val="single" w:color="auto" w:sz="4" w:space="0"/>
              <w:left w:val="single" w:color="auto" w:sz="4" w:space="0"/>
              <w:bottom w:val="single" w:color="auto" w:sz="4" w:space="0"/>
              <w:right w:val="single" w:color="auto" w:sz="4" w:space="0"/>
            </w:tcBorders>
            <w:shd w:val="clear" w:color="auto" w:fill="auto"/>
          </w:tcPr>
          <w:p w14:paraId="0639A774">
            <w:pPr>
              <w:spacing w:line="520" w:lineRule="exact"/>
              <w:jc w:val="both"/>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造成环境污染或者细菌的交叉感染。</w:t>
            </w:r>
          </w:p>
        </w:tc>
      </w:tr>
      <w:tr w14:paraId="655C7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3" w:type="dxa"/>
            <w:vMerge w:val="continue"/>
            <w:tcBorders>
              <w:left w:val="single" w:color="auto" w:sz="4" w:space="0"/>
              <w:bottom w:val="single" w:color="auto" w:sz="4" w:space="0"/>
              <w:right w:val="single" w:color="auto" w:sz="4" w:space="0"/>
            </w:tcBorders>
            <w:shd w:val="clear" w:color="auto" w:fill="auto"/>
            <w:vAlign w:val="center"/>
          </w:tcPr>
          <w:p w14:paraId="0886A8A0">
            <w:pPr>
              <w:spacing w:line="520" w:lineRule="exact"/>
              <w:ind w:firstLine="560" w:firstLineChars="200"/>
              <w:jc w:val="center"/>
              <w:rPr>
                <w:rFonts w:hint="default" w:ascii="Times New Roman" w:hAnsi="Times New Roman" w:eastAsia="仿宋_GB2312" w:cs="Times New Roman"/>
                <w:b w:val="0"/>
                <w:bCs/>
                <w:sz w:val="28"/>
                <w:szCs w:val="28"/>
              </w:rPr>
            </w:pPr>
          </w:p>
        </w:tc>
        <w:tc>
          <w:tcPr>
            <w:tcW w:w="2696" w:type="dxa"/>
            <w:tcBorders>
              <w:top w:val="single" w:color="auto" w:sz="4" w:space="0"/>
              <w:left w:val="single" w:color="auto" w:sz="4" w:space="0"/>
              <w:bottom w:val="single" w:color="auto" w:sz="4" w:space="0"/>
              <w:right w:val="single" w:color="auto" w:sz="4" w:space="0"/>
            </w:tcBorders>
            <w:shd w:val="clear" w:color="auto" w:fill="auto"/>
          </w:tcPr>
          <w:p w14:paraId="6E94B9E9">
            <w:pPr>
              <w:spacing w:line="520" w:lineRule="exact"/>
              <w:jc w:val="both"/>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一次性使用产品被多次使用</w:t>
            </w:r>
          </w:p>
        </w:tc>
        <w:tc>
          <w:tcPr>
            <w:tcW w:w="2536" w:type="dxa"/>
            <w:tcBorders>
              <w:top w:val="single" w:color="auto" w:sz="4" w:space="0"/>
              <w:left w:val="single" w:color="auto" w:sz="4" w:space="0"/>
              <w:bottom w:val="single" w:color="auto" w:sz="4" w:space="0"/>
              <w:right w:val="single" w:color="auto" w:sz="4" w:space="0"/>
            </w:tcBorders>
            <w:shd w:val="clear" w:color="auto" w:fill="auto"/>
          </w:tcPr>
          <w:p w14:paraId="4DD8E485">
            <w:pPr>
              <w:spacing w:line="520" w:lineRule="exact"/>
              <w:jc w:val="both"/>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被多次使用的产品接触患者。</w:t>
            </w:r>
          </w:p>
        </w:tc>
        <w:tc>
          <w:tcPr>
            <w:tcW w:w="2714" w:type="dxa"/>
            <w:tcBorders>
              <w:top w:val="single" w:color="auto" w:sz="4" w:space="0"/>
              <w:left w:val="single" w:color="auto" w:sz="4" w:space="0"/>
              <w:bottom w:val="single" w:color="auto" w:sz="4" w:space="0"/>
              <w:right w:val="single" w:color="auto" w:sz="4" w:space="0"/>
            </w:tcBorders>
            <w:shd w:val="clear" w:color="auto" w:fill="auto"/>
          </w:tcPr>
          <w:p w14:paraId="3A2E5481">
            <w:pPr>
              <w:spacing w:line="520" w:lineRule="exact"/>
              <w:jc w:val="both"/>
              <w:rPr>
                <w:rFonts w:hint="default" w:ascii="Times New Roman" w:hAnsi="Times New Roman" w:eastAsia="仿宋_GB2312" w:cs="Times New Roman"/>
                <w:b w:val="0"/>
                <w:bCs/>
                <w:sz w:val="28"/>
                <w:szCs w:val="28"/>
                <w:lang w:eastAsia="zh-CN"/>
              </w:rPr>
            </w:pPr>
            <w:r>
              <w:rPr>
                <w:rFonts w:hint="default" w:ascii="Times New Roman" w:hAnsi="Times New Roman" w:eastAsia="仿宋_GB2312" w:cs="Times New Roman"/>
                <w:b w:val="0"/>
                <w:bCs/>
                <w:sz w:val="28"/>
                <w:szCs w:val="28"/>
              </w:rPr>
              <w:t>引起交叉感染</w:t>
            </w:r>
            <w:r>
              <w:rPr>
                <w:rFonts w:hint="default" w:ascii="Times New Roman" w:hAnsi="Times New Roman" w:eastAsia="仿宋_GB2312" w:cs="Times New Roman"/>
                <w:b w:val="0"/>
                <w:bCs/>
                <w:sz w:val="28"/>
                <w:szCs w:val="28"/>
                <w:lang w:eastAsia="zh-CN"/>
              </w:rPr>
              <w:t>。</w:t>
            </w:r>
          </w:p>
        </w:tc>
      </w:tr>
      <w:tr w14:paraId="49332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1" w:hRule="atLeast"/>
          <w:jc w:val="center"/>
        </w:trPr>
        <w:tc>
          <w:tcPr>
            <w:tcW w:w="903" w:type="dxa"/>
            <w:tcBorders>
              <w:top w:val="single" w:color="auto" w:sz="4" w:space="0"/>
              <w:left w:val="single" w:color="auto" w:sz="4" w:space="0"/>
              <w:bottom w:val="single" w:color="auto" w:sz="4" w:space="0"/>
              <w:right w:val="single" w:color="auto" w:sz="4" w:space="0"/>
            </w:tcBorders>
            <w:shd w:val="clear" w:color="auto" w:fill="auto"/>
            <w:vAlign w:val="center"/>
          </w:tcPr>
          <w:p w14:paraId="6E675425">
            <w:pPr>
              <w:spacing w:line="520" w:lineRule="exact"/>
              <w:jc w:val="both"/>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信息危险</w:t>
            </w:r>
          </w:p>
        </w:tc>
        <w:tc>
          <w:tcPr>
            <w:tcW w:w="2696" w:type="dxa"/>
            <w:tcBorders>
              <w:top w:val="single" w:color="auto" w:sz="4" w:space="0"/>
              <w:left w:val="single" w:color="auto" w:sz="4" w:space="0"/>
              <w:bottom w:val="single" w:color="auto" w:sz="4" w:space="0"/>
              <w:right w:val="single" w:color="auto" w:sz="4" w:space="0"/>
            </w:tcBorders>
            <w:shd w:val="clear" w:color="auto" w:fill="auto"/>
          </w:tcPr>
          <w:p w14:paraId="7BF155FC">
            <w:pPr>
              <w:spacing w:line="520" w:lineRule="exact"/>
              <w:jc w:val="both"/>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标签或说明书标识不完整，如未包括产品使用期限、一次性使用等；使用说明不完整或错误的操作信息，警告信息不充分。</w:t>
            </w:r>
          </w:p>
        </w:tc>
        <w:tc>
          <w:tcPr>
            <w:tcW w:w="2536" w:type="dxa"/>
            <w:tcBorders>
              <w:top w:val="single" w:color="auto" w:sz="4" w:space="0"/>
              <w:left w:val="single" w:color="auto" w:sz="4" w:space="0"/>
              <w:bottom w:val="single" w:color="auto" w:sz="4" w:space="0"/>
              <w:right w:val="single" w:color="auto" w:sz="4" w:space="0"/>
            </w:tcBorders>
            <w:shd w:val="clear" w:color="auto" w:fill="auto"/>
          </w:tcPr>
          <w:p w14:paraId="789489FA">
            <w:pPr>
              <w:spacing w:line="520" w:lineRule="exact"/>
              <w:jc w:val="both"/>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使用超期产品；未按要求贮存产品；未能正确使用相应规格的产品。</w:t>
            </w:r>
          </w:p>
        </w:tc>
        <w:tc>
          <w:tcPr>
            <w:tcW w:w="2714" w:type="dxa"/>
            <w:tcBorders>
              <w:top w:val="single" w:color="auto" w:sz="4" w:space="0"/>
              <w:left w:val="single" w:color="auto" w:sz="4" w:space="0"/>
              <w:bottom w:val="single" w:color="auto" w:sz="4" w:space="0"/>
              <w:right w:val="single" w:color="auto" w:sz="4" w:space="0"/>
            </w:tcBorders>
            <w:shd w:val="clear" w:color="auto" w:fill="auto"/>
          </w:tcPr>
          <w:p w14:paraId="651EFAA8">
            <w:pPr>
              <w:spacing w:line="520" w:lineRule="exact"/>
              <w:jc w:val="both"/>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患者被细菌感染，产品达不到预期用途。</w:t>
            </w:r>
          </w:p>
        </w:tc>
      </w:tr>
    </w:tbl>
    <w:p w14:paraId="356E08E0">
      <w:pPr>
        <w:spacing w:line="520" w:lineRule="exact"/>
        <w:rPr>
          <w:rFonts w:hint="default" w:ascii="Times New Roman" w:hAnsi="Times New Roman" w:eastAsia="仿宋_GB2312" w:cs="Times New Roman"/>
          <w:color w:val="000000"/>
          <w:sz w:val="32"/>
          <w:szCs w:val="32"/>
          <w:lang w:val="en-US" w:eastAsia="zh-CN"/>
        </w:rPr>
      </w:pPr>
    </w:p>
    <w:sectPr>
      <w:footerReference r:id="rId3" w:type="default"/>
      <w:pgSz w:w="11906" w:h="16838"/>
      <w:pgMar w:top="1440" w:right="1800" w:bottom="1440" w:left="1800" w:header="851" w:footer="992" w:gutter="0"/>
      <w:lnNumType w:countBy="1" w:restart="continuou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0A660B">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5C6FE5E">
                          <w:pPr>
                            <w:pStyle w:val="4"/>
                            <w:rPr>
                              <w:rFonts w:hint="eastAsia" w:eastAsiaTheme="minorEastAsia"/>
                              <w:lang w:eastAsia="zh-CN"/>
                            </w:rPr>
                          </w:pPr>
                          <w:r>
                            <w:rPr>
                              <w:rFonts w:hint="eastAsia"/>
                              <w:sz w:val="24"/>
                              <w:szCs w:val="24"/>
                              <w:lang w:eastAsia="zh-CN"/>
                            </w:rPr>
                            <w:t>—</w:t>
                          </w:r>
                          <w:r>
                            <w:rPr>
                              <w:rFonts w:hint="eastAsia"/>
                              <w:sz w:val="24"/>
                              <w:szCs w:val="24"/>
                              <w:lang w:val="en-US" w:eastAsia="zh-CN"/>
                            </w:rP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rFonts w:hint="eastAsia"/>
                              <w:sz w:val="24"/>
                              <w:szCs w:val="24"/>
                              <w:lang w:val="en-US" w:eastAsia="zh-CN"/>
                            </w:rPr>
                            <w:t xml:space="preserve"> </w:t>
                          </w:r>
                          <w:r>
                            <w:rPr>
                              <w:rFonts w:hint="eastAsia"/>
                              <w:sz w:val="24"/>
                              <w:szCs w:val="24"/>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14:paraId="05C6FE5E">
                    <w:pPr>
                      <w:pStyle w:val="4"/>
                      <w:rPr>
                        <w:rFonts w:hint="eastAsia" w:eastAsiaTheme="minorEastAsia"/>
                        <w:lang w:eastAsia="zh-CN"/>
                      </w:rPr>
                    </w:pPr>
                    <w:r>
                      <w:rPr>
                        <w:rFonts w:hint="eastAsia"/>
                        <w:sz w:val="24"/>
                        <w:szCs w:val="24"/>
                        <w:lang w:eastAsia="zh-CN"/>
                      </w:rPr>
                      <w:t>—</w:t>
                    </w:r>
                    <w:r>
                      <w:rPr>
                        <w:rFonts w:hint="eastAsia"/>
                        <w:sz w:val="24"/>
                        <w:szCs w:val="24"/>
                        <w:lang w:val="en-US" w:eastAsia="zh-CN"/>
                      </w:rP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rFonts w:hint="eastAsia"/>
                        <w:sz w:val="24"/>
                        <w:szCs w:val="24"/>
                        <w:lang w:val="en-US" w:eastAsia="zh-CN"/>
                      </w:rPr>
                      <w:t xml:space="preserve"> </w:t>
                    </w:r>
                    <w:r>
                      <w:rPr>
                        <w:rFonts w:hint="eastAsia"/>
                        <w:sz w:val="24"/>
                        <w:szCs w:val="24"/>
                        <w:lang w:eastAsia="zh-CN"/>
                      </w:rPr>
                      <w:t>—</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B89BBE7">
                          <w:pPr>
                            <w:rPr>
                              <w:rFonts w:hint="default"/>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0B89BBE7">
                    <w:pPr>
                      <w:rPr>
                        <w:rFonts w:hint="default"/>
                        <w:lang w:val="en-US"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12EFF"/>
    <w:multiLevelType w:val="singleLevel"/>
    <w:tmpl w:val="9D312EFF"/>
    <w:lvl w:ilvl="0" w:tentative="0">
      <w:start w:val="1"/>
      <w:numFmt w:val="decimal"/>
      <w:lvlText w:val="%1."/>
      <w:lvlJc w:val="left"/>
      <w:pPr>
        <w:tabs>
          <w:tab w:val="left" w:pos="312"/>
        </w:tabs>
      </w:pPr>
    </w:lvl>
  </w:abstractNum>
  <w:abstractNum w:abstractNumId="1">
    <w:nsid w:val="FB5EC2F7"/>
    <w:multiLevelType w:val="singleLevel"/>
    <w:tmpl w:val="FB5EC2F7"/>
    <w:lvl w:ilvl="0" w:tentative="0">
      <w:start w:val="1"/>
      <w:numFmt w:val="decimal"/>
      <w:lvlText w:val="%1."/>
      <w:lvlJc w:val="left"/>
      <w:pPr>
        <w:tabs>
          <w:tab w:val="left" w:pos="312"/>
        </w:tabs>
      </w:pPr>
    </w:lvl>
  </w:abstractNum>
  <w:abstractNum w:abstractNumId="2">
    <w:nsid w:val="5312A0B5"/>
    <w:multiLevelType w:val="singleLevel"/>
    <w:tmpl w:val="5312A0B5"/>
    <w:lvl w:ilvl="0" w:tentative="0">
      <w:start w:val="3"/>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3DE"/>
    <w:rsid w:val="00063005"/>
    <w:rsid w:val="00067F96"/>
    <w:rsid w:val="0011486D"/>
    <w:rsid w:val="0014007C"/>
    <w:rsid w:val="001407A4"/>
    <w:rsid w:val="0019001B"/>
    <w:rsid w:val="001A2420"/>
    <w:rsid w:val="001F596B"/>
    <w:rsid w:val="0021228B"/>
    <w:rsid w:val="00300E5C"/>
    <w:rsid w:val="00325C9E"/>
    <w:rsid w:val="005653D7"/>
    <w:rsid w:val="00595D42"/>
    <w:rsid w:val="005E47CA"/>
    <w:rsid w:val="005F577F"/>
    <w:rsid w:val="00691D90"/>
    <w:rsid w:val="00692554"/>
    <w:rsid w:val="006A1519"/>
    <w:rsid w:val="006F46E6"/>
    <w:rsid w:val="00716DB3"/>
    <w:rsid w:val="00723A4A"/>
    <w:rsid w:val="00756458"/>
    <w:rsid w:val="007F0CB7"/>
    <w:rsid w:val="008407C7"/>
    <w:rsid w:val="00881A19"/>
    <w:rsid w:val="008D6A9C"/>
    <w:rsid w:val="00911281"/>
    <w:rsid w:val="00A42856"/>
    <w:rsid w:val="00AD54B0"/>
    <w:rsid w:val="00B029BA"/>
    <w:rsid w:val="00B02D42"/>
    <w:rsid w:val="00BA4405"/>
    <w:rsid w:val="00CB5D1D"/>
    <w:rsid w:val="00CD7B31"/>
    <w:rsid w:val="00E677D7"/>
    <w:rsid w:val="00FC73DE"/>
    <w:rsid w:val="021E334F"/>
    <w:rsid w:val="045A1585"/>
    <w:rsid w:val="05324944"/>
    <w:rsid w:val="05FB2805"/>
    <w:rsid w:val="07630750"/>
    <w:rsid w:val="0A344626"/>
    <w:rsid w:val="0BF95B27"/>
    <w:rsid w:val="0C400627"/>
    <w:rsid w:val="0C5313A6"/>
    <w:rsid w:val="10093E5F"/>
    <w:rsid w:val="12C33AC5"/>
    <w:rsid w:val="13963C5C"/>
    <w:rsid w:val="174A5562"/>
    <w:rsid w:val="1BCA2A74"/>
    <w:rsid w:val="1CB810E7"/>
    <w:rsid w:val="20B54F09"/>
    <w:rsid w:val="241863B7"/>
    <w:rsid w:val="27F045B7"/>
    <w:rsid w:val="29C87D32"/>
    <w:rsid w:val="2CA2553D"/>
    <w:rsid w:val="2ECB6A58"/>
    <w:rsid w:val="2F2220E5"/>
    <w:rsid w:val="31686504"/>
    <w:rsid w:val="321B1F68"/>
    <w:rsid w:val="328707EE"/>
    <w:rsid w:val="32877139"/>
    <w:rsid w:val="38A06B22"/>
    <w:rsid w:val="38E9231D"/>
    <w:rsid w:val="397D0E73"/>
    <w:rsid w:val="3B703D22"/>
    <w:rsid w:val="3C7231DF"/>
    <w:rsid w:val="3D444F1C"/>
    <w:rsid w:val="3FDB0AC5"/>
    <w:rsid w:val="4210609D"/>
    <w:rsid w:val="462D353B"/>
    <w:rsid w:val="463D18E4"/>
    <w:rsid w:val="494837D6"/>
    <w:rsid w:val="4AEF04F9"/>
    <w:rsid w:val="4B6D5378"/>
    <w:rsid w:val="4CFB2556"/>
    <w:rsid w:val="505D789C"/>
    <w:rsid w:val="57122BC6"/>
    <w:rsid w:val="5AA91A93"/>
    <w:rsid w:val="5AF50835"/>
    <w:rsid w:val="643F18F7"/>
    <w:rsid w:val="67E852DA"/>
    <w:rsid w:val="695A6D8E"/>
    <w:rsid w:val="6CB178DD"/>
    <w:rsid w:val="734A3EAC"/>
    <w:rsid w:val="738F40C9"/>
    <w:rsid w:val="739843BD"/>
    <w:rsid w:val="77FA73B0"/>
    <w:rsid w:val="78245F5E"/>
    <w:rsid w:val="795D1B6E"/>
    <w:rsid w:val="7E843AFA"/>
    <w:rsid w:val="7E861620"/>
    <w:rsid w:val="7F062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semiHidden/>
    <w:unhideWhenUsed/>
    <w:qFormat/>
    <w:uiPriority w:val="99"/>
    <w:pPr>
      <w:jc w:val="left"/>
    </w:pPr>
  </w:style>
  <w:style w:type="paragraph" w:styleId="3">
    <w:name w:val="Date"/>
    <w:basedOn w:val="1"/>
    <w:next w:val="1"/>
    <w:link w:val="18"/>
    <w:semiHidden/>
    <w:unhideWhenUsed/>
    <w:qFormat/>
    <w:uiPriority w:val="99"/>
    <w:pPr>
      <w:ind w:left="100" w:leftChars="2500"/>
    </w:p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7"/>
    <w:semiHidden/>
    <w:unhideWhenUsed/>
    <w:qFormat/>
    <w:uiPriority w:val="99"/>
    <w:rPr>
      <w:rFonts w:ascii="Times New Roman" w:hAnsi="Times New Roman" w:eastAsia="Adobe 仿宋 Std R" w:cs="Times New Roman"/>
      <w:b/>
      <w:bCs/>
      <w:sz w:val="32"/>
      <w:szCs w:val="24"/>
    </w:rPr>
  </w:style>
  <w:style w:type="character" w:styleId="10">
    <w:name w:val="Strong"/>
    <w:basedOn w:val="9"/>
    <w:qFormat/>
    <w:uiPriority w:val="22"/>
    <w:rPr>
      <w:b/>
      <w:bCs/>
    </w:rPr>
  </w:style>
  <w:style w:type="character" w:styleId="11">
    <w:name w:val="Hyperlink"/>
    <w:basedOn w:val="9"/>
    <w:semiHidden/>
    <w:unhideWhenUsed/>
    <w:qFormat/>
    <w:uiPriority w:val="99"/>
    <w:rPr>
      <w:color w:val="0000FF"/>
      <w:u w:val="single"/>
    </w:rPr>
  </w:style>
  <w:style w:type="character" w:styleId="12">
    <w:name w:val="annotation reference"/>
    <w:basedOn w:val="9"/>
    <w:semiHidden/>
    <w:unhideWhenUsed/>
    <w:qFormat/>
    <w:uiPriority w:val="99"/>
    <w:rPr>
      <w:sz w:val="21"/>
      <w:szCs w:val="21"/>
    </w:rPr>
  </w:style>
  <w:style w:type="paragraph" w:styleId="13">
    <w:name w:val="No Spacing"/>
    <w:qFormat/>
    <w:uiPriority w:val="0"/>
    <w:pPr>
      <w:adjustRightInd w:val="0"/>
      <w:snapToGrid w:val="0"/>
    </w:pPr>
    <w:rPr>
      <w:rFonts w:ascii="Tahoma" w:hAnsi="Tahoma" w:eastAsia="微软雅黑" w:cs="Times New Roman"/>
      <w:sz w:val="22"/>
      <w:szCs w:val="22"/>
      <w:lang w:val="en-US" w:eastAsia="zh-CN" w:bidi="ar-SA"/>
    </w:rPr>
  </w:style>
  <w:style w:type="character" w:customStyle="1" w:styleId="14">
    <w:name w:val="页眉 字符"/>
    <w:basedOn w:val="9"/>
    <w:link w:val="5"/>
    <w:qFormat/>
    <w:uiPriority w:val="99"/>
    <w:rPr>
      <w:sz w:val="18"/>
      <w:szCs w:val="18"/>
    </w:rPr>
  </w:style>
  <w:style w:type="character" w:customStyle="1" w:styleId="15">
    <w:name w:val="页脚 字符"/>
    <w:basedOn w:val="9"/>
    <w:link w:val="4"/>
    <w:qFormat/>
    <w:uiPriority w:val="99"/>
    <w:rPr>
      <w:sz w:val="18"/>
      <w:szCs w:val="18"/>
    </w:rPr>
  </w:style>
  <w:style w:type="character" w:customStyle="1" w:styleId="16">
    <w:name w:val="批注文字 字符"/>
    <w:basedOn w:val="9"/>
    <w:link w:val="2"/>
    <w:semiHidden/>
    <w:qFormat/>
    <w:uiPriority w:val="99"/>
  </w:style>
  <w:style w:type="character" w:customStyle="1" w:styleId="17">
    <w:name w:val="批注主题 字符"/>
    <w:basedOn w:val="16"/>
    <w:link w:val="7"/>
    <w:semiHidden/>
    <w:qFormat/>
    <w:uiPriority w:val="99"/>
    <w:rPr>
      <w:rFonts w:ascii="Times New Roman" w:hAnsi="Times New Roman" w:eastAsia="Adobe 仿宋 Std R" w:cs="Times New Roman"/>
      <w:b/>
      <w:bCs/>
      <w:sz w:val="32"/>
      <w:szCs w:val="24"/>
    </w:rPr>
  </w:style>
  <w:style w:type="character" w:customStyle="1" w:styleId="18">
    <w:name w:val="日期 字符"/>
    <w:basedOn w:val="9"/>
    <w:link w:val="3"/>
    <w:semiHidden/>
    <w:qFormat/>
    <w:uiPriority w:val="99"/>
  </w:style>
  <w:style w:type="paragraph" w:customStyle="1" w:styleId="19">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0">
    <w:name w:val="15"/>
    <w:basedOn w:val="9"/>
    <w:qFormat/>
    <w:uiPriority w:val="0"/>
    <w:rPr>
      <w:rFonts w:hint="default" w:ascii="Times New Roman" w:hAnsi="Times New Roman" w:cs="Times New Roman"/>
      <w:sz w:val="24"/>
      <w:szCs w:val="24"/>
    </w:rPr>
  </w:style>
  <w:style w:type="character" w:customStyle="1" w:styleId="21">
    <w:name w:val="font21"/>
    <w:basedOn w:val="9"/>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4321</Words>
  <Characters>4446</Characters>
  <Lines>334</Lines>
  <Paragraphs>287</Paragraphs>
  <TotalTime>1</TotalTime>
  <ScaleCrop>false</ScaleCrop>
  <LinksUpToDate>false</LinksUpToDate>
  <CharactersWithSpaces>4456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2026-03-20T02:35:00Z</dcterms:created>
  <dc:creator>汤苓</dc:creator>
  <cp:lastModifiedBy>JiLi</cp:lastModifiedBy>
  <dcterms:modified xsi:type="dcterms:W3CDTF">2026-07-31T01:25:34Z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eyJoZGlkIjoiMjcwYjQ0MThjNWEzYTNlMzAyMDZjMTViNGQ5ZWY0YjEiLCJ1c2VySWQiOiI1OTg2OTQ0MDIifQ==</vt:lpwstr>
  </property>
  <property fmtid="{D5CDD505-2E9C-101B-9397-08002B2CF9AE}" pid="3" name="KSOProductBuildVer">
    <vt:lpwstr>2052-12.1.0.26895</vt:lpwstr>
  </property>
  <property fmtid="{D5CDD505-2E9C-101B-9397-08002B2CF9AE}" pid="4" name="ICV">
    <vt:lpwstr>999F7102332B48A286422EBD8069C2B5_12</vt:lpwstr>
  </property>
</Properties>
</file>