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4075B">
      <w:pPr>
        <w:spacing w:line="520" w:lineRule="exact"/>
        <w:ind w:right="-67" w:rightChars="-32"/>
        <w:jc w:val="center"/>
        <w:rPr>
          <w:rFonts w:ascii="Times New Roman" w:hAnsi="Times New Roman" w:eastAsia="方正小标宋简体" w:cs="Times New Roman"/>
          <w:color w:val="000000"/>
          <w:sz w:val="44"/>
        </w:rPr>
      </w:pPr>
      <w:r>
        <w:rPr>
          <w:rFonts w:hint="eastAsia" w:ascii="Times New Roman" w:hAnsi="Times New Roman" w:eastAsia="方正小标宋简体" w:cs="Times New Roman"/>
          <w:color w:val="000000"/>
          <w:sz w:val="44"/>
        </w:rPr>
        <w:t>骨科用锯注册审查指导原则</w:t>
      </w:r>
    </w:p>
    <w:p w14:paraId="37568259">
      <w:pPr>
        <w:spacing w:line="520" w:lineRule="exact"/>
        <w:ind w:right="-67" w:rightChars="-32"/>
        <w:jc w:val="center"/>
        <w:rPr>
          <w:rFonts w:hint="eastAsia" w:ascii="Times New Roman" w:hAnsi="Times New Roman" w:eastAsia="方正小标宋简体" w:cs="Times New Roman"/>
          <w:color w:val="000000"/>
          <w:sz w:val="44"/>
          <w:lang w:eastAsia="zh-CN"/>
        </w:rPr>
      </w:pPr>
      <w:r>
        <w:rPr>
          <w:rFonts w:hint="eastAsia" w:ascii="Times New Roman" w:hAnsi="Times New Roman" w:eastAsia="方正小标宋简体" w:cs="Times New Roman"/>
          <w:color w:val="000000"/>
          <w:sz w:val="44"/>
          <w:lang w:eastAsia="zh-CN"/>
        </w:rPr>
        <w:t>（</w:t>
      </w:r>
      <w:r>
        <w:rPr>
          <w:rFonts w:hint="eastAsia" w:ascii="Times New Roman" w:hAnsi="Times New Roman" w:eastAsia="方正小标宋简体" w:cs="Times New Roman"/>
          <w:color w:val="000000"/>
          <w:sz w:val="44"/>
          <w:lang w:val="en-US" w:eastAsia="zh-CN"/>
        </w:rPr>
        <w:t>征求意见稿</w:t>
      </w:r>
      <w:r>
        <w:rPr>
          <w:rFonts w:hint="eastAsia" w:ascii="Times New Roman" w:hAnsi="Times New Roman" w:eastAsia="方正小标宋简体" w:cs="Times New Roman"/>
          <w:color w:val="000000"/>
          <w:sz w:val="44"/>
          <w:lang w:eastAsia="zh-CN"/>
        </w:rPr>
        <w:t>）</w:t>
      </w:r>
    </w:p>
    <w:p w14:paraId="23120C86">
      <w:pPr>
        <w:spacing w:line="520" w:lineRule="exact"/>
        <w:ind w:right="-67" w:rightChars="-32"/>
        <w:jc w:val="center"/>
        <w:rPr>
          <w:rFonts w:hint="eastAsia" w:ascii="Times New Roman" w:hAnsi="Times New Roman" w:eastAsia="方正小标宋简体" w:cs="Times New Roman"/>
          <w:color w:val="000000"/>
          <w:sz w:val="44"/>
          <w:lang w:eastAsia="zh-CN"/>
        </w:rPr>
      </w:pPr>
    </w:p>
    <w:p w14:paraId="7AF69109">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本指导原则旨在指导注册申请人对</w:t>
      </w:r>
      <w:r>
        <w:rPr>
          <w:rFonts w:hint="eastAsia" w:ascii="Times New Roman" w:hAnsi="Times New Roman" w:eastAsia="仿宋_GB2312" w:cs="Times New Roman"/>
          <w:color w:val="000000"/>
          <w:sz w:val="32"/>
          <w:szCs w:val="32"/>
        </w:rPr>
        <w:t>骨科用锯</w:t>
      </w:r>
      <w:r>
        <w:rPr>
          <w:rFonts w:ascii="Times New Roman" w:hAnsi="Times New Roman" w:eastAsia="仿宋_GB2312" w:cs="Times New Roman"/>
          <w:color w:val="000000"/>
          <w:sz w:val="32"/>
          <w:szCs w:val="32"/>
        </w:rPr>
        <w:t>产品注册申报资料的准备及撰写，同时也为技术审评部门对注册申报资料的审评提供技术参考。</w:t>
      </w:r>
    </w:p>
    <w:p w14:paraId="33DAD542">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本指导原则是对</w:t>
      </w:r>
      <w:r>
        <w:rPr>
          <w:rFonts w:hint="eastAsia" w:ascii="Times New Roman" w:hAnsi="Times New Roman" w:eastAsia="仿宋_GB2312" w:cs="Times New Roman"/>
          <w:color w:val="000000"/>
          <w:sz w:val="32"/>
          <w:szCs w:val="32"/>
        </w:rPr>
        <w:t>骨科用锯</w:t>
      </w:r>
      <w:r>
        <w:rPr>
          <w:rFonts w:ascii="Times New Roman" w:hAnsi="Times New Roman" w:eastAsia="仿宋_GB2312" w:cs="Times New Roman"/>
          <w:color w:val="000000"/>
          <w:sz w:val="32"/>
          <w:szCs w:val="32"/>
        </w:rPr>
        <w:t>注册申报资料的一般要求，注册申请人需依据产品的具体特性确定其中内容是否</w:t>
      </w:r>
      <w:r>
        <w:rPr>
          <w:rFonts w:hint="eastAsia" w:eastAsia="仿宋_GB2312" w:cs="Times New Roman"/>
          <w:color w:val="000000"/>
          <w:sz w:val="32"/>
          <w:szCs w:val="32"/>
        </w:rPr>
        <w:t>适用</w:t>
      </w:r>
      <w:r>
        <w:rPr>
          <w:rFonts w:ascii="Times New Roman" w:hAnsi="Times New Roman" w:eastAsia="仿宋_GB2312" w:cs="Times New Roman"/>
          <w:color w:val="000000"/>
          <w:sz w:val="32"/>
          <w:szCs w:val="32"/>
        </w:rPr>
        <w:t>。若不适用，需具体阐述理由及相应的科学依据，并依据产品的具体特性对注册申报资料的内容进行充实和细化。</w:t>
      </w:r>
    </w:p>
    <w:p w14:paraId="47BB6196">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本指导原则是供注册申请人和技术审评人员的指导性文件，但不包括注册审批所涉及的行政事项，亦不作为法规强制执行，需在遵循相关法规和强制性标准的前提下</w:t>
      </w:r>
      <w:r>
        <w:rPr>
          <w:rFonts w:hint="eastAsia" w:ascii="Times New Roman" w:hAnsi="Times New Roman" w:eastAsia="仿宋_GB2312" w:cs="Times New Roman"/>
          <w:color w:val="000000"/>
          <w:sz w:val="32"/>
          <w:szCs w:val="32"/>
        </w:rPr>
        <w:t>适用</w:t>
      </w:r>
      <w:r>
        <w:rPr>
          <w:rFonts w:ascii="Times New Roman" w:hAnsi="Times New Roman" w:eastAsia="仿宋_GB2312" w:cs="Times New Roman"/>
          <w:color w:val="000000"/>
          <w:sz w:val="32"/>
          <w:szCs w:val="32"/>
        </w:rPr>
        <w:t>本指导原则。如果有能够满足相关法规要求的其他方法，也可以采用，但是需要提供详细的研究资料和验证资料。</w:t>
      </w:r>
    </w:p>
    <w:p w14:paraId="48EB5C97">
      <w:pPr>
        <w:spacing w:line="520" w:lineRule="exact"/>
        <w:ind w:firstLine="640" w:firstLineChars="200"/>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14:paraId="5A72AE59">
      <w:pPr>
        <w:spacing w:line="520" w:lineRule="exact"/>
        <w:ind w:firstLine="640" w:firstLineChars="200"/>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一、适用范围</w:t>
      </w:r>
    </w:p>
    <w:p w14:paraId="2867168D">
      <w:pPr>
        <w:spacing w:line="520" w:lineRule="exact"/>
        <w:ind w:firstLine="640" w:firstLineChars="200"/>
        <w:rPr>
          <w:rFonts w:hint="eastAsia" w:ascii="Times New Roman" w:hAnsi="Times New Roman" w:eastAsia="仿宋_GB2312" w:cs="Times New Roman"/>
          <w:color w:val="000000"/>
          <w:sz w:val="32"/>
          <w:szCs w:val="32"/>
          <w:lang w:eastAsia="zh-CN"/>
        </w:rPr>
      </w:pPr>
      <w:r>
        <w:rPr>
          <w:rFonts w:ascii="Times New Roman" w:hAnsi="Times New Roman" w:eastAsia="仿宋_GB2312" w:cs="Times New Roman"/>
          <w:color w:val="000000"/>
          <w:sz w:val="32"/>
          <w:szCs w:val="32"/>
        </w:rPr>
        <w:t>本指导原则适用于</w:t>
      </w:r>
      <w:r>
        <w:rPr>
          <w:rFonts w:hint="eastAsia" w:ascii="Times New Roman" w:hAnsi="Times New Roman" w:eastAsia="仿宋_GB2312" w:cs="Times New Roman"/>
          <w:color w:val="000000"/>
          <w:sz w:val="32"/>
          <w:szCs w:val="32"/>
        </w:rPr>
        <w:t>《医疗器械分类目录》中分类编码为</w:t>
      </w:r>
      <w:r>
        <w:rPr>
          <w:rFonts w:hint="eastAsia" w:ascii="Times New Roman" w:hAnsi="Times New Roman" w:eastAsia="仿宋_GB2312" w:cs="Times New Roman"/>
          <w:color w:val="000000"/>
          <w:sz w:val="32"/>
          <w:szCs w:val="32"/>
          <w:lang w:val="en-US" w:eastAsia="zh-CN"/>
        </w:rPr>
        <w:t>04</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09</w:t>
      </w:r>
      <w:r>
        <w:rPr>
          <w:rFonts w:hint="eastAsia"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lang w:val="en-US" w:eastAsia="zh-CN"/>
        </w:rPr>
        <w:t>01，按照</w:t>
      </w:r>
      <w:r>
        <w:rPr>
          <w:rFonts w:ascii="Times New Roman" w:hAnsi="Times New Roman" w:eastAsia="仿宋_GB2312" w:cs="Times New Roman"/>
          <w:color w:val="000000"/>
          <w:sz w:val="32"/>
          <w:szCs w:val="32"/>
        </w:rPr>
        <w:t>第</w:t>
      </w:r>
      <w:r>
        <w:rPr>
          <w:rFonts w:hint="eastAsia" w:ascii="Times New Roman" w:hAnsi="Times New Roman" w:eastAsia="仿宋_GB2312" w:cs="Times New Roman"/>
          <w:color w:val="000000"/>
          <w:sz w:val="32"/>
          <w:szCs w:val="32"/>
        </w:rPr>
        <w:t>Ⅱ</w:t>
      </w:r>
      <w:r>
        <w:rPr>
          <w:rFonts w:ascii="Times New Roman" w:hAnsi="Times New Roman" w:eastAsia="仿宋_GB2312" w:cs="Times New Roman"/>
          <w:color w:val="000000"/>
          <w:sz w:val="32"/>
          <w:szCs w:val="32"/>
        </w:rPr>
        <w:t>类医疗器械管理</w:t>
      </w:r>
      <w:r>
        <w:rPr>
          <w:rFonts w:hint="eastAsia" w:ascii="Times New Roman" w:hAnsi="Times New Roman" w:eastAsia="仿宋_GB2312" w:cs="Times New Roman"/>
          <w:color w:val="000000"/>
          <w:sz w:val="32"/>
          <w:szCs w:val="32"/>
        </w:rPr>
        <w:t>的骨科用锯</w:t>
      </w:r>
      <w:r>
        <w:rPr>
          <w:rFonts w:hint="eastAsia" w:ascii="Times New Roman" w:hAnsi="Times New Roman" w:eastAsia="仿宋_GB2312" w:cs="Times New Roman"/>
          <w:color w:val="000000"/>
          <w:sz w:val="32"/>
          <w:szCs w:val="32"/>
          <w:lang w:eastAsia="zh-CN"/>
        </w:rPr>
        <w:t>。</w:t>
      </w:r>
    </w:p>
    <w:p w14:paraId="74C240EB">
      <w:pPr>
        <w:spacing w:line="520" w:lineRule="exact"/>
        <w:ind w:firstLine="640" w:firstLineChars="200"/>
        <w:rPr>
          <w:rFonts w:ascii="仿宋" w:hAnsi="仿宋" w:eastAsia="仿宋" w:cs="仿宋"/>
          <w:color w:val="000000"/>
          <w:sz w:val="28"/>
          <w:szCs w:val="28"/>
        </w:rPr>
      </w:pPr>
      <w:r>
        <w:rPr>
          <w:rFonts w:ascii="Times New Roman" w:hAnsi="Times New Roman" w:eastAsia="黑体" w:cs="Times New Roman"/>
          <w:color w:val="000000"/>
          <w:sz w:val="32"/>
          <w:szCs w:val="32"/>
        </w:rPr>
        <w:t>二、注册审查要点</w:t>
      </w:r>
    </w:p>
    <w:p w14:paraId="080B39C2">
      <w:pPr>
        <w:spacing w:line="520" w:lineRule="exact"/>
        <w:ind w:firstLine="640" w:firstLineChars="200"/>
        <w:outlineLvl w:val="1"/>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（一）监管信息</w:t>
      </w:r>
    </w:p>
    <w:p w14:paraId="6E210394">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1.产品名称</w:t>
      </w:r>
    </w:p>
    <w:p w14:paraId="46150525">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产品名称应符合《医疗器械通用名称命名规则》的要求。可以通过技术原理、结构组成或者预期目的来概括表述核心词，产品为一次性使用的无菌产品，产品名称中应加入“一次性使用”和“无菌”字样。如一次性无菌骨锯片、无菌线锯条。</w:t>
      </w:r>
    </w:p>
    <w:p w14:paraId="5E05428C">
      <w:pPr>
        <w:spacing w:line="520" w:lineRule="atLeas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w:t>
      </w:r>
      <w:r>
        <w:rPr>
          <w:rFonts w:hint="eastAsia" w:ascii="仿宋" w:hAnsi="仿宋" w:eastAsia="仿宋" w:cs="仿宋"/>
          <w:sz w:val="32"/>
          <w:szCs w:val="32"/>
        </w:rPr>
        <w:t>管理类别、分类编码</w:t>
      </w:r>
    </w:p>
    <w:p w14:paraId="75043E97">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color w:val="000000"/>
          <w:sz w:val="32"/>
          <w:szCs w:val="32"/>
        </w:rPr>
        <w:t>根据《医疗器械分类目录》</w:t>
      </w:r>
      <w:r>
        <w:rPr>
          <w:rFonts w:hint="eastAsia" w:ascii="仿宋" w:hAnsi="仿宋" w:eastAsia="仿宋" w:cs="仿宋"/>
          <w:snapToGrid w:val="0"/>
          <w:kern w:val="0"/>
          <w:sz w:val="32"/>
          <w:szCs w:val="32"/>
        </w:rPr>
        <w:t>，申报产品</w:t>
      </w:r>
      <w:r>
        <w:rPr>
          <w:rFonts w:hint="eastAsia" w:ascii="仿宋" w:hAnsi="仿宋" w:eastAsia="仿宋" w:cs="仿宋"/>
          <w:color w:val="000000"/>
          <w:sz w:val="32"/>
          <w:szCs w:val="32"/>
        </w:rPr>
        <w:t>按照第</w:t>
      </w:r>
      <w:r>
        <w:rPr>
          <w:rFonts w:hint="eastAsia" w:ascii="仿宋" w:hAnsi="仿宋" w:eastAsia="仿宋" w:cs="仿宋"/>
          <w:sz w:val="32"/>
          <w:szCs w:val="32"/>
        </w:rPr>
        <w:t>Ⅱ</w:t>
      </w:r>
      <w:r>
        <w:rPr>
          <w:rFonts w:hint="eastAsia" w:ascii="仿宋" w:hAnsi="仿宋" w:eastAsia="仿宋" w:cs="仿宋"/>
          <w:color w:val="000000"/>
          <w:sz w:val="32"/>
          <w:szCs w:val="32"/>
        </w:rPr>
        <w:t>类医疗器械管</w:t>
      </w:r>
      <w:r>
        <w:rPr>
          <w:rFonts w:hint="eastAsia" w:ascii="仿宋" w:hAnsi="仿宋" w:eastAsia="仿宋" w:cs="仿宋"/>
          <w:snapToGrid w:val="0"/>
          <w:kern w:val="0"/>
          <w:sz w:val="32"/>
          <w:szCs w:val="32"/>
        </w:rPr>
        <w:t>理，</w:t>
      </w:r>
      <w:r>
        <w:rPr>
          <w:rFonts w:hint="eastAsia" w:ascii="仿宋" w:hAnsi="仿宋" w:eastAsia="仿宋" w:cs="仿宋"/>
          <w:snapToGrid w:val="0"/>
          <w:sz w:val="32"/>
          <w:szCs w:val="32"/>
        </w:rPr>
        <w:t>申报产品属于子</w:t>
      </w:r>
      <w:r>
        <w:rPr>
          <w:rFonts w:hint="eastAsia" w:ascii="仿宋" w:hAnsi="仿宋" w:eastAsia="仿宋" w:cs="仿宋"/>
          <w:sz w:val="32"/>
          <w:szCs w:val="32"/>
        </w:rPr>
        <w:t>目录04-</w:t>
      </w:r>
      <w:r>
        <w:rPr>
          <w:rFonts w:hint="eastAsia" w:ascii="仿宋" w:hAnsi="仿宋" w:eastAsia="仿宋" w:cs="仿宋"/>
          <w:snapToGrid w:val="0"/>
          <w:kern w:val="0"/>
          <w:sz w:val="32"/>
          <w:szCs w:val="32"/>
        </w:rPr>
        <w:t>骨科手术器械</w:t>
      </w:r>
      <w:r>
        <w:rPr>
          <w:rFonts w:hint="eastAsia" w:ascii="仿宋" w:hAnsi="仿宋" w:eastAsia="仿宋" w:cs="仿宋"/>
          <w:sz w:val="32"/>
          <w:szCs w:val="32"/>
        </w:rPr>
        <w:t>，一级产品类别09-</w:t>
      </w:r>
      <w:r>
        <w:rPr>
          <w:rFonts w:hint="eastAsia" w:ascii="仿宋" w:hAnsi="仿宋" w:eastAsia="仿宋" w:cs="仿宋"/>
          <w:snapToGrid w:val="0"/>
          <w:kern w:val="0"/>
          <w:sz w:val="32"/>
          <w:szCs w:val="32"/>
        </w:rPr>
        <w:t>骨科用锯</w:t>
      </w:r>
      <w:r>
        <w:rPr>
          <w:rFonts w:hint="eastAsia" w:ascii="仿宋" w:hAnsi="仿宋" w:eastAsia="仿宋" w:cs="仿宋"/>
          <w:sz w:val="32"/>
          <w:szCs w:val="32"/>
        </w:rPr>
        <w:t>，二级产品类别01-</w:t>
      </w:r>
      <w:r>
        <w:rPr>
          <w:rFonts w:hint="eastAsia" w:ascii="仿宋" w:hAnsi="仿宋" w:eastAsia="仿宋" w:cs="仿宋"/>
          <w:snapToGrid w:val="0"/>
          <w:kern w:val="0"/>
          <w:sz w:val="32"/>
          <w:szCs w:val="32"/>
        </w:rPr>
        <w:t>骨锯</w:t>
      </w:r>
      <w:r>
        <w:rPr>
          <w:rFonts w:hint="eastAsia" w:ascii="仿宋" w:hAnsi="仿宋" w:eastAsia="仿宋" w:cs="仿宋"/>
          <w:sz w:val="32"/>
          <w:szCs w:val="32"/>
        </w:rPr>
        <w:t>。</w:t>
      </w:r>
    </w:p>
    <w:p w14:paraId="56CE103F">
      <w:pPr>
        <w:spacing w:line="520" w:lineRule="atLeas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3.注册单元划分的原则</w:t>
      </w:r>
    </w:p>
    <w:p w14:paraId="48057220">
      <w:pPr>
        <w:spacing w:line="520" w:lineRule="atLeast"/>
        <w:ind w:firstLine="640" w:firstLineChars="200"/>
        <w:rPr>
          <w:rFonts w:ascii="仿宋" w:hAnsi="仿宋" w:eastAsia="仿宋" w:cs="仿宋"/>
          <w:sz w:val="32"/>
          <w:szCs w:val="32"/>
        </w:rPr>
      </w:pPr>
      <w:r>
        <w:rPr>
          <w:rFonts w:hint="eastAsia" w:ascii="仿宋" w:hAnsi="仿宋" w:eastAsia="仿宋" w:cs="仿宋"/>
          <w:snapToGrid w:val="0"/>
          <w:kern w:val="0"/>
          <w:sz w:val="32"/>
          <w:szCs w:val="32"/>
        </w:rPr>
        <w:t>注册单元的划分应参照《医疗器械注册单元划分指导原则》的要求，以产品的技术原理、结构组成、性能指标和适用范围等因素为划分依据。</w:t>
      </w:r>
      <w:r>
        <w:rPr>
          <w:rFonts w:hint="eastAsia" w:ascii="仿宋" w:hAnsi="仿宋" w:eastAsia="仿宋" w:cs="仿宋"/>
          <w:sz w:val="32"/>
          <w:szCs w:val="32"/>
        </w:rPr>
        <w:t>产品结构组成或灭菌处理方式不同而导致产品性能指标不同时，</w:t>
      </w:r>
      <w:r>
        <w:rPr>
          <w:rFonts w:hint="eastAsia" w:ascii="仿宋" w:hAnsi="仿宋" w:eastAsia="仿宋" w:cs="仿宋"/>
          <w:sz w:val="32"/>
          <w:szCs w:val="32"/>
          <w:lang w:val="en-US" w:eastAsia="zh-CN"/>
        </w:rPr>
        <w:t>建议</w:t>
      </w:r>
      <w:r>
        <w:rPr>
          <w:rFonts w:hint="eastAsia" w:ascii="仿宋" w:hAnsi="仿宋" w:eastAsia="仿宋" w:cs="仿宋"/>
          <w:sz w:val="32"/>
          <w:szCs w:val="32"/>
        </w:rPr>
        <w:t>划分为不同的注册单元。</w:t>
      </w:r>
    </w:p>
    <w:p w14:paraId="4CC7E2B0">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4.</w:t>
      </w:r>
      <w:r>
        <w:rPr>
          <w:rFonts w:hint="eastAsia" w:ascii="Times New Roman" w:hAnsi="Times New Roman" w:eastAsia="仿宋_GB2312" w:cs="Times New Roman"/>
          <w:sz w:val="32"/>
          <w:szCs w:val="32"/>
        </w:rPr>
        <w:t>型号规格</w:t>
      </w:r>
    </w:p>
    <w:p w14:paraId="7A2F9196">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以表格形式列出拟申报产品的型号、规格、结构及组成，以及每个型号规格的标识和描述说明（如尺寸、材质等）。</w:t>
      </w:r>
    </w:p>
    <w:p w14:paraId="558CE78F">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5.结构及组成</w:t>
      </w:r>
    </w:p>
    <w:p w14:paraId="74A23CCB">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通常为环形或扁形手术切割器械，有锯齿刃口。一般采用不锈钢材料制成；或通常为扁平或线型的手术切割器械，有锯齿刃口。可带有附属手柄。一般采用不锈钢材料制成。无菌提供。不接触中枢神经系统。</w:t>
      </w:r>
    </w:p>
    <w:p w14:paraId="36C1B255">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6.既往沟通记录</w:t>
      </w:r>
    </w:p>
    <w:p w14:paraId="1E343383">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在产品申报前，如果注册申请人与监管机构针对申报产品以会议形式进行了沟通，或者申报产品与既往注册申报相关，应提交相关沟通记录。</w:t>
      </w:r>
    </w:p>
    <w:p w14:paraId="2252A5B0">
      <w:pPr>
        <w:spacing w:line="520" w:lineRule="exact"/>
        <w:ind w:firstLine="640" w:firstLineChars="200"/>
        <w:outlineLvl w:val="1"/>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（二）综述资料</w:t>
      </w:r>
    </w:p>
    <w:p w14:paraId="5F77D29E">
      <w:pPr>
        <w:spacing w:line="520" w:lineRule="atLeast"/>
        <w:ind w:left="630"/>
        <w:rPr>
          <w:rFonts w:ascii="仿宋" w:hAnsi="仿宋" w:eastAsia="仿宋" w:cs="仿宋"/>
          <w:sz w:val="32"/>
          <w:szCs w:val="32"/>
        </w:rPr>
      </w:pPr>
      <w:r>
        <w:rPr>
          <w:rFonts w:hint="eastAsia" w:ascii="仿宋" w:hAnsi="仿宋" w:eastAsia="仿宋" w:cs="仿宋"/>
          <w:sz w:val="32"/>
          <w:szCs w:val="32"/>
        </w:rPr>
        <w:t>1.器械及操作原理描述</w:t>
      </w:r>
    </w:p>
    <w:p w14:paraId="63A204B5">
      <w:pPr>
        <w:numPr>
          <w:ilvl w:val="255"/>
          <w:numId w:val="0"/>
        </w:num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1.1提供产品各型号的几何结构外形图，充分描述产品结构信息。</w:t>
      </w:r>
      <w:r>
        <w:rPr>
          <w:rFonts w:hint="eastAsia" w:ascii="仿宋" w:hAnsi="仿宋" w:eastAsia="仿宋" w:cs="仿宋"/>
          <w:snapToGrid w:val="0"/>
          <w:kern w:val="0"/>
          <w:sz w:val="32"/>
          <w:szCs w:val="32"/>
          <w:lang w:val="en-US" w:eastAsia="zh-CN"/>
        </w:rPr>
        <w:t>包括</w:t>
      </w:r>
      <w:r>
        <w:rPr>
          <w:rFonts w:hint="eastAsia" w:ascii="仿宋" w:hAnsi="仿宋" w:eastAsia="仿宋" w:cs="仿宋"/>
          <w:bCs/>
          <w:sz w:val="32"/>
          <w:szCs w:val="32"/>
        </w:rPr>
        <w:t>结构组成</w:t>
      </w:r>
      <w:r>
        <w:rPr>
          <w:rFonts w:hint="eastAsia" w:ascii="仿宋" w:hAnsi="仿宋" w:eastAsia="仿宋" w:cs="仿宋"/>
          <w:bCs/>
          <w:sz w:val="32"/>
          <w:szCs w:val="32"/>
          <w:lang w:eastAsia="zh-CN"/>
        </w:rPr>
        <w:t>、</w:t>
      </w:r>
      <w:r>
        <w:rPr>
          <w:rFonts w:hint="eastAsia" w:ascii="仿宋" w:hAnsi="仿宋" w:eastAsia="仿宋" w:cs="仿宋"/>
          <w:sz w:val="32"/>
          <w:szCs w:val="32"/>
        </w:rPr>
        <w:t>需提供所含组件描述、选用材料、材料牌号信息、交付状态、一次性使用信息、装配图、关键尺寸、材质证明、工艺流程图。</w:t>
      </w:r>
    </w:p>
    <w:p w14:paraId="508FE367">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1.2申报资料中需明确相关材料牌号/商品名及符合的标准。</w:t>
      </w:r>
    </w:p>
    <w:p w14:paraId="222D580B">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1.3提供器械的关键尺寸信息，如锯齿参数（齿距、 齿深、角度）等体现产品设计特征的尺寸及公差。</w:t>
      </w:r>
    </w:p>
    <w:p w14:paraId="2B724A08">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1.4明确各型号产品的划分依据。</w:t>
      </w:r>
    </w:p>
    <w:p w14:paraId="12F60077">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1.5提供产品工作原理/作用机理。</w:t>
      </w:r>
    </w:p>
    <w:p w14:paraId="0F5183CD">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1.6提供产品结构及关键尺寸的设计依据。</w:t>
      </w:r>
    </w:p>
    <w:p w14:paraId="700ADDA5">
      <w:pPr>
        <w:autoSpaceDE w:val="0"/>
        <w:autoSpaceDN w:val="0"/>
        <w:spacing w:line="520" w:lineRule="atLeast"/>
        <w:ind w:firstLine="640" w:firstLineChars="200"/>
        <w:rPr>
          <w:rFonts w:ascii="仿宋" w:hAnsi="仿宋" w:eastAsia="仿宋" w:cs="仿宋"/>
          <w:snapToGrid w:val="0"/>
          <w:kern w:val="0"/>
          <w:sz w:val="32"/>
          <w:szCs w:val="32"/>
        </w:rPr>
      </w:pPr>
      <w:r>
        <w:rPr>
          <w:rFonts w:hint="eastAsia" w:ascii="仿宋" w:hAnsi="仿宋" w:eastAsia="仿宋" w:cs="仿宋"/>
          <w:snapToGrid w:val="0"/>
          <w:kern w:val="0"/>
          <w:sz w:val="32"/>
          <w:szCs w:val="32"/>
        </w:rPr>
        <w:t>1.7产品列表</w:t>
      </w:r>
    </w:p>
    <w:p w14:paraId="3C75AAA2">
      <w:pPr>
        <w:autoSpaceDE w:val="0"/>
        <w:autoSpaceDN w:val="0"/>
        <w:spacing w:line="520" w:lineRule="atLeast"/>
        <w:ind w:firstLine="640" w:firstLineChars="200"/>
        <w:rPr>
          <w:rFonts w:hint="eastAsia" w:ascii="仿宋" w:hAnsi="仿宋" w:eastAsia="仿宋" w:cs="仿宋"/>
          <w:snapToGrid w:val="0"/>
          <w:kern w:val="0"/>
          <w:sz w:val="32"/>
          <w:szCs w:val="32"/>
        </w:rPr>
      </w:pPr>
      <w:r>
        <w:rPr>
          <w:rFonts w:hint="eastAsia" w:ascii="仿宋" w:hAnsi="仿宋" w:eastAsia="仿宋" w:cs="仿宋"/>
          <w:snapToGrid w:val="0"/>
          <w:kern w:val="0"/>
          <w:sz w:val="32"/>
          <w:szCs w:val="32"/>
        </w:rPr>
        <w:t>以表格形式列出拟申报产品的型号、规格、结构及组成，以及每个型号规格的标识和描述说明（如尺寸、材质等）</w:t>
      </w:r>
    </w:p>
    <w:p w14:paraId="581EA36D">
      <w:pPr>
        <w:autoSpaceDE w:val="0"/>
        <w:autoSpaceDN w:val="0"/>
        <w:spacing w:line="520" w:lineRule="atLeast"/>
        <w:ind w:firstLine="640" w:firstLineChars="200"/>
        <w:rPr>
          <w:rFonts w:hint="default" w:ascii="仿宋" w:hAnsi="仿宋" w:eastAsia="仿宋" w:cs="仿宋"/>
          <w:snapToGrid w:val="0"/>
          <w:kern w:val="0"/>
          <w:sz w:val="32"/>
          <w:szCs w:val="32"/>
          <w:lang w:val="en-US" w:eastAsia="zh-CN"/>
        </w:rPr>
      </w:pPr>
      <w:r>
        <w:rPr>
          <w:rFonts w:hint="eastAsia" w:ascii="仿宋" w:hAnsi="仿宋" w:eastAsia="仿宋" w:cs="仿宋"/>
          <w:snapToGrid w:val="0"/>
          <w:kern w:val="0"/>
          <w:sz w:val="32"/>
          <w:szCs w:val="32"/>
          <w:lang w:val="en-US" w:eastAsia="zh-CN"/>
        </w:rPr>
        <w:t>1.8提供与有源器械联用的情况或手动使用的描述。</w:t>
      </w:r>
    </w:p>
    <w:p w14:paraId="3372700C">
      <w:pPr>
        <w:spacing w:line="520" w:lineRule="atLeas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2.产品的适用范围、适用人群、禁忌证</w:t>
      </w:r>
    </w:p>
    <w:p w14:paraId="170602A3">
      <w:pPr>
        <w:tabs>
          <w:tab w:val="left" w:pos="540"/>
        </w:tabs>
        <w:spacing w:line="520" w:lineRule="atLeast"/>
        <w:ind w:firstLine="640" w:firstLineChars="200"/>
        <w:outlineLvl w:val="2"/>
        <w:rPr>
          <w:rFonts w:ascii="仿宋" w:hAnsi="仿宋" w:eastAsia="仿宋" w:cs="仿宋"/>
          <w:sz w:val="32"/>
          <w:szCs w:val="32"/>
        </w:rPr>
      </w:pPr>
      <w:r>
        <w:rPr>
          <w:rFonts w:hint="eastAsia" w:ascii="仿宋" w:hAnsi="仿宋" w:eastAsia="仿宋" w:cs="仿宋"/>
          <w:sz w:val="32"/>
          <w:szCs w:val="32"/>
        </w:rPr>
        <w:t>2.1应当描述申报产品的适用范围，明确预期用途。</w:t>
      </w:r>
    </w:p>
    <w:p w14:paraId="2358E1CB">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bCs/>
          <w:sz w:val="32"/>
          <w:szCs w:val="32"/>
        </w:rPr>
        <w:t>2.2.</w:t>
      </w:r>
      <w:r>
        <w:rPr>
          <w:rFonts w:hint="eastAsia" w:ascii="仿宋" w:hAnsi="仿宋" w:eastAsia="仿宋" w:cs="仿宋"/>
          <w:sz w:val="32"/>
          <w:szCs w:val="32"/>
        </w:rPr>
        <w:t>适用人群</w:t>
      </w:r>
    </w:p>
    <w:p w14:paraId="6E9B3F73">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明确目标患者人群的信息，如需进行骨科手术的患者/人群。</w:t>
      </w:r>
    </w:p>
    <w:p w14:paraId="03449B95">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bCs/>
          <w:sz w:val="32"/>
          <w:szCs w:val="32"/>
        </w:rPr>
        <w:t>2.3.</w:t>
      </w:r>
      <w:r>
        <w:rPr>
          <w:rFonts w:hint="eastAsia" w:ascii="仿宋" w:hAnsi="仿宋" w:eastAsia="仿宋" w:cs="仿宋"/>
          <w:sz w:val="32"/>
          <w:szCs w:val="32"/>
        </w:rPr>
        <w:t>禁忌证</w:t>
      </w:r>
    </w:p>
    <w:p w14:paraId="332600F6">
      <w:pPr>
        <w:tabs>
          <w:tab w:val="left" w:pos="540"/>
        </w:tabs>
        <w:spacing w:line="520" w:lineRule="atLeast"/>
        <w:ind w:firstLine="640" w:firstLineChars="200"/>
        <w:rPr>
          <w:rFonts w:ascii="仿宋" w:hAnsi="仿宋" w:eastAsia="仿宋" w:cs="仿宋"/>
          <w:bCs/>
          <w:sz w:val="32"/>
          <w:szCs w:val="32"/>
        </w:rPr>
      </w:pPr>
      <w:r>
        <w:rPr>
          <w:rFonts w:hint="eastAsia" w:ascii="仿宋" w:hAnsi="仿宋" w:eastAsia="仿宋" w:cs="仿宋"/>
          <w:sz w:val="32"/>
          <w:szCs w:val="32"/>
        </w:rPr>
        <w:t>应当明确说明该器械不适宜应用的特定人群或特定情况等信息。如对该产品所用不锈钢过敏者禁止使用。</w:t>
      </w:r>
    </w:p>
    <w:p w14:paraId="2821412A">
      <w:pPr>
        <w:tabs>
          <w:tab w:val="left" w:pos="312"/>
        </w:tabs>
        <w:spacing w:line="520" w:lineRule="atLeast"/>
        <w:ind w:firstLine="640" w:firstLineChars="200"/>
        <w:outlineLvl w:val="2"/>
        <w:rPr>
          <w:rFonts w:ascii="仿宋" w:hAnsi="仿宋" w:eastAsia="仿宋" w:cs="仿宋"/>
          <w:sz w:val="32"/>
          <w:szCs w:val="32"/>
        </w:rPr>
      </w:pPr>
      <w:r>
        <w:rPr>
          <w:rFonts w:hint="eastAsia" w:ascii="仿宋" w:hAnsi="仿宋" w:eastAsia="仿宋" w:cs="仿宋"/>
          <w:bCs/>
          <w:sz w:val="32"/>
          <w:szCs w:val="32"/>
        </w:rPr>
        <w:t>3.</w:t>
      </w:r>
      <w:r>
        <w:rPr>
          <w:rFonts w:hint="eastAsia" w:ascii="仿宋" w:hAnsi="仿宋" w:eastAsia="仿宋" w:cs="仿宋"/>
          <w:sz w:val="32"/>
          <w:szCs w:val="32"/>
        </w:rPr>
        <w:t>包装说明</w:t>
      </w:r>
    </w:p>
    <w:p w14:paraId="2AEC9C96">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提供产品的包装信息，应包括包装形式、包装材料、包装工艺、包装原材料供应商信息以及无菌屏障系统等信息。明确最小销售单元内包含的产品数量及其中每一独立产品或配件的包装形式。必要时，可提供图示及照片进行说明。</w:t>
      </w:r>
    </w:p>
    <w:p w14:paraId="6C6E87F5">
      <w:pPr>
        <w:tabs>
          <w:tab w:val="left" w:pos="312"/>
        </w:tabs>
        <w:spacing w:line="520" w:lineRule="atLeast"/>
        <w:ind w:firstLine="640" w:firstLineChars="200"/>
        <w:outlineLvl w:val="2"/>
        <w:rPr>
          <w:rFonts w:ascii="仿宋" w:hAnsi="仿宋" w:eastAsia="仿宋" w:cs="仿宋"/>
          <w:bCs/>
          <w:sz w:val="32"/>
          <w:szCs w:val="32"/>
        </w:rPr>
      </w:pPr>
      <w:r>
        <w:rPr>
          <w:rFonts w:hint="eastAsia" w:ascii="仿宋" w:hAnsi="仿宋" w:eastAsia="仿宋" w:cs="仿宋"/>
          <w:bCs/>
          <w:sz w:val="32"/>
          <w:szCs w:val="32"/>
        </w:rPr>
        <w:t>4.研发历程</w:t>
      </w:r>
    </w:p>
    <w:p w14:paraId="47E9D7DB">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阐述申请注册产品的研发背景和目的。如有参考的同类产品或前代产品（如有），应当提供同类产品或前代产品的信息，并说明选择其作为研发参考的原因。</w:t>
      </w:r>
    </w:p>
    <w:p w14:paraId="6FAA24ED">
      <w:pPr>
        <w:tabs>
          <w:tab w:val="left" w:pos="540"/>
        </w:tabs>
        <w:spacing w:line="520" w:lineRule="atLeast"/>
        <w:ind w:firstLine="640" w:firstLineChars="200"/>
        <w:outlineLvl w:val="2"/>
        <w:rPr>
          <w:rFonts w:ascii="仿宋" w:hAnsi="仿宋" w:eastAsia="仿宋" w:cs="仿宋"/>
          <w:sz w:val="32"/>
          <w:szCs w:val="32"/>
        </w:rPr>
      </w:pPr>
      <w:r>
        <w:rPr>
          <w:rFonts w:hint="eastAsia" w:ascii="仿宋" w:hAnsi="仿宋" w:eastAsia="仿宋" w:cs="仿宋"/>
          <w:bCs/>
          <w:sz w:val="32"/>
          <w:szCs w:val="32"/>
        </w:rPr>
        <w:t>5.与同类和/或前代产品比较</w:t>
      </w:r>
    </w:p>
    <w:p w14:paraId="74DA94AB">
      <w:pPr>
        <w:spacing w:line="520" w:lineRule="atLeast"/>
        <w:ind w:firstLine="640" w:firstLineChars="200"/>
        <w:rPr>
          <w:rFonts w:ascii="仿宋" w:hAnsi="仿宋" w:eastAsia="仿宋" w:cs="仿宋"/>
          <w:bCs/>
          <w:sz w:val="32"/>
          <w:szCs w:val="32"/>
        </w:rPr>
      </w:pPr>
      <w:r>
        <w:rPr>
          <w:rFonts w:hint="eastAsia" w:ascii="仿宋" w:hAnsi="仿宋" w:eastAsia="仿宋" w:cs="仿宋"/>
          <w:bCs/>
          <w:sz w:val="32"/>
          <w:szCs w:val="32"/>
        </w:rPr>
        <w:t>列表比较说明申报产品与同类产品和/或前代产品在工作原理、结构组成、制造材料、性能指标、作用方式、灭菌方式以及适用范围等方面的异同。</w:t>
      </w:r>
    </w:p>
    <w:p w14:paraId="13E8C69D">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bCs/>
          <w:sz w:val="32"/>
          <w:szCs w:val="32"/>
        </w:rPr>
        <w:t>6.</w:t>
      </w:r>
      <w:r>
        <w:rPr>
          <w:rFonts w:hint="eastAsia" w:ascii="仿宋" w:hAnsi="仿宋" w:eastAsia="仿宋" w:cs="仿宋"/>
          <w:sz w:val="32"/>
          <w:szCs w:val="32"/>
        </w:rPr>
        <w:t>预期使用环境</w:t>
      </w:r>
    </w:p>
    <w:p w14:paraId="07E152DE">
      <w:pPr>
        <w:tabs>
          <w:tab w:val="left" w:pos="540"/>
        </w:tabs>
        <w:spacing w:line="520" w:lineRule="atLeast"/>
        <w:ind w:firstLine="640" w:firstLineChars="200"/>
        <w:rPr>
          <w:rFonts w:ascii="仿宋" w:hAnsi="仿宋" w:eastAsia="仿宋" w:cs="仿宋"/>
          <w:bCs/>
          <w:sz w:val="32"/>
          <w:szCs w:val="32"/>
        </w:rPr>
      </w:pPr>
      <w:r>
        <w:rPr>
          <w:rFonts w:hint="eastAsia" w:ascii="仿宋" w:hAnsi="仿宋" w:eastAsia="仿宋" w:cs="仿宋"/>
          <w:bCs/>
          <w:sz w:val="32"/>
          <w:szCs w:val="32"/>
        </w:rPr>
        <w:t>预期使用环境为医疗机构。</w:t>
      </w:r>
    </w:p>
    <w:p w14:paraId="5390A966">
      <w:pPr>
        <w:spacing w:line="520" w:lineRule="exact"/>
        <w:ind w:firstLine="640" w:firstLineChars="200"/>
        <w:outlineLvl w:val="1"/>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（三）非临床研究资料</w:t>
      </w:r>
    </w:p>
    <w:p w14:paraId="709279B8">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1.产品的风险管理资料（列表产品风险生物安全风险等）</w:t>
      </w:r>
    </w:p>
    <w:p w14:paraId="5D090D85">
      <w:pPr>
        <w:spacing w:line="520" w:lineRule="atLeas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应依据GB/T 42062《医疗器械 风险管理对医疗器械的应用》提供产品风险管理报告。注册申请人应重点说明：申报产品的研制阶段已对有关可能的危害及产生的风险进行了估计和评价，针对性地实施了降低风险的技术和管理方面的措施。产品性能测试对上述措施的有效性进行了充分验证，达到了相关标准的要求。注册申请人对所有剩余风险进行了评价，全部达到可接受的水平。产品风险分析资料应为注册申请人关于产品安全性的承诺提供支持。应对申报产品的可能危害进行判定并列出清单。</w:t>
      </w:r>
    </w:p>
    <w:p w14:paraId="21A3DDBC">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2.医疗器械安全和性能基本原则清单</w:t>
      </w:r>
    </w:p>
    <w:p w14:paraId="6F1EA79E">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应结合申报产品自身特点说明申报产品符合《医疗器械安全和性能基本原则清单》各项适用要求所采用的方法，以及证明其符合性的文件。对于《医疗器械安全和性能基本原则清单》中不适用的各项要求，应当说明理由。</w:t>
      </w:r>
    </w:p>
    <w:p w14:paraId="562EF94D">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对于包含在产品注册申报资料中的文件，应当说明其在申报资料中的具体位置；对于未包含在产品注册申报资料中的文件，应当注明该证据文件名称及其在质量管理体系文件中的编号备查。</w:t>
      </w:r>
    </w:p>
    <w:p w14:paraId="0F488C87">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3.产品技术要求及检验报告</w:t>
      </w:r>
    </w:p>
    <w:p w14:paraId="11395752">
      <w:pPr>
        <w:spacing w:line="520" w:lineRule="atLeas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产品技术要求需符合相关国家标准、行业标准和有关法律、法规的相应要求。在此基础上，注册申请人需根据产品的技术特征和临床使用情况，制定保证产品安全、有效的技术要求。产品技术要求中试验方法需依据有关国家标准、行业标准、国际标准制订，或试验方法经过验证。</w:t>
      </w:r>
    </w:p>
    <w:p w14:paraId="467E2EDE">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3.1产品型号/规格及其划分的说明</w:t>
      </w:r>
    </w:p>
    <w:p w14:paraId="7E1F06B5">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列表说明产品的型号、规格，明确产品型号、规格的划分说明。需包含以下产品相关信息：</w:t>
      </w:r>
    </w:p>
    <w:p w14:paraId="23C25EE1">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3.1.1明示产品的组成、各组成部分的材料牌号/商品名及符合的国家标准、行业标准、国际标准，如GB/T20878、GB/T3621、YY/T 0806、YY/T0294.1、GB/T1220等。</w:t>
      </w:r>
    </w:p>
    <w:p w14:paraId="12C75047">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3.1.2提供各型号产品的结构图并标识关键尺寸。</w:t>
      </w:r>
    </w:p>
    <w:p w14:paraId="53CDD0AA">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 xml:space="preserve">3.1.3提供产品关键尺寸信息，如锯齿参数（齿距、齿深、角度、厚度）等。         </w:t>
      </w:r>
    </w:p>
    <w:p w14:paraId="3D515ED5">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 xml:space="preserve"> 3.2性能指标</w:t>
      </w:r>
    </w:p>
    <w:p w14:paraId="4B532D90">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产品技术要求的主要性能指标需包括以下适用内容：</w:t>
      </w:r>
    </w:p>
    <w:p w14:paraId="60BE0959">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3.2.1外观</w:t>
      </w:r>
    </w:p>
    <w:p w14:paraId="1CA49B99">
      <w:pPr>
        <w:spacing w:line="520" w:lineRule="atLeas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骨锯的外形应平整、光滑,不得有锋棱(齿部除外)、毛刺、裂纹、斑痕等缺陷</w:t>
      </w:r>
      <w:r>
        <w:rPr>
          <w:rFonts w:hint="eastAsia" w:ascii="仿宋" w:hAnsi="仿宋" w:eastAsia="仿宋" w:cs="仿宋"/>
          <w:sz w:val="32"/>
          <w:szCs w:val="32"/>
          <w:lang w:eastAsia="zh-CN"/>
        </w:rPr>
        <w:t>；锯齿应锋利、清晰、完整,不得有缺齿现象,掰齿应均匀一致,不得有明显偏倒现象；铝制手柄应按GB/T8013.1的规定进行氧化,氧化膜颜色及光泽应均匀一致。</w:t>
      </w:r>
    </w:p>
    <w:p w14:paraId="08AD8A9E">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3.2.2尺寸和公差</w:t>
      </w:r>
    </w:p>
    <w:p w14:paraId="6C83B246">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锯片的尺寸应符合YY/T1629.5的规定。</w:t>
      </w:r>
    </w:p>
    <w:p w14:paraId="520668BB">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3.2.3表面粗糙度</w:t>
      </w:r>
    </w:p>
    <w:p w14:paraId="507D09C8">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器械的表面粗糙度，参照YY/T1137相关要求制定。</w:t>
      </w:r>
    </w:p>
    <w:p w14:paraId="100E6984">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3.2.4连接牢固度</w:t>
      </w:r>
    </w:p>
    <w:p w14:paraId="3B966964">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锯片与手柄连接部位应充分紧密，无松动现象；线锯的锯条缠绕应均匀,两端锁紧应牢固,不得有松散现象。</w:t>
      </w:r>
    </w:p>
    <w:p w14:paraId="310E67C7">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3.2.5硬度</w:t>
      </w:r>
    </w:p>
    <w:p w14:paraId="435EFB73">
      <w:pPr>
        <w:spacing w:line="520" w:lineRule="atLeast"/>
        <w:ind w:left="638" w:leftChars="304"/>
        <w:rPr>
          <w:rFonts w:ascii="仿宋" w:hAnsi="仿宋" w:eastAsia="仿宋" w:cs="仿宋"/>
          <w:sz w:val="32"/>
          <w:szCs w:val="32"/>
        </w:rPr>
      </w:pPr>
      <w:r>
        <w:rPr>
          <w:rFonts w:hint="eastAsia" w:ascii="仿宋" w:hAnsi="仿宋" w:eastAsia="仿宋" w:cs="仿宋"/>
          <w:sz w:val="32"/>
          <w:szCs w:val="32"/>
        </w:rPr>
        <w:t>锯片齿部表面应不低于300HV10。</w:t>
      </w:r>
    </w:p>
    <w:p w14:paraId="4CE394E4">
      <w:pPr>
        <w:spacing w:line="520" w:lineRule="atLeast"/>
        <w:ind w:left="638" w:leftChars="304"/>
        <w:rPr>
          <w:rFonts w:ascii="仿宋" w:hAnsi="仿宋" w:eastAsia="仿宋" w:cs="仿宋"/>
          <w:sz w:val="32"/>
          <w:szCs w:val="32"/>
        </w:rPr>
      </w:pPr>
      <w:r>
        <w:rPr>
          <w:rFonts w:hint="eastAsia" w:ascii="仿宋" w:hAnsi="仿宋" w:eastAsia="仿宋" w:cs="仿宋"/>
          <w:sz w:val="32"/>
          <w:szCs w:val="32"/>
        </w:rPr>
        <w:t>3.2.6耐腐蚀性能</w:t>
      </w:r>
    </w:p>
    <w:p w14:paraId="19AF1A66">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骨锯的不锈钢材料耐腐蚀性能应不低于YY/T0149-2006中沸水试验法b级要求,螺钉、铆接及锯齿部位不低于c级的要求。其他材料用说明书中指定的最不利的灭菌方法灭菌后，应无腐蚀现象。</w:t>
      </w:r>
    </w:p>
    <w:p w14:paraId="1B070064">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3.2.7锯片体直线度</w:t>
      </w:r>
    </w:p>
    <w:p w14:paraId="7DAF8EAA">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锯片体应平直,其直线度公差按GB/T1184中1级规定</w:t>
      </w:r>
    </w:p>
    <w:p w14:paraId="3E20694F">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3.2.8抗弯性能</w:t>
      </w:r>
    </w:p>
    <w:p w14:paraId="65F91B29">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骨锯锯片应有良好的抗弯性能,经抗弯性试验后应无断裂、开裂和明显变形的现象。</w:t>
      </w:r>
    </w:p>
    <w:p w14:paraId="395AEA46">
      <w:pPr>
        <w:spacing w:line="520" w:lineRule="atLeas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3.2.9化学性能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如适用</w:t>
      </w:r>
      <w:r>
        <w:rPr>
          <w:rFonts w:hint="eastAsia" w:ascii="仿宋" w:hAnsi="仿宋" w:eastAsia="仿宋" w:cs="仿宋"/>
          <w:sz w:val="32"/>
          <w:szCs w:val="32"/>
          <w:lang w:eastAsia="zh-CN"/>
        </w:rPr>
        <w:t>）</w:t>
      </w:r>
    </w:p>
    <w:p w14:paraId="27D59AF1">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如重金属含量、酸碱度、易氧化物等。</w:t>
      </w:r>
    </w:p>
    <w:p w14:paraId="32F6A56B">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3.2.10无菌</w:t>
      </w:r>
    </w:p>
    <w:p w14:paraId="2D8C4B9E">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3.2.11若灭菌使用的方法涉及出现残留，需对允许的残留量进行规定。</w:t>
      </w:r>
    </w:p>
    <w:p w14:paraId="385E8A31">
      <w:pPr>
        <w:pStyle w:val="8"/>
        <w:spacing w:line="520" w:lineRule="atLeast"/>
        <w:ind w:firstLine="640"/>
        <w:rPr>
          <w:rFonts w:ascii="仿宋" w:hAnsi="仿宋" w:cs="仿宋"/>
          <w:bCs/>
          <w:szCs w:val="32"/>
        </w:rPr>
      </w:pPr>
      <w:r>
        <w:rPr>
          <w:rFonts w:hint="eastAsia" w:ascii="仿宋" w:hAnsi="仿宋" w:cs="仿宋"/>
          <w:bCs/>
          <w:szCs w:val="32"/>
        </w:rPr>
        <w:t>3.2.12.其他</w:t>
      </w:r>
    </w:p>
    <w:p w14:paraId="67ABB57A">
      <w:pPr>
        <w:pStyle w:val="8"/>
        <w:spacing w:line="520" w:lineRule="atLeast"/>
        <w:ind w:firstLine="640"/>
        <w:rPr>
          <w:rFonts w:ascii="仿宋" w:hAnsi="仿宋" w:cs="仿宋"/>
          <w:szCs w:val="32"/>
        </w:rPr>
      </w:pPr>
      <w:r>
        <w:rPr>
          <w:rFonts w:hint="eastAsia" w:ascii="仿宋" w:hAnsi="仿宋" w:cs="仿宋"/>
          <w:bCs/>
          <w:szCs w:val="32"/>
        </w:rPr>
        <w:t>为了保证器械安全有效而设定的其他性能，如护鞘滑动性、</w:t>
      </w:r>
      <w:r>
        <w:rPr>
          <w:rFonts w:hint="eastAsia" w:ascii="仿宋" w:hAnsi="仿宋" w:cs="仿宋"/>
          <w:szCs w:val="32"/>
        </w:rPr>
        <w:t>操作性能、配合使用性能等</w:t>
      </w:r>
      <w:r>
        <w:rPr>
          <w:rFonts w:hint="eastAsia" w:ascii="仿宋" w:hAnsi="仿宋" w:cs="仿宋"/>
          <w:bCs/>
          <w:szCs w:val="32"/>
        </w:rPr>
        <w:t>。</w:t>
      </w:r>
    </w:p>
    <w:p w14:paraId="265070E8">
      <w:pPr>
        <w:tabs>
          <w:tab w:val="left" w:pos="675"/>
        </w:tabs>
        <w:spacing w:line="520" w:lineRule="atLeast"/>
        <w:ind w:firstLine="640"/>
        <w:rPr>
          <w:rFonts w:ascii="仿宋" w:hAnsi="仿宋" w:eastAsia="仿宋" w:cs="仿宋"/>
          <w:iCs/>
          <w:sz w:val="32"/>
          <w:szCs w:val="32"/>
        </w:rPr>
      </w:pPr>
      <w:r>
        <w:rPr>
          <w:rFonts w:hint="eastAsia" w:ascii="仿宋" w:hAnsi="仿宋" w:eastAsia="仿宋" w:cs="仿宋"/>
          <w:iCs/>
          <w:sz w:val="32"/>
          <w:szCs w:val="32"/>
        </w:rPr>
        <w:t>3.3检验方法</w:t>
      </w:r>
    </w:p>
    <w:p w14:paraId="1C740B10">
      <w:pPr>
        <w:spacing w:line="520" w:lineRule="atLeast"/>
        <w:ind w:firstLine="640" w:firstLineChars="200"/>
        <w:rPr>
          <w:rFonts w:ascii="仿宋" w:hAnsi="仿宋" w:eastAsia="仿宋" w:cs="仿宋"/>
          <w:color w:val="000000"/>
          <w:sz w:val="32"/>
          <w:szCs w:val="32"/>
        </w:rPr>
      </w:pPr>
      <w:r>
        <w:rPr>
          <w:rFonts w:hint="eastAsia" w:ascii="仿宋" w:hAnsi="仿宋" w:eastAsia="仿宋" w:cs="仿宋"/>
          <w:sz w:val="32"/>
          <w:szCs w:val="32"/>
        </w:rPr>
        <w:t>产品的检验方法需根据技术性能指标设定，检验方法需优先采用公认的或已颁布的标准检验方法；自建检验方法需提供相应的方法学依据及理论基础</w:t>
      </w:r>
      <w:r>
        <w:rPr>
          <w:rFonts w:hint="eastAsia" w:ascii="仿宋" w:hAnsi="仿宋" w:eastAsia="仿宋" w:cs="仿宋"/>
          <w:color w:val="000000"/>
          <w:sz w:val="32"/>
          <w:szCs w:val="32"/>
        </w:rPr>
        <w:t>，同时保证检验方法具有可操作性和可重现性，必要时可附相应图示进行说明，文本较大的可以附录形式提供。</w:t>
      </w:r>
    </w:p>
    <w:p w14:paraId="2BD2794F">
      <w:pPr>
        <w:spacing w:line="520" w:lineRule="atLeast"/>
        <w:ind w:firstLine="636" w:firstLineChars="200"/>
        <w:rPr>
          <w:rFonts w:ascii="仿宋" w:hAnsi="仿宋" w:eastAsia="仿宋" w:cs="仿宋"/>
          <w:spacing w:val="-1"/>
          <w:sz w:val="32"/>
          <w:szCs w:val="32"/>
        </w:rPr>
      </w:pPr>
      <w:r>
        <w:rPr>
          <w:rFonts w:hint="eastAsia" w:ascii="仿宋" w:hAnsi="仿宋" w:eastAsia="仿宋" w:cs="仿宋"/>
          <w:spacing w:val="-1"/>
          <w:sz w:val="32"/>
          <w:szCs w:val="32"/>
        </w:rPr>
        <w:t>3.4产品检验报告</w:t>
      </w:r>
    </w:p>
    <w:p w14:paraId="682C6B48">
      <w:pPr>
        <w:spacing w:line="520" w:lineRule="atLeast"/>
        <w:ind w:firstLine="640" w:firstLineChars="200"/>
        <w:rPr>
          <w:rFonts w:ascii="仿宋" w:hAnsi="仿宋" w:eastAsia="仿宋" w:cs="仿宋"/>
          <w:spacing w:val="-1"/>
          <w:sz w:val="32"/>
          <w:szCs w:val="32"/>
        </w:rPr>
      </w:pPr>
      <w:r>
        <w:rPr>
          <w:rFonts w:hint="eastAsia" w:ascii="仿宋" w:hAnsi="仿宋" w:eastAsia="仿宋" w:cs="仿宋"/>
          <w:sz w:val="32"/>
          <w:szCs w:val="32"/>
        </w:rPr>
        <w:t xml:space="preserve"> </w:t>
      </w:r>
      <w:r>
        <w:rPr>
          <w:rFonts w:hint="eastAsia" w:ascii="仿宋" w:hAnsi="仿宋" w:eastAsia="仿宋" w:cs="仿宋"/>
          <w:spacing w:val="-1"/>
          <w:sz w:val="32"/>
          <w:szCs w:val="32"/>
        </w:rPr>
        <w:t>检验报告可以是注册申请人出具的自检报告，或委托有资质的医疗器械检验机构出具的检验报告。若提供自检报告，应按照《医疗器械注册自检管理规定》的要求提供相关资料。</w:t>
      </w:r>
    </w:p>
    <w:p w14:paraId="2695C1A0">
      <w:pPr>
        <w:spacing w:line="520" w:lineRule="atLeast"/>
        <w:ind w:firstLine="636" w:firstLineChars="200"/>
        <w:rPr>
          <w:rFonts w:ascii="仿宋" w:hAnsi="仿宋" w:eastAsia="仿宋" w:cs="仿宋"/>
          <w:spacing w:val="-1"/>
          <w:sz w:val="32"/>
          <w:szCs w:val="32"/>
        </w:rPr>
      </w:pPr>
      <w:r>
        <w:rPr>
          <w:rFonts w:hint="eastAsia" w:ascii="仿宋" w:hAnsi="仿宋" w:eastAsia="仿宋" w:cs="仿宋"/>
          <w:spacing w:val="-1"/>
          <w:sz w:val="32"/>
          <w:szCs w:val="32"/>
        </w:rPr>
        <w:t>同一注册单元中典型产品是指能够代表本注册单元内其他产品安全性和有效性的产品，其功能最齐全，结构最复杂，风险最高。</w:t>
      </w:r>
    </w:p>
    <w:p w14:paraId="339FCE53">
      <w:pPr>
        <w:spacing w:line="520" w:lineRule="atLeast"/>
        <w:ind w:firstLine="636" w:firstLineChars="200"/>
        <w:rPr>
          <w:rFonts w:ascii="仿宋" w:hAnsi="仿宋" w:eastAsia="仿宋" w:cs="仿宋"/>
          <w:spacing w:val="-1"/>
          <w:sz w:val="32"/>
          <w:szCs w:val="32"/>
        </w:rPr>
      </w:pPr>
      <w:r>
        <w:rPr>
          <w:rFonts w:hint="eastAsia" w:ascii="仿宋" w:hAnsi="仿宋" w:eastAsia="仿宋" w:cs="仿宋"/>
          <w:spacing w:val="-1"/>
          <w:sz w:val="32"/>
          <w:szCs w:val="32"/>
        </w:rPr>
        <w:t>典型产品的确定可以通过比较同一注册单元内所有产品的技术结构、性能指标和预期用途等相应资料，说明能够代表本注册单元内其他产品的安全性和有效性。</w:t>
      </w:r>
    </w:p>
    <w:p w14:paraId="1435AF92">
      <w:pPr>
        <w:spacing w:line="520" w:lineRule="atLeast"/>
        <w:ind w:firstLine="636" w:firstLineChars="200"/>
        <w:rPr>
          <w:rFonts w:ascii="仿宋" w:hAnsi="仿宋" w:eastAsia="仿宋" w:cs="仿宋"/>
          <w:spacing w:val="-1"/>
          <w:sz w:val="32"/>
          <w:szCs w:val="32"/>
        </w:rPr>
      </w:pPr>
      <w:r>
        <w:rPr>
          <w:rFonts w:hint="eastAsia" w:ascii="仿宋" w:hAnsi="仿宋" w:eastAsia="仿宋" w:cs="仿宋"/>
          <w:spacing w:val="-1"/>
          <w:sz w:val="32"/>
          <w:szCs w:val="32"/>
        </w:rPr>
        <w:t>4.研究资料</w:t>
      </w:r>
    </w:p>
    <w:p w14:paraId="2FC0155F">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4.1产品性能研究</w:t>
      </w:r>
    </w:p>
    <w:p w14:paraId="69D02A41">
      <w:pPr>
        <w:spacing w:line="520" w:lineRule="atLeast"/>
        <w:ind w:firstLine="640" w:firstLineChars="200"/>
        <w:rPr>
          <w:rFonts w:hint="eastAsia" w:eastAsia="仿宋_GB2312"/>
          <w:sz w:val="32"/>
          <w:szCs w:val="32"/>
        </w:rPr>
      </w:pPr>
      <w:r>
        <w:rPr>
          <w:rFonts w:hint="eastAsia" w:ascii="仿宋" w:hAnsi="仿宋" w:eastAsia="仿宋" w:cs="仿宋"/>
          <w:sz w:val="32"/>
          <w:szCs w:val="32"/>
          <w:lang w:bidi="ar"/>
        </w:rPr>
        <w:t>应当提供</w:t>
      </w:r>
      <w:r>
        <w:rPr>
          <w:rFonts w:hint="eastAsia" w:eastAsia="仿宋_GB2312"/>
          <w:sz w:val="32"/>
          <w:szCs w:val="32"/>
        </w:rPr>
        <w:t>申报产品的代表性样品</w:t>
      </w:r>
      <w:r>
        <w:rPr>
          <w:rFonts w:hint="eastAsia" w:ascii="仿宋" w:hAnsi="仿宋" w:eastAsia="仿宋" w:cs="仿宋"/>
          <w:sz w:val="32"/>
          <w:szCs w:val="32"/>
          <w:lang w:bidi="ar"/>
        </w:rPr>
        <w:t>性能研究资料</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以及产品技术要求的研究和编制说明，包括有效性、安全性指标的确定依据、所采用的标准或方法、采用的原因及理论基础等。</w:t>
      </w:r>
      <w:r>
        <w:rPr>
          <w:rFonts w:hint="eastAsia" w:eastAsia="仿宋_GB2312"/>
          <w:sz w:val="32"/>
          <w:szCs w:val="32"/>
        </w:rPr>
        <w:t>对于自建方法，注册申请人还需提供相应的依据或方法学验证资料。建议开展的性能验证项目可参考如下：</w:t>
      </w:r>
    </w:p>
    <w:p w14:paraId="16A28F71">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1）硬度</w:t>
      </w:r>
    </w:p>
    <w:p w14:paraId="366F268A">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2）表面粗糙度</w:t>
      </w:r>
    </w:p>
    <w:p w14:paraId="5645A374">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3）耐腐蚀性能</w:t>
      </w:r>
    </w:p>
    <w:p w14:paraId="20F3D751">
      <w:pPr>
        <w:spacing w:line="560" w:lineRule="exact"/>
        <w:ind w:firstLine="640" w:firstLineChars="200"/>
        <w:rPr>
          <w:rFonts w:hint="default" w:eastAsia="仿宋_GB2312"/>
          <w:sz w:val="32"/>
          <w:szCs w:val="32"/>
          <w:lang w:val="en-US" w:eastAsia="zh-CN"/>
        </w:rPr>
      </w:pPr>
      <w:r>
        <w:rPr>
          <w:rFonts w:hint="eastAsia" w:eastAsia="仿宋_GB2312"/>
          <w:sz w:val="32"/>
          <w:szCs w:val="32"/>
        </w:rPr>
        <w:t>（</w:t>
      </w:r>
      <w:r>
        <w:rPr>
          <w:rFonts w:eastAsia="仿宋_GB2312"/>
          <w:sz w:val="32"/>
          <w:szCs w:val="32"/>
        </w:rPr>
        <w:t>4）</w:t>
      </w:r>
      <w:r>
        <w:rPr>
          <w:rFonts w:hint="eastAsia" w:eastAsia="仿宋_GB2312"/>
          <w:sz w:val="32"/>
          <w:szCs w:val="32"/>
          <w:lang w:val="en-US" w:eastAsia="zh-CN"/>
        </w:rPr>
        <w:t>抗弯性能</w:t>
      </w:r>
    </w:p>
    <w:p w14:paraId="4AECE917">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5）使用性能（如刃口锋利度、</w:t>
      </w:r>
      <w:r>
        <w:rPr>
          <w:rFonts w:hint="eastAsia" w:eastAsia="仿宋_GB2312"/>
          <w:sz w:val="32"/>
          <w:szCs w:val="32"/>
          <w:lang w:val="en-US" w:eastAsia="zh-CN"/>
        </w:rPr>
        <w:t>锯片</w:t>
      </w:r>
      <w:r>
        <w:rPr>
          <w:rFonts w:eastAsia="仿宋_GB2312"/>
          <w:sz w:val="32"/>
          <w:szCs w:val="32"/>
        </w:rPr>
        <w:t>与</w:t>
      </w:r>
      <w:r>
        <w:rPr>
          <w:rFonts w:hint="eastAsia" w:eastAsia="仿宋_GB2312"/>
          <w:sz w:val="32"/>
          <w:szCs w:val="32"/>
          <w:lang w:val="en-US" w:eastAsia="zh-CN"/>
        </w:rPr>
        <w:t>手</w:t>
      </w:r>
      <w:r>
        <w:rPr>
          <w:rFonts w:eastAsia="仿宋_GB2312"/>
          <w:sz w:val="32"/>
          <w:szCs w:val="32"/>
        </w:rPr>
        <w:t>柄</w:t>
      </w:r>
      <w:r>
        <w:rPr>
          <w:rFonts w:hint="eastAsia" w:eastAsia="仿宋_GB2312"/>
          <w:sz w:val="32"/>
          <w:szCs w:val="32"/>
          <w:lang w:val="en-US" w:eastAsia="zh-CN"/>
        </w:rPr>
        <w:t>连接牢固度</w:t>
      </w:r>
      <w:bookmarkStart w:id="0" w:name="_GoBack"/>
      <w:bookmarkEnd w:id="0"/>
      <w:r>
        <w:rPr>
          <w:rFonts w:eastAsia="仿宋_GB2312"/>
          <w:sz w:val="32"/>
          <w:szCs w:val="32"/>
        </w:rPr>
        <w:t>等）</w:t>
      </w:r>
    </w:p>
    <w:p w14:paraId="41F6CDA6">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6）与人体接触材料的化学表征</w:t>
      </w:r>
    </w:p>
    <w:p w14:paraId="29F51A41">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7）环氧乙烷残留量（适用于环氧乙烷灭菌的产品）</w:t>
      </w:r>
    </w:p>
    <w:p w14:paraId="13460938">
      <w:pPr>
        <w:spacing w:line="520" w:lineRule="atLeast"/>
        <w:ind w:firstLine="640" w:firstLineChars="200"/>
        <w:rPr>
          <w:rFonts w:hint="eastAsia" w:eastAsia="仿宋_GB2312"/>
          <w:sz w:val="32"/>
          <w:szCs w:val="32"/>
        </w:rPr>
      </w:pPr>
      <w:r>
        <w:rPr>
          <w:rFonts w:hint="eastAsia" w:eastAsia="仿宋_GB2312"/>
          <w:sz w:val="32"/>
          <w:szCs w:val="32"/>
        </w:rPr>
        <w:t>（</w:t>
      </w:r>
      <w:r>
        <w:rPr>
          <w:rFonts w:eastAsia="仿宋_GB2312"/>
          <w:sz w:val="32"/>
          <w:szCs w:val="32"/>
        </w:rPr>
        <w:t>8）无菌（适用于无菌交付的产品）</w:t>
      </w:r>
    </w:p>
    <w:p w14:paraId="07DF0935">
      <w:pPr>
        <w:spacing w:line="520" w:lineRule="atLeast"/>
        <w:ind w:firstLine="640" w:firstLineChars="200"/>
        <w:rPr>
          <w:rFonts w:ascii="仿宋" w:hAnsi="仿宋" w:eastAsia="仿宋" w:cs="仿宋"/>
          <w:color w:val="0000FF"/>
          <w:sz w:val="32"/>
          <w:szCs w:val="32"/>
          <w:lang w:bidi="ar"/>
        </w:rPr>
      </w:pPr>
      <w:r>
        <w:rPr>
          <w:rFonts w:hint="eastAsia" w:ascii="仿宋" w:hAnsi="仿宋" w:eastAsia="仿宋" w:cs="仿宋"/>
          <w:sz w:val="32"/>
          <w:szCs w:val="32"/>
          <w:lang w:bidi="ar"/>
        </w:rPr>
        <w:t>4.2生物学特性研究</w:t>
      </w:r>
    </w:p>
    <w:p w14:paraId="39048122">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骨科用锯产品与人体组织接触，应按照相关标准（GB/T 16886）对产品进行全面的生物学评价，并提交生物学评价报告证明其安全性。在进行生物学评价过程中，应明确骨科用锯产品与人体接触组件或部位的材料性质。生物学评价终点的选择通常包括细胞毒性、致敏反应、刺激或皮内反应、材料介导的致热性、急性全身毒性。如器械符合GB/T 16886.1-2022中瞬时接触医疗器械要求，通常不需要生物相容性试验。</w:t>
      </w:r>
    </w:p>
    <w:p w14:paraId="1F0B4D1B">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4.3</w:t>
      </w:r>
      <w:r>
        <w:rPr>
          <w:rFonts w:hint="eastAsia" w:eastAsia="仿宋_GB2312"/>
          <w:sz w:val="32"/>
          <w:szCs w:val="32"/>
        </w:rPr>
        <w:t>清洗及灭菌研究</w:t>
      </w:r>
    </w:p>
    <w:p w14:paraId="11673361">
      <w:pPr>
        <w:spacing w:line="560" w:lineRule="exact"/>
        <w:ind w:firstLine="640" w:firstLineChars="200"/>
        <w:rPr>
          <w:rFonts w:eastAsia="仿宋_GB2312"/>
          <w:sz w:val="32"/>
          <w:szCs w:val="32"/>
        </w:rPr>
      </w:pPr>
      <w:r>
        <w:rPr>
          <w:rFonts w:hint="eastAsia" w:eastAsia="仿宋_GB2312"/>
          <w:sz w:val="32"/>
          <w:szCs w:val="32"/>
        </w:rPr>
        <w:t>需提供产品灭菌前或包装前清洗验证资料。</w:t>
      </w:r>
    </w:p>
    <w:p w14:paraId="01617E20">
      <w:pPr>
        <w:spacing w:line="560" w:lineRule="exact"/>
        <w:ind w:firstLine="640" w:firstLineChars="200"/>
        <w:rPr>
          <w:rFonts w:hint="eastAsia" w:ascii="仿宋" w:hAnsi="仿宋" w:eastAsia="仿宋" w:cs="仿宋"/>
          <w:sz w:val="32"/>
          <w:szCs w:val="32"/>
        </w:rPr>
      </w:pPr>
      <w:r>
        <w:rPr>
          <w:rFonts w:hint="eastAsia" w:eastAsia="仿宋_GB2312"/>
          <w:sz w:val="32"/>
          <w:szCs w:val="32"/>
        </w:rPr>
        <w:t>若申报产品以灭菌状态交付，灭菌工艺研究资料需符合以下要求：</w:t>
      </w:r>
    </w:p>
    <w:p w14:paraId="2023DA53">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4.3.1灭菌场地的描述，主要包括生产企业自行灭菌或委托灭菌。</w:t>
      </w:r>
    </w:p>
    <w:p w14:paraId="24C8C3B1">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4.3.2灭菌方法的描述，需要达到的无菌保证水平。</w:t>
      </w:r>
    </w:p>
    <w:p w14:paraId="6894FBB4">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4.3.3灭菌工艺的参数（如湿热灭菌的温度、压力、暴露时间等；干热灭菌温度、暴露时间或传送速度等；环氧乙烷灭菌的环氧乙烷浓度、时间、温度、湿度、压力等；辐射灭菌的辐射剂量等）。</w:t>
      </w:r>
    </w:p>
    <w:p w14:paraId="6F87C4E3">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4.3.4灭菌设备的描述。</w:t>
      </w:r>
    </w:p>
    <w:p w14:paraId="6EB066D7">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4.3.5灭菌样品的选择及对申报产品的代表性依据。</w:t>
      </w:r>
    </w:p>
    <w:p w14:paraId="2019F2B2">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4.3.6采用环氧乙烷灭菌，应指明器械上该灭菌剂及其衍生物的残留量。</w:t>
      </w:r>
    </w:p>
    <w:p w14:paraId="55213FDB">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4.3.7采用湿热灭菌或环氧乙烷灭菌或辐射灭菌的，确认报告应符合GB 18278.1、GB 18279.1、GB 18280.1。采用干热灭菌的，确认报告宜符合YY/T 1276。</w:t>
      </w:r>
    </w:p>
    <w:p w14:paraId="3D96FCD0">
      <w:pPr>
        <w:pStyle w:val="9"/>
        <w:spacing w:line="520" w:lineRule="atLeast"/>
        <w:ind w:firstLine="640"/>
        <w:rPr>
          <w:rFonts w:ascii="仿宋" w:hAnsi="仿宋" w:eastAsia="仿宋" w:cs="仿宋"/>
          <w:sz w:val="32"/>
          <w:szCs w:val="32"/>
        </w:rPr>
      </w:pPr>
      <w:r>
        <w:rPr>
          <w:rFonts w:hint="eastAsia" w:ascii="仿宋" w:hAnsi="仿宋" w:eastAsia="仿宋" w:cs="仿宋"/>
          <w:sz w:val="32"/>
          <w:szCs w:val="32"/>
        </w:rPr>
        <w:t>4.3.8申报资料中还应该指明采用的相关的国家和行业标准，若有不适用条款应阐明不适用的理由。</w:t>
      </w:r>
    </w:p>
    <w:p w14:paraId="6ED448FF">
      <w:pPr>
        <w:pStyle w:val="9"/>
        <w:spacing w:line="520" w:lineRule="atLeast"/>
        <w:ind w:firstLine="640"/>
        <w:rPr>
          <w:rFonts w:hint="eastAsia" w:ascii="仿宋" w:hAnsi="仿宋" w:eastAsia="仿宋" w:cs="仿宋"/>
          <w:sz w:val="32"/>
          <w:szCs w:val="32"/>
        </w:rPr>
      </w:pPr>
      <w:r>
        <w:rPr>
          <w:rFonts w:hint="eastAsia" w:ascii="仿宋" w:hAnsi="仿宋" w:eastAsia="仿宋" w:cs="仿宋"/>
          <w:sz w:val="32"/>
          <w:szCs w:val="32"/>
        </w:rPr>
        <w:t>4.3.9应</w:t>
      </w:r>
      <w:r>
        <w:rPr>
          <w:rFonts w:hint="eastAsia" w:ascii="仿宋" w:hAnsi="仿宋" w:eastAsia="仿宋" w:cs="仿宋"/>
          <w:bCs/>
          <w:sz w:val="32"/>
          <w:szCs w:val="32"/>
        </w:rPr>
        <w:t>明确</w:t>
      </w:r>
      <w:r>
        <w:rPr>
          <w:rFonts w:hint="eastAsia" w:ascii="仿宋" w:hAnsi="仿宋" w:eastAsia="仿宋" w:cs="仿宋"/>
          <w:sz w:val="32"/>
          <w:szCs w:val="32"/>
        </w:rPr>
        <w:t>灭菌产品的包装形式以及灭菌适宜性（灭菌确认中应包含对包装的评价）还应该描述产品包装（无菌屏障系统）以及该包装如何维持器械的无菌性。</w:t>
      </w:r>
    </w:p>
    <w:p w14:paraId="2B8D6C2F">
      <w:pPr>
        <w:pStyle w:val="9"/>
        <w:spacing w:line="520" w:lineRule="atLeast"/>
        <w:ind w:firstLine="640"/>
        <w:rPr>
          <w:rFonts w:hint="eastAsia" w:ascii="仿宋" w:hAnsi="仿宋" w:eastAsia="仿宋" w:cs="仿宋"/>
          <w:sz w:val="32"/>
          <w:szCs w:val="32"/>
        </w:rPr>
      </w:pPr>
      <w:r>
        <w:rPr>
          <w:rFonts w:hint="eastAsia" w:eastAsia="仿宋_GB2312"/>
          <w:sz w:val="32"/>
          <w:szCs w:val="32"/>
        </w:rPr>
        <w:t>若申报产品采用非无菌交付，由终端用户灭菌，需明确推荐的灭菌工艺（方法和参数）及推荐的灭菌方法确定依据，提交灭菌过程对产品性能影响的相关验证资料，并对灭菌效果进行确认，并提交相关资料，</w:t>
      </w:r>
      <w:r>
        <w:rPr>
          <w:rFonts w:eastAsia="仿宋_GB2312"/>
          <w:sz w:val="32"/>
          <w:szCs w:val="32"/>
        </w:rPr>
        <w:t>产品的无菌保证水平（SAL）</w:t>
      </w:r>
      <w:r>
        <w:rPr>
          <w:rFonts w:hint="eastAsia" w:eastAsia="仿宋_GB2312"/>
          <w:sz w:val="32"/>
          <w:szCs w:val="32"/>
        </w:rPr>
        <w:t>需</w:t>
      </w:r>
      <w:r>
        <w:rPr>
          <w:rFonts w:eastAsia="仿宋_GB2312"/>
          <w:sz w:val="32"/>
          <w:szCs w:val="32"/>
        </w:rPr>
        <w:t>不低于1×10</w:t>
      </w:r>
      <w:r>
        <w:rPr>
          <w:rFonts w:eastAsia="仿宋_GB2312"/>
          <w:sz w:val="32"/>
          <w:szCs w:val="32"/>
          <w:vertAlign w:val="superscript"/>
        </w:rPr>
        <w:t>－6</w:t>
      </w:r>
      <w:r>
        <w:rPr>
          <w:rFonts w:hint="eastAsia" w:eastAsia="仿宋_GB2312"/>
          <w:sz w:val="32"/>
          <w:szCs w:val="32"/>
        </w:rPr>
        <w:t>；对可耐受两次或多次灭菌的产品，需提供产品相关推荐的灭菌方法耐受性的研究资料。</w:t>
      </w:r>
    </w:p>
    <w:p w14:paraId="5E680C00">
      <w:pPr>
        <w:spacing w:line="520" w:lineRule="atLeas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4.4产品稳定性研究</w:t>
      </w:r>
    </w:p>
    <w:p w14:paraId="2475506C">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4.4.1货</w:t>
      </w:r>
      <w:r>
        <w:rPr>
          <w:rFonts w:hint="eastAsia" w:ascii="仿宋" w:hAnsi="仿宋" w:eastAsia="仿宋" w:cs="仿宋"/>
          <w:sz w:val="32"/>
          <w:szCs w:val="32"/>
          <w:lang w:bidi="ar"/>
        </w:rPr>
        <w:t>架有效期</w:t>
      </w:r>
    </w:p>
    <w:p w14:paraId="445CF24D">
      <w:pPr>
        <w:spacing w:line="520" w:lineRule="atLeas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应当提供产品货架有效期和包装研究资料，证明在货架有效期内，在生产企业规定的运输贮存条件下，产品可保持性能功能满足使用要求，并保持无菌状态。</w:t>
      </w:r>
    </w:p>
    <w:p w14:paraId="1A75FF98">
      <w:pPr>
        <w:spacing w:line="520" w:lineRule="atLeas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产品货架有效期的验证可选择加速稳定性试验或实时稳定性试验，具体需根据产品特性选择验证方式。无论加速稳定性试验还是实时稳定性试验，注册申请人均需在试验方案中设定测试项目、测试方法及判定标准。货架有效期验证项目通常包括产品性能研究中与有效期密切相关的条款，加速老化研究的具体要求可参考YY/T 0681.1《无菌医疗器械包装试验方法 第1部分：加速老化试验指南》标准。</w:t>
      </w:r>
    </w:p>
    <w:p w14:paraId="67F6798B">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包装研究资料应包括封口试验以及包装材料对灭菌的适应性研究。可依据GB/T 19633、GB/T 4857系列标准对包装进行分析研究和评价。直接接触产品的包装材料的选择应至少考虑以下因素：包装材料的物理化学特性；包装材料与产品的适应性；包装材料与成型和密封过程的适应性；包装材料与灭菌过程的适应性；包装材料所能提供的物理、化学和微生物屏障保护；包装材料与标签系统的适应性。</w:t>
      </w:r>
    </w:p>
    <w:p w14:paraId="31EDE576">
      <w:pPr>
        <w:spacing w:line="520" w:lineRule="atLeas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rPr>
        <w:t>提交包装验证报告，常见验证项目包括但不限于：包装完整性、封口强度和微生物屏障性能等。</w:t>
      </w:r>
    </w:p>
    <w:p w14:paraId="603BAA5C">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4.4.2</w:t>
      </w:r>
      <w:r>
        <w:rPr>
          <w:rFonts w:hint="eastAsia" w:ascii="仿宋" w:hAnsi="仿宋" w:eastAsia="仿宋" w:cs="仿宋"/>
          <w:sz w:val="32"/>
          <w:szCs w:val="32"/>
          <w:lang w:bidi="ar"/>
        </w:rPr>
        <w:t>运输稳定性</w:t>
      </w:r>
    </w:p>
    <w:p w14:paraId="2C636871">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lang w:bidi="ar"/>
        </w:rPr>
        <w:t>在宣称的有效期内以及运输储存条件下，提供保持包装完整性的依据。企业需提交产品包装验证和运输验证资料。</w:t>
      </w:r>
    </w:p>
    <w:p w14:paraId="447C0722">
      <w:pPr>
        <w:spacing w:line="520" w:lineRule="atLeas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需提交运输稳定性验证资料，可依据YY/T 0681.15、ASTM D4169-22、GB/T 4857系列标准等进行验证并提交运输稳定性验证资料，证明在规定的运输条件下，运输过程中环境条件不会对医疗器械的特性和性能造成不利影响。</w:t>
      </w:r>
    </w:p>
    <w:p w14:paraId="71D02AA5">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4.3可用性研究</w:t>
      </w:r>
    </w:p>
    <w:p w14:paraId="14D22E2F">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5DC46D86">
      <w:pPr>
        <w:spacing w:line="520" w:lineRule="atLeast"/>
        <w:ind w:firstLine="636" w:firstLineChars="200"/>
        <w:rPr>
          <w:rFonts w:ascii="仿宋" w:hAnsi="仿宋" w:eastAsia="仿宋" w:cs="仿宋"/>
          <w:sz w:val="32"/>
          <w:szCs w:val="32"/>
        </w:rPr>
      </w:pPr>
      <w:r>
        <w:rPr>
          <w:rFonts w:hint="eastAsia" w:ascii="仿宋" w:hAnsi="仿宋" w:eastAsia="仿宋" w:cs="仿宋"/>
          <w:spacing w:val="-1"/>
          <w:sz w:val="32"/>
          <w:szCs w:val="32"/>
        </w:rPr>
        <w:t>5.</w:t>
      </w:r>
      <w:r>
        <w:rPr>
          <w:rFonts w:hint="eastAsia" w:ascii="仿宋" w:hAnsi="仿宋" w:eastAsia="仿宋" w:cs="仿宋"/>
          <w:sz w:val="32"/>
          <w:szCs w:val="32"/>
        </w:rPr>
        <w:t>其他资料</w:t>
      </w:r>
    </w:p>
    <w:p w14:paraId="7FE78851">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骨科用锯器械可参考《免于进行临床评价医疗器械目录》（以下简称目录）中的骨科用锯免于进行临床评价，豁免情况不包括新材料、新作用机理、新功能的产品。注册申请人应当按照《列入免于临床评价医疗器械目录产品对比说明技术指导原则》的要求，从基本原理、结构组成、性能要求、适用范围等方面，证明产品的安全有效性。</w:t>
      </w:r>
    </w:p>
    <w:p w14:paraId="7D02F07C">
      <w:pPr>
        <w:spacing w:line="520" w:lineRule="exact"/>
        <w:ind w:firstLine="640" w:firstLineChars="200"/>
        <w:outlineLvl w:val="1"/>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（四）临床评价资料</w:t>
      </w:r>
    </w:p>
    <w:p w14:paraId="76B6F5BE">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对于不符合《免于临床评价医疗器械目录》的骨科用锯产品，应按照《医疗器械注册与备案管理办法》、《医疗器械临床评价技术指导原则》、《医疗器械临床试验质量管理规范》等要求提交临床评价资料。</w:t>
      </w:r>
    </w:p>
    <w:p w14:paraId="78490C07">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1.同品种临床评价路径</w:t>
      </w:r>
    </w:p>
    <w:p w14:paraId="02517979">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在满足注册法规要求的前提下，可按照《医疗器械临床评价等同性论证技术指导原则》进行境内已上市同品种产品的对比、分析、评价，并按照《医疗器械注册申报临床评价报告技术指导原则》要求的内容和格式出具评价报告。</w:t>
      </w:r>
    </w:p>
    <w:p w14:paraId="30D4F94A">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2.临床试验路径</w:t>
      </w:r>
    </w:p>
    <w:p w14:paraId="0674C236">
      <w:pPr>
        <w:spacing w:line="520" w:lineRule="atLeast"/>
        <w:ind w:firstLine="640" w:firstLineChars="200"/>
        <w:rPr>
          <w:rFonts w:ascii="仿宋" w:hAnsi="仿宋" w:eastAsia="仿宋" w:cs="仿宋"/>
          <w:strike/>
          <w:sz w:val="32"/>
          <w:szCs w:val="32"/>
        </w:rPr>
      </w:pPr>
      <w:r>
        <w:rPr>
          <w:rFonts w:hint="eastAsia" w:ascii="仿宋" w:hAnsi="仿宋" w:eastAsia="仿宋" w:cs="仿宋"/>
          <w:sz w:val="32"/>
          <w:szCs w:val="32"/>
        </w:rPr>
        <w:t>临床试验需按照《医疗器械临床试验质量管理规范》开展，提交完整的临床试验资料。临床试验的设计可参考《医疗器械临床试验设计指导原则》，根据注册申请人宣称的申报产品适用范围开展。</w:t>
      </w:r>
    </w:p>
    <w:p w14:paraId="3A358D86">
      <w:pPr>
        <w:spacing w:line="520" w:lineRule="exact"/>
        <w:ind w:firstLine="640" w:firstLineChars="200"/>
        <w:outlineLvl w:val="1"/>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（五）产品说明书和标签样稿</w:t>
      </w:r>
    </w:p>
    <w:p w14:paraId="6B44AD36">
      <w:pPr>
        <w:tabs>
          <w:tab w:val="left" w:pos="540"/>
        </w:tabs>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产品说明书、标签和包装标识应符合《医疗器械说明书和标签管理规定》的相关要求，建议参照YY/T 0466.1《医疗器械 用于制造商提供信息的符号 第1部分：通用要求》相关标准制定说明书及标签内容，同时还应注意以下几点（不限于此）：</w:t>
      </w:r>
    </w:p>
    <w:p w14:paraId="36384293">
      <w:pPr>
        <w:spacing w:line="520" w:lineRule="atLeast"/>
        <w:rPr>
          <w:rFonts w:ascii="仿宋" w:hAnsi="仿宋" w:eastAsia="仿宋" w:cs="仿宋"/>
          <w:sz w:val="32"/>
          <w:szCs w:val="32"/>
        </w:rPr>
      </w:pPr>
      <w:r>
        <w:rPr>
          <w:rFonts w:hint="eastAsia" w:ascii="仿宋" w:hAnsi="仿宋" w:eastAsia="仿宋" w:cs="仿宋"/>
          <w:sz w:val="32"/>
          <w:szCs w:val="32"/>
        </w:rPr>
        <w:t>明确临床使用方法和步骤。</w:t>
      </w:r>
    </w:p>
    <w:p w14:paraId="7F40D0A7">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1.应当注明灭菌方式、“无菌”字样或符号。</w:t>
      </w:r>
    </w:p>
    <w:p w14:paraId="0442C9A2">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2.注明产品主要原材料，应有对材料过敏者禁止使用的提示。</w:t>
      </w:r>
    </w:p>
    <w:p w14:paraId="12D4F89D">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3.使用前检查初包装是否完好，如有破损，禁止使用。</w:t>
      </w:r>
    </w:p>
    <w:p w14:paraId="52A5BABC">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4.应标明产品的货架有效期，严禁使用超过货架有效期的产品；明确产品存储条件。</w:t>
      </w:r>
    </w:p>
    <w:p w14:paraId="0B23AD31">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5.应明确产品一次性使用，严禁重复使用。</w:t>
      </w:r>
    </w:p>
    <w:p w14:paraId="37A5F1E3">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6.明确针对产品特点的特殊注意事项、警示信息、可能的不良事件及处理措施等。</w:t>
      </w:r>
    </w:p>
    <w:p w14:paraId="0666C808">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7.按医疗垃圾处理的要求：使用后依据当地法规要求，按照医疗垃圾进行处理，不得随意丢弃。</w:t>
      </w:r>
    </w:p>
    <w:p w14:paraId="62700524">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8.本产品应由专业的医护人员使用，使用前请阅读全部说明。</w:t>
      </w:r>
    </w:p>
    <w:p w14:paraId="71D1D1EA">
      <w:pPr>
        <w:wordWrap w:val="0"/>
        <w:topLinePunct/>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9.根据使用目的，选择适宜的型号，使用时遵循通常的手术程序。</w:t>
      </w:r>
    </w:p>
    <w:p w14:paraId="1E7C4F34">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10.应在无菌操作下取出产品。</w:t>
      </w:r>
    </w:p>
    <w:p w14:paraId="67A1ACC6">
      <w:pPr>
        <w:spacing w:line="520" w:lineRule="atLeast"/>
        <w:ind w:firstLine="640" w:firstLineChars="200"/>
        <w:jc w:val="left"/>
        <w:rPr>
          <w:rFonts w:ascii="仿宋" w:hAnsi="仿宋" w:eastAsia="仿宋" w:cs="仿宋"/>
          <w:sz w:val="32"/>
          <w:szCs w:val="32"/>
        </w:rPr>
      </w:pPr>
      <w:r>
        <w:rPr>
          <w:rFonts w:hint="eastAsia" w:ascii="仿宋" w:hAnsi="仿宋" w:eastAsia="仿宋" w:cs="仿宋"/>
          <w:sz w:val="32"/>
          <w:szCs w:val="32"/>
        </w:rPr>
        <w:t>11.由于产品头部尖锐，在使用时务必格外小心，如果不注意会引发外伤事故，被污染的产品有可能引起血液性传播疾病。</w:t>
      </w:r>
    </w:p>
    <w:p w14:paraId="74E2B2D8">
      <w:pPr>
        <w:spacing w:line="520" w:lineRule="atLeas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12.应列出适用于产品的注意事项。如临床医生应判定不适用的情形等。与警告事项相同，注意事项中也应说明可能的后果情况。</w:t>
      </w:r>
    </w:p>
    <w:p w14:paraId="7A268158">
      <w:pPr>
        <w:spacing w:line="560" w:lineRule="exact"/>
        <w:ind w:firstLine="640" w:firstLineChars="200"/>
        <w:rPr>
          <w:rFonts w:eastAsia="仿宋_GB2312"/>
          <w:sz w:val="32"/>
          <w:szCs w:val="32"/>
        </w:rPr>
      </w:pP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w:t>
      </w:r>
      <w:r>
        <w:rPr>
          <w:rFonts w:hint="eastAsia" w:eastAsia="仿宋_GB2312"/>
          <w:sz w:val="32"/>
          <w:szCs w:val="32"/>
        </w:rPr>
        <w:t>对于非无菌交付的产品，需明确推荐的使用前清洗和灭菌方式；</w:t>
      </w:r>
    </w:p>
    <w:p w14:paraId="596C238F">
      <w:pPr>
        <w:spacing w:line="560" w:lineRule="exact"/>
        <w:ind w:firstLine="640" w:firstLineChars="200"/>
        <w:rPr>
          <w:rFonts w:hint="eastAsia" w:ascii="仿宋" w:hAnsi="仿宋" w:eastAsia="仿宋" w:cs="仿宋"/>
          <w:sz w:val="32"/>
          <w:szCs w:val="32"/>
        </w:rPr>
      </w:pPr>
      <w:r>
        <w:rPr>
          <w:rFonts w:hint="default"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w:t>
      </w:r>
      <w:r>
        <w:rPr>
          <w:rFonts w:hint="eastAsia" w:eastAsia="仿宋_GB2312"/>
          <w:sz w:val="32"/>
          <w:szCs w:val="32"/>
        </w:rPr>
        <w:t>对于可重复使用的产品，需明确产品重复使用前的清洗及灭菌方法。对于规定了重复使用次数的，其使用次数不应超出研究资料的验证范围。</w:t>
      </w:r>
    </w:p>
    <w:p w14:paraId="47C3729D">
      <w:pPr>
        <w:spacing w:line="520" w:lineRule="exact"/>
        <w:ind w:firstLine="640" w:firstLineChars="200"/>
        <w:outlineLvl w:val="1"/>
        <w:rPr>
          <w:rFonts w:ascii="Times New Roman" w:hAnsi="Times New Roman" w:eastAsia="楷体_GB2312" w:cs="Times New Roman"/>
          <w:bCs/>
          <w:sz w:val="32"/>
          <w:szCs w:val="32"/>
        </w:rPr>
      </w:pPr>
      <w:r>
        <w:rPr>
          <w:rFonts w:hint="eastAsia" w:ascii="Times New Roman" w:hAnsi="Times New Roman" w:eastAsia="楷体_GB2312" w:cs="Times New Roman"/>
          <w:bCs/>
          <w:sz w:val="32"/>
          <w:szCs w:val="32"/>
        </w:rPr>
        <w:t>（六）质量管理体系文件</w:t>
      </w:r>
    </w:p>
    <w:p w14:paraId="5E7BE488">
      <w:pPr>
        <w:spacing w:line="520" w:lineRule="atLeast"/>
        <w:ind w:firstLine="640" w:firstLineChars="200"/>
        <w:rPr>
          <w:rFonts w:ascii="仿宋" w:hAnsi="仿宋" w:eastAsia="仿宋" w:cs="仿宋"/>
          <w:sz w:val="32"/>
          <w:szCs w:val="32"/>
        </w:rPr>
      </w:pPr>
      <w:r>
        <w:rPr>
          <w:rFonts w:hint="eastAsia" w:ascii="仿宋" w:hAnsi="仿宋" w:eastAsia="仿宋" w:cs="仿宋"/>
          <w:sz w:val="32"/>
          <w:szCs w:val="32"/>
        </w:rPr>
        <w:t>质量管理体系文件应符合国家药品监督管理局《关于公布医疗器械注册申报资料要求和批准证明文件格式的公告》中对质量管理体系文件的要求。</w:t>
      </w:r>
    </w:p>
    <w:p w14:paraId="5B2FB693">
      <w:pPr>
        <w:spacing w:line="520" w:lineRule="exact"/>
        <w:rPr>
          <w:rFonts w:ascii="Times New Roman" w:hAnsi="Times New Roman" w:eastAsia="仿宋_GB2312" w:cs="Times New Roman"/>
          <w:sz w:val="28"/>
          <w:szCs w:val="28"/>
        </w:rPr>
      </w:pPr>
      <w:r>
        <w:rPr>
          <w:rFonts w:ascii="Times New Roman" w:hAnsi="Times New Roman" w:eastAsia="黑体" w:cs="Times New Roman"/>
          <w:color w:val="000000"/>
          <w:sz w:val="32"/>
          <w:szCs w:val="32"/>
        </w:rPr>
        <w:t>三、参考文献</w:t>
      </w:r>
    </w:p>
    <w:p w14:paraId="6017F8D1">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[1]中华人民共和国国务院.医疗器械监督管理条例:中华人民共和国国务院令第739号[Z].</w:t>
      </w:r>
    </w:p>
    <w:p w14:paraId="55EA11F4">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[2]国家市场监督管理总局.医疗器械注册与备案管理办法:国家市场监督管理总局令第47号[Z].</w:t>
      </w:r>
    </w:p>
    <w:p w14:paraId="268148CF">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[3]国家药品监督管理局.医疗器械注册申报资料要求和批准证明文件格式:国家药监局公告2021年第121号[Z].</w:t>
      </w:r>
    </w:p>
    <w:p w14:paraId="1F66A820">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[4]国家食品药品监督管理总局.医疗器械注册单元划分指导原则:总局通告2017年第187号[Z].</w:t>
      </w:r>
    </w:p>
    <w:p w14:paraId="209079F5">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[5]国家食品药品监督管理总局.医疗器械分类目录:国家食品药品监督管理总局公告2017年第104号[Z].</w:t>
      </w:r>
    </w:p>
    <w:p w14:paraId="10F085B5">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[6]国家药品监督管理局.医疗器械安全和性能基本原则清单:国家药监局公告2021年第121号[Z].</w:t>
      </w:r>
    </w:p>
    <w:p w14:paraId="10804A37">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[7]国家药品监督管理局.医疗器械产品技术要求编写指导原则:国家药监局公告2022年第8号[Z].</w:t>
      </w:r>
    </w:p>
    <w:p w14:paraId="025E1F53">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[8]国家药品监督管理局.医疗器械注册自检管理规定:国家药监局公告2021年第126号[Z].</w:t>
      </w:r>
    </w:p>
    <w:p w14:paraId="184C391A">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[9]国家食品药品监督管理总局.医疗器械生物学评价和审查指南:国家食品药品监督管理总局通知2007年第345号[Z].</w:t>
      </w:r>
    </w:p>
    <w:p w14:paraId="543BFD22">
      <w:pPr>
        <w:tabs>
          <w:tab w:val="left" w:pos="540"/>
        </w:tabs>
        <w:spacing w:line="520" w:lineRule="atLeas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[10]国家药品监督管理局.列入免于临床评价医疗器械目录产品对比说明技术指导原则:国家药监局通告2021年第73号[Z].</w:t>
      </w:r>
    </w:p>
    <w:p w14:paraId="02B23CEE">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[11]国家药品监督管理局.关于发布免于进行临床评价医疗器械目录的通告2025年第19号[Z].</w:t>
      </w:r>
    </w:p>
    <w:p w14:paraId="73A1F969">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[12]国家药品监督管理局.医疗器械临床评价技术指导原则:国家药监局通告2021年第73号[Z].</w:t>
      </w:r>
    </w:p>
    <w:p w14:paraId="2F8802DA">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[13]国家食品药品监督管理总局.医疗器械说明书和标签管理规定:国家食品药品监督管理总局令第6号[Z].</w:t>
      </w:r>
    </w:p>
    <w:p w14:paraId="6C2865E4">
      <w:pPr>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[14]中华人民共和国药典（2025版）[S].</w:t>
      </w:r>
    </w:p>
    <w:p w14:paraId="10AB652E">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[15]GB 18280.1-2015,医疗保健产品灭菌 辐射 第1部分医疗器械灭菌过程的开发、确认和常规控制要求[S].</w:t>
      </w:r>
    </w:p>
    <w:p w14:paraId="5D307F8B">
      <w:pPr>
        <w:tabs>
          <w:tab w:val="left" w:pos="540"/>
        </w:tabs>
        <w:spacing w:line="520" w:lineRule="atLeast"/>
        <w:ind w:firstLine="640" w:firstLineChars="200"/>
        <w:rPr>
          <w:rFonts w:ascii="Times New Roman" w:hAnsi="Times New Roman" w:eastAsia="仿宋_GB2312" w:cs="Times New Roman"/>
          <w:color w:val="FF0000"/>
          <w:sz w:val="32"/>
          <w:szCs w:val="32"/>
          <w:highlight w:val="yellow"/>
        </w:rPr>
      </w:pPr>
      <w:r>
        <w:rPr>
          <w:rFonts w:ascii="Times New Roman" w:hAnsi="Times New Roman" w:eastAsia="仿宋_GB2312" w:cs="Times New Roman"/>
          <w:sz w:val="32"/>
          <w:szCs w:val="32"/>
        </w:rPr>
        <w:t>[16]GB 18279.1-2015,医疗保健产品灭菌 环氧乙烷第1部分：医疗器械灭菌过程的开发、确认和常规控制的要求[S].</w:t>
      </w:r>
    </w:p>
    <w:p w14:paraId="63A60410">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[18]GB 4857,包装 包装运输件系列标准[S].</w:t>
      </w:r>
    </w:p>
    <w:p w14:paraId="2FF5BAD3">
      <w:pPr>
        <w:tabs>
          <w:tab w:val="left" w:pos="540"/>
        </w:tabs>
        <w:spacing w:line="520" w:lineRule="atLeast"/>
        <w:ind w:firstLine="64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[19]GB 18278.1-2015,医疗保健产品灭菌 湿热 第1部分：医疗器械灭菌过程的开发、确认和常规控制要求[S].</w:t>
      </w:r>
    </w:p>
    <w:p w14:paraId="670E26AB">
      <w:pPr>
        <w:tabs>
          <w:tab w:val="left" w:pos="540"/>
        </w:tabs>
        <w:wordWrap w:val="0"/>
        <w:topLinePunct/>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[20]ASTM F899-2020,外科器械用锻造不锈钢 [S].</w:t>
      </w:r>
    </w:p>
    <w:p w14:paraId="74B21A88">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[21]GB/T 19633,最终灭菌医疗器械包装系列标准[S].</w:t>
      </w:r>
    </w:p>
    <w:p w14:paraId="121A0F9C">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[22]GB/T 16886,医疗器械生物学评价系列标准[S].</w:t>
      </w:r>
    </w:p>
    <w:p w14:paraId="4642ADCE">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[23]GB/T 42062-2022,医疗器械风险管理对医疗器械的应用[S].</w:t>
      </w:r>
    </w:p>
    <w:p w14:paraId="2578142F">
      <w:pPr>
        <w:tabs>
          <w:tab w:val="left" w:pos="540"/>
        </w:tabs>
        <w:wordWrap w:val="0"/>
        <w:topLinePunct/>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[24]YY/T 1137-2017,骨锯通用技术条件[S].</w:t>
      </w:r>
    </w:p>
    <w:p w14:paraId="4EEA392E">
      <w:pPr>
        <w:tabs>
          <w:tab w:val="left" w:pos="540"/>
        </w:tabs>
        <w:wordWrap w:val="0"/>
        <w:topLinePunct/>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[25]GB/T 20878-2024,不锈钢 牌号及化学成分[S].</w:t>
      </w:r>
    </w:p>
    <w:p w14:paraId="5B46B056">
      <w:pPr>
        <w:tabs>
          <w:tab w:val="left" w:pos="540"/>
        </w:tabs>
        <w:wordWrap w:val="0"/>
        <w:topLinePunct/>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[26]GB/T 1220-2007,不锈钢棒[S].</w:t>
      </w:r>
    </w:p>
    <w:p w14:paraId="69EF237B">
      <w:pPr>
        <w:tabs>
          <w:tab w:val="left" w:pos="540"/>
        </w:tabs>
        <w:wordWrap w:val="0"/>
        <w:topLinePunct/>
        <w:spacing w:line="520" w:lineRule="atLeast"/>
        <w:ind w:firstLine="640" w:firstLineChars="200"/>
        <w:jc w:val="left"/>
        <w:rPr>
          <w:rFonts w:ascii="Times New Roman" w:hAnsi="Times New Roman" w:eastAsia="黑体" w:cs="Times New Roman"/>
          <w:sz w:val="28"/>
          <w:szCs w:val="28"/>
        </w:rPr>
      </w:pPr>
      <w:r>
        <w:rPr>
          <w:rFonts w:ascii="Times New Roman" w:hAnsi="Times New Roman" w:eastAsia="仿宋_GB2312" w:cs="Times New Roman"/>
          <w:sz w:val="32"/>
          <w:szCs w:val="32"/>
        </w:rPr>
        <w:t>[27]GB/T 18457-2024</w:t>
      </w:r>
      <w:r>
        <w:rPr>
          <w:rFonts w:ascii="Times New Roman" w:hAnsi="Times New Roman" w:eastAsia="黑体" w:cs="Times New Roman"/>
          <w:sz w:val="28"/>
          <w:szCs w:val="28"/>
        </w:rPr>
        <w:t>,</w:t>
      </w:r>
      <w:r>
        <w:rPr>
          <w:rFonts w:ascii="Times New Roman" w:hAnsi="Times New Roman" w:eastAsia="仿宋_GB2312" w:cs="Times New Roman"/>
          <w:sz w:val="32"/>
          <w:szCs w:val="32"/>
        </w:rPr>
        <w:t>制造医疗器械用不锈钢针管要求和试验方法[S].</w:t>
      </w:r>
    </w:p>
    <w:p w14:paraId="1117D43B">
      <w:pPr>
        <w:tabs>
          <w:tab w:val="left" w:pos="540"/>
        </w:tabs>
        <w:spacing w:line="520" w:lineRule="atLeas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[28]YY/T 0681,无菌医疗器械包装试验方法系列标准[S].</w:t>
      </w:r>
    </w:p>
    <w:p w14:paraId="3995A6E2">
      <w:pPr>
        <w:tabs>
          <w:tab w:val="left" w:pos="540"/>
        </w:tabs>
        <w:spacing w:line="520" w:lineRule="atLeast"/>
        <w:ind w:firstLine="640" w:firstLineChars="200"/>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[29]YY/T 0698,最终灭菌医疗器械包装材料系列标准[S].</w:t>
      </w:r>
    </w:p>
    <w:p w14:paraId="5D98C8F4">
      <w:pPr>
        <w:tabs>
          <w:tab w:val="left" w:pos="540"/>
        </w:tabs>
        <w:spacing w:line="520" w:lineRule="atLeast"/>
        <w:ind w:firstLine="640" w:firstLineChars="200"/>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[30]YY/T 1437-2023,医疗器械 GB/T 42062应用指南[S].</w:t>
      </w:r>
    </w:p>
    <w:p w14:paraId="29D744DF">
      <w:pPr>
        <w:tabs>
          <w:tab w:val="left" w:pos="540"/>
        </w:tabs>
        <w:spacing w:line="520" w:lineRule="atLeas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[31]YY/T 0466.1-2023,医疗器械 用于制造商提供信息的符号 第1部分：通用要求.[S].</w:t>
      </w:r>
    </w:p>
    <w:p w14:paraId="5E0C3DF6">
      <w:pPr>
        <w:tabs>
          <w:tab w:val="left" w:pos="540"/>
        </w:tabs>
        <w:spacing w:line="520" w:lineRule="atLeas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[32]YY/T 0615.1-2007,标示无菌医疗器械的要求 第1部分：最终灭菌医疗器械的要求[S].</w:t>
      </w:r>
    </w:p>
    <w:p w14:paraId="42E4897E">
      <w:pPr>
        <w:spacing w:line="520" w:lineRule="atLeas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[33]YY/T 0806-2010,医用输液、输血、注射及其他医疗器械用聚碳酸酯专用料[S].</w:t>
      </w:r>
    </w:p>
    <w:p w14:paraId="68DA4E3C">
      <w:pPr>
        <w:tabs>
          <w:tab w:val="left" w:pos="540"/>
        </w:tabs>
        <w:wordWrap w:val="0"/>
        <w:topLinePunct/>
        <w:spacing w:line="520" w:lineRule="atLeas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[34]</w:t>
      </w:r>
      <w:r>
        <w:rPr>
          <w:rFonts w:ascii="Times New Roman" w:hAnsi="Times New Roman" w:eastAsia="仿宋_GB2312" w:cs="Times New Roman"/>
          <w:spacing w:val="-1"/>
          <w:sz w:val="32"/>
          <w:szCs w:val="32"/>
        </w:rPr>
        <w:t>YY/T 0806-2010,医用输液、输血、注射及其他医疗器械用聚碳酸酯专用料</w:t>
      </w:r>
      <w:r>
        <w:rPr>
          <w:rFonts w:ascii="Times New Roman" w:hAnsi="Times New Roman" w:eastAsia="仿宋_GB2312" w:cs="Times New Roman"/>
          <w:sz w:val="32"/>
          <w:szCs w:val="32"/>
        </w:rPr>
        <w:t>[S].</w:t>
      </w:r>
    </w:p>
    <w:p w14:paraId="1BE164F3">
      <w:pPr>
        <w:tabs>
          <w:tab w:val="left" w:pos="540"/>
        </w:tabs>
        <w:wordWrap w:val="0"/>
        <w:topLinePunct/>
        <w:spacing w:line="520" w:lineRule="atLeas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[35]YY/T 0294.1-2024,外科器械 材料 第1部分：金属材料[S].</w:t>
      </w:r>
    </w:p>
    <w:p w14:paraId="49DBA6A5">
      <w:pPr>
        <w:spacing w:line="520" w:lineRule="atLeast"/>
        <w:ind w:firstLine="640" w:firstLineChars="200"/>
        <w:rPr>
          <w:rFonts w:ascii="Times New Roman" w:hAnsi="Times New Roman" w:eastAsia="仿宋_GB2312" w:cs="Times New Roman"/>
          <w:sz w:val="28"/>
          <w:szCs w:val="28"/>
        </w:rPr>
        <w:sectPr>
          <w:pgSz w:w="11906" w:h="16838"/>
          <w:pgMar w:top="1440" w:right="1800" w:bottom="1440" w:left="1800" w:header="851" w:footer="992" w:gutter="0"/>
          <w:lnNumType w:countBy="1" w:restart="continuous"/>
          <w:cols w:space="425" w:num="1"/>
          <w:docGrid w:type="lines" w:linePitch="312" w:charSpace="0"/>
        </w:sectPr>
      </w:pPr>
      <w:r>
        <w:rPr>
          <w:rFonts w:ascii="Times New Roman" w:hAnsi="Times New Roman" w:eastAsia="仿宋_GB2312" w:cs="Times New Roman"/>
          <w:sz w:val="32"/>
          <w:szCs w:val="32"/>
        </w:rPr>
        <w:t>[36]YY/T 0149-2006,不锈钢医用器械耐腐蚀性能试验方法[S]</w:t>
      </w:r>
    </w:p>
    <w:p w14:paraId="308E8069">
      <w:pPr>
        <w:rPr>
          <w:rFonts w:eastAsia="仿宋_GB2312" w:cs="仿宋_GB2312"/>
          <w:sz w:val="32"/>
          <w:szCs w:val="32"/>
        </w:rPr>
      </w:pPr>
    </w:p>
    <w:p w14:paraId="37DA4306">
      <w:pPr>
        <w:spacing w:before="156" w:beforeLines="50" w:after="156" w:afterLines="50" w:line="520" w:lineRule="exact"/>
        <w:jc w:val="center"/>
        <w:rPr>
          <w:rFonts w:eastAsia="黑体"/>
          <w:sz w:val="28"/>
          <w:szCs w:val="28"/>
        </w:rPr>
      </w:pPr>
      <w:r>
        <w:rPr>
          <w:rFonts w:eastAsia="黑体"/>
          <w:sz w:val="28"/>
          <w:szCs w:val="28"/>
        </w:rPr>
        <w:t>表</w:t>
      </w:r>
      <w:r>
        <w:rPr>
          <w:rFonts w:hint="eastAsia" w:eastAsia="黑体"/>
          <w:sz w:val="28"/>
          <w:szCs w:val="28"/>
        </w:rPr>
        <w:t>3</w:t>
      </w:r>
      <w:r>
        <w:rPr>
          <w:rFonts w:eastAsia="黑体"/>
          <w:sz w:val="28"/>
          <w:szCs w:val="28"/>
        </w:rPr>
        <w:t xml:space="preserve">  产品主要危险（源）</w:t>
      </w:r>
    </w:p>
    <w:tbl>
      <w:tblPr>
        <w:tblStyle w:val="4"/>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2689"/>
        <w:gridCol w:w="3266"/>
        <w:gridCol w:w="2650"/>
      </w:tblGrid>
      <w:tr w14:paraId="1E10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blHeader/>
          <w:jc w:val="center"/>
        </w:trPr>
        <w:tc>
          <w:tcPr>
            <w:tcW w:w="3999" w:type="dxa"/>
            <w:gridSpan w:val="2"/>
            <w:vAlign w:val="center"/>
          </w:tcPr>
          <w:p w14:paraId="71A5D0BE">
            <w:pPr>
              <w:tabs>
                <w:tab w:val="center" w:pos="1407"/>
                <w:tab w:val="right" w:pos="2814"/>
              </w:tabs>
              <w:spacing w:line="440" w:lineRule="exact"/>
              <w:jc w:val="center"/>
              <w:rPr>
                <w:rFonts w:ascii="黑体" w:hAnsi="黑体" w:eastAsia="黑体" w:cs="黑体"/>
                <w:sz w:val="28"/>
                <w:szCs w:val="28"/>
              </w:rPr>
            </w:pPr>
            <w:r>
              <w:rPr>
                <w:rFonts w:hint="eastAsia" w:ascii="黑体" w:hAnsi="黑体" w:eastAsia="黑体" w:cs="黑体"/>
                <w:sz w:val="28"/>
                <w:szCs w:val="28"/>
              </w:rPr>
              <w:t>危险（源）</w:t>
            </w:r>
          </w:p>
        </w:tc>
        <w:tc>
          <w:tcPr>
            <w:tcW w:w="3266" w:type="dxa"/>
            <w:vAlign w:val="center"/>
          </w:tcPr>
          <w:p w14:paraId="12739D33">
            <w:pPr>
              <w:spacing w:line="440" w:lineRule="exact"/>
              <w:jc w:val="center"/>
              <w:rPr>
                <w:rFonts w:ascii="黑体" w:hAnsi="黑体" w:eastAsia="黑体" w:cs="黑体"/>
                <w:sz w:val="28"/>
                <w:szCs w:val="28"/>
              </w:rPr>
            </w:pPr>
            <w:r>
              <w:rPr>
                <w:rFonts w:hint="eastAsia" w:ascii="黑体" w:hAnsi="黑体" w:eastAsia="黑体" w:cs="黑体"/>
                <w:sz w:val="28"/>
                <w:szCs w:val="28"/>
              </w:rPr>
              <w:t>危险（源）的形成因素</w:t>
            </w:r>
          </w:p>
        </w:tc>
        <w:tc>
          <w:tcPr>
            <w:tcW w:w="2650" w:type="dxa"/>
            <w:vAlign w:val="center"/>
          </w:tcPr>
          <w:p w14:paraId="109BA4CD">
            <w:pPr>
              <w:spacing w:line="440" w:lineRule="exact"/>
              <w:jc w:val="center"/>
              <w:rPr>
                <w:rFonts w:ascii="黑体" w:hAnsi="黑体" w:eastAsia="黑体" w:cs="黑体"/>
                <w:sz w:val="28"/>
                <w:szCs w:val="28"/>
              </w:rPr>
            </w:pPr>
            <w:r>
              <w:rPr>
                <w:rFonts w:hint="eastAsia" w:ascii="黑体" w:hAnsi="黑体" w:eastAsia="黑体" w:cs="黑体"/>
                <w:sz w:val="28"/>
                <w:szCs w:val="28"/>
              </w:rPr>
              <w:t>可能的后果</w:t>
            </w:r>
          </w:p>
        </w:tc>
      </w:tr>
      <w:tr w14:paraId="2D40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5" w:hRule="atLeast"/>
          <w:jc w:val="center"/>
        </w:trPr>
        <w:tc>
          <w:tcPr>
            <w:tcW w:w="1310" w:type="dxa"/>
            <w:vMerge w:val="restart"/>
            <w:vAlign w:val="center"/>
          </w:tcPr>
          <w:p w14:paraId="390A9690">
            <w:pPr>
              <w:spacing w:line="440" w:lineRule="exact"/>
              <w:jc w:val="left"/>
              <w:rPr>
                <w:rFonts w:eastAsia="仿宋_GB2312"/>
                <w:sz w:val="28"/>
                <w:szCs w:val="28"/>
              </w:rPr>
            </w:pPr>
            <w:r>
              <w:rPr>
                <w:rFonts w:eastAsia="仿宋_GB2312"/>
                <w:sz w:val="28"/>
                <w:szCs w:val="28"/>
              </w:rPr>
              <w:t>生物学危险（源）</w:t>
            </w:r>
          </w:p>
        </w:tc>
        <w:tc>
          <w:tcPr>
            <w:tcW w:w="2689" w:type="dxa"/>
            <w:vAlign w:val="center"/>
          </w:tcPr>
          <w:p w14:paraId="6A3B6333">
            <w:pPr>
              <w:spacing w:line="440" w:lineRule="exact"/>
              <w:rPr>
                <w:rFonts w:eastAsia="仿宋_GB2312"/>
                <w:sz w:val="28"/>
                <w:szCs w:val="28"/>
              </w:rPr>
            </w:pPr>
            <w:r>
              <w:rPr>
                <w:rFonts w:eastAsia="仿宋_GB2312"/>
                <w:sz w:val="28"/>
                <w:szCs w:val="28"/>
              </w:rPr>
              <w:t xml:space="preserve">生物污染 </w:t>
            </w:r>
          </w:p>
        </w:tc>
        <w:tc>
          <w:tcPr>
            <w:tcW w:w="3266" w:type="dxa"/>
            <w:vAlign w:val="center"/>
          </w:tcPr>
          <w:p w14:paraId="7081BCB9">
            <w:pPr>
              <w:spacing w:line="440" w:lineRule="exact"/>
              <w:rPr>
                <w:rFonts w:eastAsia="仿宋_GB2312"/>
                <w:sz w:val="28"/>
                <w:szCs w:val="28"/>
              </w:rPr>
            </w:pPr>
            <w:r>
              <w:rPr>
                <w:rFonts w:eastAsia="仿宋_GB2312"/>
                <w:sz w:val="28"/>
                <w:szCs w:val="28"/>
              </w:rPr>
              <w:t>生产环境控制不好；</w:t>
            </w:r>
          </w:p>
          <w:p w14:paraId="69EA3345">
            <w:pPr>
              <w:spacing w:line="440" w:lineRule="exact"/>
              <w:rPr>
                <w:rFonts w:eastAsia="仿宋_GB2312"/>
                <w:sz w:val="28"/>
                <w:szCs w:val="28"/>
              </w:rPr>
            </w:pPr>
            <w:r>
              <w:rPr>
                <w:rFonts w:eastAsia="仿宋_GB2312"/>
                <w:sz w:val="28"/>
                <w:szCs w:val="28"/>
              </w:rPr>
              <w:t>产品原材料受到污染；</w:t>
            </w:r>
          </w:p>
          <w:p w14:paraId="1B2B0AD6">
            <w:pPr>
              <w:spacing w:line="440" w:lineRule="exact"/>
              <w:rPr>
                <w:rFonts w:eastAsia="仿宋_GB2312"/>
                <w:sz w:val="28"/>
                <w:szCs w:val="28"/>
              </w:rPr>
            </w:pPr>
            <w:r>
              <w:rPr>
                <w:rFonts w:eastAsia="仿宋_GB2312"/>
                <w:sz w:val="28"/>
                <w:szCs w:val="28"/>
              </w:rPr>
              <w:t xml:space="preserve">灭菌操作不严格； </w:t>
            </w:r>
          </w:p>
          <w:p w14:paraId="23739E56">
            <w:pPr>
              <w:spacing w:line="440" w:lineRule="exact"/>
              <w:rPr>
                <w:rFonts w:eastAsia="仿宋_GB2312"/>
                <w:sz w:val="28"/>
                <w:szCs w:val="28"/>
              </w:rPr>
            </w:pPr>
            <w:r>
              <w:rPr>
                <w:rFonts w:eastAsia="仿宋_GB2312"/>
                <w:sz w:val="28"/>
                <w:szCs w:val="28"/>
              </w:rPr>
              <w:t>包装破损；</w:t>
            </w:r>
          </w:p>
          <w:p w14:paraId="43C10913">
            <w:pPr>
              <w:spacing w:line="440" w:lineRule="exact"/>
              <w:rPr>
                <w:rFonts w:eastAsia="仿宋_GB2312"/>
                <w:sz w:val="28"/>
                <w:szCs w:val="28"/>
              </w:rPr>
            </w:pPr>
            <w:r>
              <w:rPr>
                <w:rFonts w:eastAsia="仿宋_GB2312"/>
                <w:sz w:val="28"/>
                <w:szCs w:val="28"/>
              </w:rPr>
              <w:t>使用时操作不规范</w:t>
            </w:r>
          </w:p>
        </w:tc>
        <w:tc>
          <w:tcPr>
            <w:tcW w:w="2650" w:type="dxa"/>
            <w:vAlign w:val="center"/>
          </w:tcPr>
          <w:p w14:paraId="7FEF1BE7">
            <w:pPr>
              <w:spacing w:line="440" w:lineRule="exact"/>
              <w:rPr>
                <w:rFonts w:eastAsia="仿宋_GB2312"/>
                <w:sz w:val="28"/>
                <w:szCs w:val="28"/>
              </w:rPr>
            </w:pPr>
            <w:r>
              <w:rPr>
                <w:rFonts w:eastAsia="仿宋_GB2312"/>
                <w:sz w:val="28"/>
                <w:szCs w:val="28"/>
              </w:rPr>
              <w:t>产品带菌、引起</w:t>
            </w:r>
            <w:r>
              <w:rPr>
                <w:rFonts w:hint="eastAsia" w:eastAsia="仿宋_GB2312"/>
                <w:sz w:val="28"/>
                <w:szCs w:val="28"/>
              </w:rPr>
              <w:t>患者</w:t>
            </w:r>
            <w:r>
              <w:rPr>
                <w:rFonts w:eastAsia="仿宋_GB2312"/>
                <w:sz w:val="28"/>
                <w:szCs w:val="28"/>
              </w:rPr>
              <w:t xml:space="preserve">感染 </w:t>
            </w:r>
          </w:p>
        </w:tc>
      </w:tr>
      <w:tr w14:paraId="0E388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0" w:hRule="atLeast"/>
          <w:jc w:val="center"/>
        </w:trPr>
        <w:tc>
          <w:tcPr>
            <w:tcW w:w="1310" w:type="dxa"/>
            <w:vMerge w:val="continue"/>
            <w:vAlign w:val="center"/>
          </w:tcPr>
          <w:p w14:paraId="2145780B">
            <w:pPr>
              <w:spacing w:line="440" w:lineRule="exact"/>
              <w:rPr>
                <w:rFonts w:eastAsia="仿宋_GB2312"/>
                <w:sz w:val="28"/>
                <w:szCs w:val="28"/>
              </w:rPr>
            </w:pPr>
          </w:p>
        </w:tc>
        <w:tc>
          <w:tcPr>
            <w:tcW w:w="2689" w:type="dxa"/>
            <w:vAlign w:val="center"/>
          </w:tcPr>
          <w:p w14:paraId="166343DE">
            <w:pPr>
              <w:spacing w:line="440" w:lineRule="exact"/>
              <w:rPr>
                <w:rFonts w:eastAsia="仿宋_GB2312"/>
                <w:sz w:val="28"/>
                <w:szCs w:val="28"/>
              </w:rPr>
            </w:pPr>
            <w:r>
              <w:rPr>
                <w:rFonts w:eastAsia="仿宋_GB2312"/>
                <w:sz w:val="28"/>
                <w:szCs w:val="28"/>
              </w:rPr>
              <w:t>生物不相容性</w:t>
            </w:r>
          </w:p>
        </w:tc>
        <w:tc>
          <w:tcPr>
            <w:tcW w:w="3266" w:type="dxa"/>
            <w:vAlign w:val="center"/>
          </w:tcPr>
          <w:p w14:paraId="0C8DCEEC">
            <w:pPr>
              <w:spacing w:line="440" w:lineRule="exact"/>
              <w:rPr>
                <w:rFonts w:eastAsia="仿宋_GB2312"/>
                <w:sz w:val="28"/>
                <w:szCs w:val="28"/>
              </w:rPr>
            </w:pPr>
            <w:r>
              <w:rPr>
                <w:rFonts w:hint="eastAsia" w:eastAsia="仿宋_GB2312"/>
                <w:sz w:val="28"/>
                <w:szCs w:val="28"/>
              </w:rPr>
              <w:t>与骨组织接触的材料，不具有良好的生物相容性</w:t>
            </w:r>
          </w:p>
        </w:tc>
        <w:tc>
          <w:tcPr>
            <w:tcW w:w="2650" w:type="dxa"/>
            <w:vAlign w:val="center"/>
          </w:tcPr>
          <w:p w14:paraId="0E47DB7B">
            <w:pPr>
              <w:spacing w:line="440" w:lineRule="exact"/>
              <w:rPr>
                <w:rFonts w:eastAsia="仿宋_GB2312"/>
                <w:sz w:val="28"/>
                <w:szCs w:val="28"/>
              </w:rPr>
            </w:pPr>
            <w:r>
              <w:rPr>
                <w:rFonts w:hint="eastAsia" w:eastAsia="仿宋_GB2312"/>
                <w:sz w:val="28"/>
                <w:szCs w:val="28"/>
              </w:rPr>
              <w:t>使用中产生细胞毒性、致敏反应等</w:t>
            </w:r>
          </w:p>
        </w:tc>
      </w:tr>
      <w:tr w14:paraId="0A143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5" w:hRule="atLeast"/>
          <w:jc w:val="center"/>
        </w:trPr>
        <w:tc>
          <w:tcPr>
            <w:tcW w:w="1310" w:type="dxa"/>
            <w:vMerge w:val="continue"/>
            <w:vAlign w:val="center"/>
          </w:tcPr>
          <w:p w14:paraId="2D94E805">
            <w:pPr>
              <w:spacing w:line="440" w:lineRule="exact"/>
              <w:rPr>
                <w:rFonts w:eastAsia="仿宋_GB2312"/>
                <w:sz w:val="28"/>
                <w:szCs w:val="28"/>
              </w:rPr>
            </w:pPr>
          </w:p>
        </w:tc>
        <w:tc>
          <w:tcPr>
            <w:tcW w:w="2689" w:type="dxa"/>
            <w:vAlign w:val="center"/>
          </w:tcPr>
          <w:p w14:paraId="363A0463">
            <w:pPr>
              <w:spacing w:line="440" w:lineRule="exact"/>
              <w:rPr>
                <w:rFonts w:eastAsia="仿宋_GB2312"/>
                <w:sz w:val="28"/>
                <w:szCs w:val="28"/>
              </w:rPr>
            </w:pPr>
            <w:r>
              <w:rPr>
                <w:rFonts w:eastAsia="仿宋_GB2312"/>
                <w:sz w:val="28"/>
                <w:szCs w:val="28"/>
              </w:rPr>
              <w:t>再感染和</w:t>
            </w:r>
            <w:r>
              <w:rPr>
                <w:rFonts w:eastAsia="仿宋_GB2312"/>
                <w:sz w:val="28"/>
                <w:szCs w:val="28"/>
                <w:lang w:val="en"/>
              </w:rPr>
              <w:t>（</w:t>
            </w:r>
            <w:r>
              <w:rPr>
                <w:rFonts w:eastAsia="仿宋_GB2312"/>
                <w:sz w:val="28"/>
                <w:szCs w:val="28"/>
              </w:rPr>
              <w:t>或</w:t>
            </w:r>
            <w:r>
              <w:rPr>
                <w:rFonts w:eastAsia="仿宋_GB2312"/>
                <w:sz w:val="28"/>
                <w:szCs w:val="28"/>
                <w:lang w:val="en"/>
              </w:rPr>
              <w:t>）</w:t>
            </w:r>
            <w:r>
              <w:rPr>
                <w:rFonts w:eastAsia="仿宋_GB2312"/>
                <w:sz w:val="28"/>
                <w:szCs w:val="28"/>
              </w:rPr>
              <w:t>交叉感染</w:t>
            </w:r>
          </w:p>
        </w:tc>
        <w:tc>
          <w:tcPr>
            <w:tcW w:w="3266" w:type="dxa"/>
            <w:vAlign w:val="center"/>
          </w:tcPr>
          <w:p w14:paraId="50F6388D">
            <w:pPr>
              <w:spacing w:line="440" w:lineRule="exact"/>
              <w:rPr>
                <w:rFonts w:eastAsia="仿宋_GB2312"/>
                <w:sz w:val="28"/>
                <w:szCs w:val="28"/>
              </w:rPr>
            </w:pPr>
            <w:r>
              <w:rPr>
                <w:rFonts w:eastAsia="仿宋_GB2312"/>
                <w:sz w:val="28"/>
                <w:szCs w:val="28"/>
              </w:rPr>
              <w:t>使用不当、标识不清</w:t>
            </w:r>
          </w:p>
        </w:tc>
        <w:tc>
          <w:tcPr>
            <w:tcW w:w="2650" w:type="dxa"/>
            <w:vAlign w:val="center"/>
          </w:tcPr>
          <w:p w14:paraId="07B1BFD4">
            <w:pPr>
              <w:spacing w:line="440" w:lineRule="exact"/>
              <w:rPr>
                <w:rFonts w:eastAsia="仿宋_GB2312"/>
                <w:sz w:val="28"/>
                <w:szCs w:val="28"/>
              </w:rPr>
            </w:pPr>
            <w:r>
              <w:rPr>
                <w:rFonts w:eastAsia="仿宋_GB2312"/>
                <w:sz w:val="28"/>
                <w:szCs w:val="28"/>
              </w:rPr>
              <w:t>引起感染、交叉感染</w:t>
            </w:r>
          </w:p>
        </w:tc>
      </w:tr>
      <w:tr w14:paraId="54E6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jc w:val="center"/>
        </w:trPr>
        <w:tc>
          <w:tcPr>
            <w:tcW w:w="1310" w:type="dxa"/>
            <w:vAlign w:val="center"/>
          </w:tcPr>
          <w:p w14:paraId="0CA5EE5D">
            <w:pPr>
              <w:spacing w:line="440" w:lineRule="exact"/>
              <w:jc w:val="left"/>
              <w:rPr>
                <w:rFonts w:eastAsia="仿宋_GB2312"/>
                <w:sz w:val="28"/>
                <w:szCs w:val="28"/>
              </w:rPr>
            </w:pPr>
            <w:r>
              <w:rPr>
                <w:rFonts w:hint="eastAsia" w:eastAsia="仿宋_GB2312"/>
                <w:sz w:val="28"/>
                <w:szCs w:val="28"/>
              </w:rPr>
              <w:t>机械力</w:t>
            </w:r>
          </w:p>
        </w:tc>
        <w:tc>
          <w:tcPr>
            <w:tcW w:w="2689" w:type="dxa"/>
            <w:vAlign w:val="center"/>
          </w:tcPr>
          <w:p w14:paraId="514D2665">
            <w:pPr>
              <w:spacing w:line="440" w:lineRule="exact"/>
              <w:rPr>
                <w:rFonts w:eastAsia="仿宋_GB2312"/>
                <w:sz w:val="28"/>
                <w:szCs w:val="28"/>
              </w:rPr>
            </w:pPr>
            <w:r>
              <w:rPr>
                <w:rFonts w:hint="eastAsia" w:eastAsia="仿宋_GB2312"/>
                <w:sz w:val="28"/>
                <w:szCs w:val="28"/>
              </w:rPr>
              <w:t>锋棱、裂纹、毛刺</w:t>
            </w:r>
          </w:p>
        </w:tc>
        <w:tc>
          <w:tcPr>
            <w:tcW w:w="3266" w:type="dxa"/>
            <w:vAlign w:val="center"/>
          </w:tcPr>
          <w:p w14:paraId="079A3A5A">
            <w:pPr>
              <w:spacing w:line="440" w:lineRule="exact"/>
              <w:jc w:val="left"/>
              <w:rPr>
                <w:rFonts w:eastAsia="仿宋_GB2312"/>
                <w:sz w:val="28"/>
                <w:szCs w:val="28"/>
              </w:rPr>
            </w:pPr>
            <w:r>
              <w:rPr>
                <w:rFonts w:hint="eastAsia" w:eastAsia="仿宋_GB2312"/>
                <w:sz w:val="28"/>
                <w:szCs w:val="28"/>
              </w:rPr>
              <w:t>与骨组织接触的部分存在锋棱、裂纹、毛刺等</w:t>
            </w:r>
          </w:p>
        </w:tc>
        <w:tc>
          <w:tcPr>
            <w:tcW w:w="2650" w:type="dxa"/>
            <w:vAlign w:val="center"/>
          </w:tcPr>
          <w:p w14:paraId="4E215665">
            <w:pPr>
              <w:spacing w:line="440" w:lineRule="exact"/>
              <w:jc w:val="left"/>
              <w:rPr>
                <w:rFonts w:eastAsia="仿宋_GB2312"/>
                <w:sz w:val="28"/>
                <w:szCs w:val="28"/>
              </w:rPr>
            </w:pPr>
            <w:r>
              <w:rPr>
                <w:rFonts w:hint="eastAsia" w:eastAsia="仿宋_GB2312"/>
                <w:sz w:val="28"/>
                <w:szCs w:val="28"/>
              </w:rPr>
              <w:t>对患者造成意外伤害</w:t>
            </w:r>
          </w:p>
        </w:tc>
      </w:tr>
      <w:tr w14:paraId="06FCB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5" w:hRule="atLeast"/>
          <w:jc w:val="center"/>
        </w:trPr>
        <w:tc>
          <w:tcPr>
            <w:tcW w:w="1310" w:type="dxa"/>
            <w:vMerge w:val="restart"/>
            <w:vAlign w:val="center"/>
          </w:tcPr>
          <w:p w14:paraId="639B6607">
            <w:pPr>
              <w:spacing w:line="440" w:lineRule="exact"/>
              <w:rPr>
                <w:rFonts w:eastAsia="仿宋_GB2312"/>
                <w:sz w:val="28"/>
                <w:szCs w:val="28"/>
              </w:rPr>
            </w:pPr>
            <w:r>
              <w:rPr>
                <w:rFonts w:eastAsia="仿宋_GB2312"/>
                <w:sz w:val="28"/>
                <w:szCs w:val="28"/>
              </w:rPr>
              <w:t>环境危险（源）</w:t>
            </w:r>
          </w:p>
        </w:tc>
        <w:tc>
          <w:tcPr>
            <w:tcW w:w="2689" w:type="dxa"/>
            <w:vAlign w:val="center"/>
          </w:tcPr>
          <w:p w14:paraId="1AA81B51">
            <w:pPr>
              <w:spacing w:line="440" w:lineRule="exact"/>
              <w:rPr>
                <w:rFonts w:eastAsia="仿宋_GB2312"/>
                <w:sz w:val="28"/>
                <w:szCs w:val="28"/>
              </w:rPr>
            </w:pPr>
            <w:r>
              <w:rPr>
                <w:rFonts w:eastAsia="仿宋_GB2312"/>
                <w:sz w:val="28"/>
                <w:szCs w:val="28"/>
              </w:rPr>
              <w:t>储存或运行偏离预设的环境条件</w:t>
            </w:r>
          </w:p>
        </w:tc>
        <w:tc>
          <w:tcPr>
            <w:tcW w:w="3266" w:type="dxa"/>
            <w:vAlign w:val="center"/>
          </w:tcPr>
          <w:p w14:paraId="2EF67B9D">
            <w:pPr>
              <w:spacing w:line="440" w:lineRule="exact"/>
              <w:rPr>
                <w:rFonts w:eastAsia="仿宋_GB2312"/>
                <w:sz w:val="28"/>
                <w:szCs w:val="28"/>
              </w:rPr>
            </w:pPr>
            <w:r>
              <w:rPr>
                <w:rFonts w:eastAsia="仿宋_GB2312"/>
                <w:sz w:val="28"/>
                <w:szCs w:val="28"/>
              </w:rPr>
              <w:t>储运条件（如温度、湿度、臭氧/紫外线、有机溶剂）不符合要求</w:t>
            </w:r>
          </w:p>
        </w:tc>
        <w:tc>
          <w:tcPr>
            <w:tcW w:w="2650" w:type="dxa"/>
            <w:vAlign w:val="center"/>
          </w:tcPr>
          <w:p w14:paraId="30100D17">
            <w:pPr>
              <w:spacing w:line="440" w:lineRule="exact"/>
              <w:rPr>
                <w:rFonts w:eastAsia="仿宋_GB2312"/>
                <w:sz w:val="28"/>
                <w:szCs w:val="28"/>
              </w:rPr>
            </w:pPr>
            <w:r>
              <w:rPr>
                <w:rFonts w:eastAsia="仿宋_GB2312"/>
                <w:sz w:val="28"/>
                <w:szCs w:val="28"/>
              </w:rPr>
              <w:t>产品老化、无菌有效期缩短</w:t>
            </w:r>
          </w:p>
        </w:tc>
      </w:tr>
      <w:tr w14:paraId="6BE5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jc w:val="center"/>
        </w:trPr>
        <w:tc>
          <w:tcPr>
            <w:tcW w:w="1310" w:type="dxa"/>
            <w:vMerge w:val="continue"/>
            <w:vAlign w:val="center"/>
          </w:tcPr>
          <w:p w14:paraId="37349483">
            <w:pPr>
              <w:spacing w:line="440" w:lineRule="exact"/>
              <w:rPr>
                <w:rFonts w:eastAsia="仿宋_GB2312"/>
                <w:sz w:val="28"/>
                <w:szCs w:val="28"/>
              </w:rPr>
            </w:pPr>
          </w:p>
        </w:tc>
        <w:tc>
          <w:tcPr>
            <w:tcW w:w="2689" w:type="dxa"/>
            <w:vAlign w:val="center"/>
          </w:tcPr>
          <w:p w14:paraId="08CB6107">
            <w:pPr>
              <w:spacing w:line="440" w:lineRule="exact"/>
              <w:rPr>
                <w:rFonts w:eastAsia="仿宋_GB2312"/>
                <w:sz w:val="28"/>
                <w:szCs w:val="28"/>
              </w:rPr>
            </w:pPr>
            <w:r>
              <w:rPr>
                <w:rFonts w:eastAsia="仿宋_GB2312"/>
                <w:sz w:val="28"/>
                <w:szCs w:val="28"/>
              </w:rPr>
              <w:t>意外的机械破坏</w:t>
            </w:r>
          </w:p>
        </w:tc>
        <w:tc>
          <w:tcPr>
            <w:tcW w:w="3266" w:type="dxa"/>
            <w:vAlign w:val="center"/>
          </w:tcPr>
          <w:p w14:paraId="00EAFA4D">
            <w:pPr>
              <w:spacing w:line="440" w:lineRule="exact"/>
              <w:rPr>
                <w:rFonts w:eastAsia="仿宋_GB2312"/>
                <w:sz w:val="28"/>
                <w:szCs w:val="28"/>
              </w:rPr>
            </w:pPr>
            <w:r>
              <w:rPr>
                <w:rFonts w:eastAsia="仿宋_GB2312"/>
                <w:sz w:val="28"/>
                <w:szCs w:val="28"/>
              </w:rPr>
              <w:t>储运、使用过程中发生意外的机械性破坏</w:t>
            </w:r>
          </w:p>
        </w:tc>
        <w:tc>
          <w:tcPr>
            <w:tcW w:w="2650" w:type="dxa"/>
            <w:vAlign w:val="center"/>
          </w:tcPr>
          <w:p w14:paraId="1A256C0E">
            <w:pPr>
              <w:spacing w:line="440" w:lineRule="exact"/>
              <w:rPr>
                <w:rFonts w:eastAsia="仿宋_GB2312"/>
                <w:sz w:val="28"/>
                <w:szCs w:val="28"/>
              </w:rPr>
            </w:pPr>
            <w:r>
              <w:rPr>
                <w:rFonts w:eastAsia="仿宋_GB2312"/>
                <w:sz w:val="28"/>
                <w:szCs w:val="28"/>
              </w:rPr>
              <w:t>产品使用性能无法得到保证</w:t>
            </w:r>
          </w:p>
        </w:tc>
      </w:tr>
      <w:tr w14:paraId="52548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8" w:hRule="atLeast"/>
          <w:jc w:val="center"/>
        </w:trPr>
        <w:tc>
          <w:tcPr>
            <w:tcW w:w="1310" w:type="dxa"/>
            <w:vMerge w:val="continue"/>
            <w:vAlign w:val="center"/>
          </w:tcPr>
          <w:p w14:paraId="1EECA416">
            <w:pPr>
              <w:spacing w:line="440" w:lineRule="exact"/>
              <w:rPr>
                <w:rFonts w:eastAsia="仿宋_GB2312"/>
                <w:sz w:val="28"/>
                <w:szCs w:val="28"/>
              </w:rPr>
            </w:pPr>
          </w:p>
        </w:tc>
        <w:tc>
          <w:tcPr>
            <w:tcW w:w="2689" w:type="dxa"/>
            <w:vAlign w:val="center"/>
          </w:tcPr>
          <w:p w14:paraId="18360D98">
            <w:pPr>
              <w:spacing w:line="440" w:lineRule="exact"/>
              <w:rPr>
                <w:rFonts w:eastAsia="仿宋_GB2312"/>
                <w:sz w:val="28"/>
                <w:szCs w:val="28"/>
              </w:rPr>
            </w:pPr>
            <w:r>
              <w:rPr>
                <w:rFonts w:eastAsia="仿宋_GB2312"/>
                <w:sz w:val="28"/>
                <w:szCs w:val="28"/>
              </w:rPr>
              <w:t>由于废物和（或）医疗器械处置的污染</w:t>
            </w:r>
          </w:p>
        </w:tc>
        <w:tc>
          <w:tcPr>
            <w:tcW w:w="3266" w:type="dxa"/>
            <w:vAlign w:val="center"/>
          </w:tcPr>
          <w:p w14:paraId="3E77DBBC">
            <w:pPr>
              <w:spacing w:line="440" w:lineRule="exact"/>
              <w:rPr>
                <w:rFonts w:eastAsia="仿宋_GB2312"/>
                <w:sz w:val="28"/>
                <w:szCs w:val="28"/>
              </w:rPr>
            </w:pPr>
            <w:r>
              <w:rPr>
                <w:rFonts w:eastAsia="仿宋_GB2312"/>
                <w:sz w:val="28"/>
                <w:szCs w:val="28"/>
              </w:rPr>
              <w:t>使用后的产品没有按照要求集中销毁</w:t>
            </w:r>
          </w:p>
        </w:tc>
        <w:tc>
          <w:tcPr>
            <w:tcW w:w="2650" w:type="dxa"/>
            <w:vAlign w:val="center"/>
          </w:tcPr>
          <w:p w14:paraId="0F968A1D">
            <w:pPr>
              <w:spacing w:line="440" w:lineRule="exact"/>
              <w:rPr>
                <w:rFonts w:eastAsia="仿宋_GB2312"/>
                <w:sz w:val="28"/>
                <w:szCs w:val="28"/>
              </w:rPr>
            </w:pPr>
            <w:r>
              <w:rPr>
                <w:rFonts w:eastAsia="仿宋_GB2312"/>
                <w:sz w:val="28"/>
                <w:szCs w:val="28"/>
              </w:rPr>
              <w:t>造成环境污染或者细菌的交叉感染</w:t>
            </w:r>
          </w:p>
        </w:tc>
      </w:tr>
      <w:tr w14:paraId="71AF4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0" w:hRule="atLeast"/>
          <w:jc w:val="center"/>
        </w:trPr>
        <w:tc>
          <w:tcPr>
            <w:tcW w:w="1310" w:type="dxa"/>
            <w:vMerge w:val="restart"/>
            <w:vAlign w:val="center"/>
          </w:tcPr>
          <w:p w14:paraId="58889976">
            <w:pPr>
              <w:spacing w:line="420" w:lineRule="exact"/>
              <w:rPr>
                <w:rFonts w:eastAsia="仿宋_GB2312"/>
                <w:sz w:val="28"/>
                <w:szCs w:val="28"/>
              </w:rPr>
            </w:pPr>
            <w:r>
              <w:rPr>
                <w:rFonts w:eastAsia="仿宋_GB2312"/>
                <w:sz w:val="28"/>
                <w:szCs w:val="28"/>
              </w:rPr>
              <w:t>与医疗器械使用有关的危险（源）</w:t>
            </w:r>
          </w:p>
        </w:tc>
        <w:tc>
          <w:tcPr>
            <w:tcW w:w="2689" w:type="dxa"/>
            <w:vAlign w:val="center"/>
          </w:tcPr>
          <w:p w14:paraId="03E11F11">
            <w:pPr>
              <w:spacing w:line="420" w:lineRule="exact"/>
              <w:rPr>
                <w:rFonts w:eastAsia="仿宋_GB2312"/>
                <w:sz w:val="28"/>
                <w:szCs w:val="28"/>
              </w:rPr>
            </w:pPr>
          </w:p>
          <w:p w14:paraId="7FD7FDBB">
            <w:pPr>
              <w:spacing w:line="420" w:lineRule="exact"/>
              <w:rPr>
                <w:rFonts w:eastAsia="仿宋_GB2312"/>
                <w:sz w:val="28"/>
                <w:szCs w:val="28"/>
              </w:rPr>
            </w:pPr>
            <w:r>
              <w:rPr>
                <w:rFonts w:eastAsia="仿宋_GB2312"/>
                <w:sz w:val="28"/>
                <w:szCs w:val="28"/>
              </w:rPr>
              <w:t>不适当的标记</w:t>
            </w:r>
          </w:p>
          <w:p w14:paraId="2A2D57CC">
            <w:pPr>
              <w:spacing w:line="420" w:lineRule="exact"/>
              <w:rPr>
                <w:rFonts w:eastAsia="仿宋_GB2312"/>
                <w:sz w:val="28"/>
                <w:szCs w:val="28"/>
              </w:rPr>
            </w:pPr>
          </w:p>
        </w:tc>
        <w:tc>
          <w:tcPr>
            <w:tcW w:w="3266" w:type="dxa"/>
            <w:vAlign w:val="center"/>
          </w:tcPr>
          <w:p w14:paraId="5BF3F085">
            <w:pPr>
              <w:spacing w:line="420" w:lineRule="exact"/>
              <w:rPr>
                <w:rFonts w:eastAsia="仿宋_GB2312"/>
                <w:sz w:val="28"/>
                <w:szCs w:val="28"/>
              </w:rPr>
            </w:pPr>
            <w:r>
              <w:rPr>
                <w:rFonts w:eastAsia="仿宋_GB2312"/>
                <w:sz w:val="28"/>
                <w:szCs w:val="28"/>
              </w:rPr>
              <w:t>标记不清晰、错误、</w:t>
            </w:r>
          </w:p>
          <w:p w14:paraId="3918530A">
            <w:pPr>
              <w:spacing w:line="420" w:lineRule="exact"/>
              <w:rPr>
                <w:rFonts w:eastAsia="仿宋_GB2312"/>
                <w:sz w:val="28"/>
                <w:szCs w:val="28"/>
              </w:rPr>
            </w:pPr>
            <w:r>
              <w:rPr>
                <w:rFonts w:eastAsia="仿宋_GB2312"/>
                <w:sz w:val="28"/>
                <w:szCs w:val="28"/>
              </w:rPr>
              <w:t>没有按照要求进行标记</w:t>
            </w:r>
          </w:p>
        </w:tc>
        <w:tc>
          <w:tcPr>
            <w:tcW w:w="2650" w:type="dxa"/>
            <w:vAlign w:val="center"/>
          </w:tcPr>
          <w:p w14:paraId="7A470966">
            <w:pPr>
              <w:spacing w:line="420" w:lineRule="exact"/>
              <w:rPr>
                <w:rFonts w:eastAsia="仿宋_GB2312"/>
                <w:sz w:val="28"/>
                <w:szCs w:val="28"/>
              </w:rPr>
            </w:pPr>
            <w:r>
              <w:rPr>
                <w:rFonts w:eastAsia="仿宋_GB2312"/>
                <w:sz w:val="28"/>
                <w:szCs w:val="28"/>
              </w:rPr>
              <w:t>错误使用</w:t>
            </w:r>
          </w:p>
          <w:p w14:paraId="4D6CF86E">
            <w:pPr>
              <w:spacing w:line="420" w:lineRule="exact"/>
              <w:rPr>
                <w:rFonts w:eastAsia="仿宋_GB2312"/>
                <w:sz w:val="28"/>
                <w:szCs w:val="28"/>
              </w:rPr>
            </w:pPr>
            <w:r>
              <w:rPr>
                <w:rFonts w:eastAsia="仿宋_GB2312"/>
                <w:sz w:val="28"/>
                <w:szCs w:val="28"/>
              </w:rPr>
              <w:t>储存错误</w:t>
            </w:r>
          </w:p>
          <w:p w14:paraId="5E888CC3">
            <w:pPr>
              <w:spacing w:line="420" w:lineRule="exact"/>
              <w:rPr>
                <w:rFonts w:eastAsia="仿宋_GB2312"/>
                <w:sz w:val="28"/>
                <w:szCs w:val="28"/>
              </w:rPr>
            </w:pPr>
            <w:r>
              <w:rPr>
                <w:rFonts w:eastAsia="仿宋_GB2312"/>
                <w:sz w:val="28"/>
                <w:szCs w:val="28"/>
              </w:rPr>
              <w:t>产品辨别错误</w:t>
            </w:r>
          </w:p>
        </w:tc>
      </w:tr>
      <w:tr w14:paraId="1364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continue"/>
            <w:vAlign w:val="center"/>
          </w:tcPr>
          <w:p w14:paraId="018EC5F9">
            <w:pPr>
              <w:spacing w:line="420" w:lineRule="exact"/>
              <w:rPr>
                <w:rFonts w:eastAsia="仿宋_GB2312"/>
                <w:sz w:val="28"/>
                <w:szCs w:val="28"/>
              </w:rPr>
            </w:pPr>
          </w:p>
        </w:tc>
        <w:tc>
          <w:tcPr>
            <w:tcW w:w="2689" w:type="dxa"/>
            <w:vAlign w:val="center"/>
          </w:tcPr>
          <w:p w14:paraId="4370961C">
            <w:pPr>
              <w:spacing w:line="420" w:lineRule="exact"/>
              <w:rPr>
                <w:rFonts w:eastAsia="仿宋_GB2312"/>
                <w:sz w:val="28"/>
                <w:szCs w:val="28"/>
              </w:rPr>
            </w:pPr>
            <w:r>
              <w:rPr>
                <w:rFonts w:eastAsia="仿宋_GB2312"/>
                <w:sz w:val="28"/>
                <w:szCs w:val="28"/>
              </w:rPr>
              <w:t>操作不熟练</w:t>
            </w:r>
          </w:p>
        </w:tc>
        <w:tc>
          <w:tcPr>
            <w:tcW w:w="3266" w:type="dxa"/>
            <w:vAlign w:val="center"/>
          </w:tcPr>
          <w:p w14:paraId="5BFAAB9E">
            <w:pPr>
              <w:spacing w:line="420" w:lineRule="exact"/>
              <w:rPr>
                <w:rFonts w:eastAsia="仿宋_GB2312"/>
                <w:sz w:val="28"/>
                <w:szCs w:val="28"/>
              </w:rPr>
            </w:pPr>
            <w:r>
              <w:rPr>
                <w:rFonts w:eastAsia="仿宋_GB2312"/>
                <w:sz w:val="28"/>
                <w:szCs w:val="28"/>
              </w:rPr>
              <w:t>由不熟练/未经培训的人员使用；操作不熟练、操作失误</w:t>
            </w:r>
          </w:p>
        </w:tc>
        <w:tc>
          <w:tcPr>
            <w:tcW w:w="2650" w:type="dxa"/>
            <w:vAlign w:val="center"/>
          </w:tcPr>
          <w:p w14:paraId="3AC1CC98">
            <w:pPr>
              <w:spacing w:line="420" w:lineRule="exact"/>
              <w:rPr>
                <w:rFonts w:eastAsia="仿宋_GB2312"/>
                <w:sz w:val="28"/>
                <w:szCs w:val="28"/>
              </w:rPr>
            </w:pPr>
            <w:r>
              <w:rPr>
                <w:rFonts w:hint="eastAsia" w:eastAsia="仿宋_GB2312"/>
                <w:sz w:val="28"/>
                <w:szCs w:val="28"/>
              </w:rPr>
              <w:t>无法保证使用安全性、</w:t>
            </w:r>
            <w:r>
              <w:rPr>
                <w:rFonts w:eastAsia="仿宋_GB2312"/>
                <w:sz w:val="28"/>
                <w:szCs w:val="28"/>
              </w:rPr>
              <w:t>造成</w:t>
            </w:r>
            <w:r>
              <w:rPr>
                <w:rFonts w:hint="eastAsia" w:eastAsia="仿宋_GB2312"/>
                <w:sz w:val="28"/>
                <w:szCs w:val="28"/>
              </w:rPr>
              <w:t>骨组织损伤，出血、</w:t>
            </w:r>
            <w:r>
              <w:rPr>
                <w:rFonts w:eastAsia="仿宋_GB2312"/>
                <w:sz w:val="28"/>
                <w:szCs w:val="28"/>
              </w:rPr>
              <w:t>穿孔</w:t>
            </w:r>
          </w:p>
        </w:tc>
      </w:tr>
      <w:tr w14:paraId="57C5B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continue"/>
            <w:vAlign w:val="center"/>
          </w:tcPr>
          <w:p w14:paraId="1347CD99">
            <w:pPr>
              <w:spacing w:line="420" w:lineRule="exact"/>
              <w:rPr>
                <w:rFonts w:eastAsia="仿宋_GB2312"/>
                <w:sz w:val="28"/>
                <w:szCs w:val="28"/>
              </w:rPr>
            </w:pPr>
          </w:p>
        </w:tc>
        <w:tc>
          <w:tcPr>
            <w:tcW w:w="2689" w:type="dxa"/>
            <w:vAlign w:val="center"/>
          </w:tcPr>
          <w:p w14:paraId="25E8BA64">
            <w:pPr>
              <w:spacing w:line="420" w:lineRule="exact"/>
              <w:rPr>
                <w:rFonts w:eastAsia="仿宋_GB2312"/>
                <w:sz w:val="28"/>
                <w:szCs w:val="28"/>
              </w:rPr>
            </w:pPr>
            <w:r>
              <w:rPr>
                <w:rFonts w:eastAsia="仿宋_GB2312"/>
                <w:sz w:val="28"/>
                <w:szCs w:val="28"/>
              </w:rPr>
              <w:t>不适当的操作说明，如：</w:t>
            </w:r>
          </w:p>
          <w:p w14:paraId="63FC01C6">
            <w:pPr>
              <w:spacing w:line="420" w:lineRule="exact"/>
              <w:rPr>
                <w:rFonts w:eastAsia="仿宋_GB2312"/>
                <w:spacing w:val="-10"/>
                <w:sz w:val="28"/>
                <w:szCs w:val="28"/>
              </w:rPr>
            </w:pPr>
            <w:r>
              <w:rPr>
                <w:rFonts w:eastAsia="仿宋_GB2312"/>
                <w:sz w:val="28"/>
                <w:szCs w:val="28"/>
                <w:lang w:val="en"/>
              </w:rPr>
              <w:t>（</w:t>
            </w:r>
            <w:r>
              <w:rPr>
                <w:rFonts w:eastAsia="仿宋_GB2312"/>
                <w:sz w:val="28"/>
                <w:szCs w:val="28"/>
              </w:rPr>
              <w:t>1</w:t>
            </w:r>
            <w:r>
              <w:rPr>
                <w:rFonts w:eastAsia="仿宋_GB2312"/>
                <w:sz w:val="28"/>
                <w:szCs w:val="28"/>
                <w:lang w:val="en"/>
              </w:rPr>
              <w:t>）</w:t>
            </w:r>
            <w:r>
              <w:rPr>
                <w:rFonts w:eastAsia="仿宋_GB2312"/>
                <w:spacing w:val="-10"/>
                <w:sz w:val="28"/>
                <w:szCs w:val="28"/>
              </w:rPr>
              <w:t>和医疗器械一起使用的附件</w:t>
            </w:r>
            <w:r>
              <w:rPr>
                <w:rFonts w:eastAsia="仿宋_GB2312"/>
                <w:sz w:val="28"/>
                <w:szCs w:val="28"/>
              </w:rPr>
              <w:t>操作说明</w:t>
            </w:r>
            <w:r>
              <w:rPr>
                <w:rFonts w:eastAsia="仿宋_GB2312"/>
                <w:spacing w:val="-10"/>
                <w:sz w:val="28"/>
                <w:szCs w:val="28"/>
              </w:rPr>
              <w:t>不适当；</w:t>
            </w:r>
          </w:p>
          <w:p w14:paraId="406AAE8A">
            <w:pPr>
              <w:spacing w:line="420" w:lineRule="exact"/>
              <w:rPr>
                <w:rFonts w:eastAsia="仿宋_GB2312"/>
                <w:sz w:val="28"/>
                <w:szCs w:val="28"/>
              </w:rPr>
            </w:pPr>
            <w:r>
              <w:rPr>
                <w:rFonts w:eastAsia="仿宋_GB2312"/>
                <w:sz w:val="28"/>
                <w:szCs w:val="28"/>
                <w:lang w:val="en"/>
              </w:rPr>
              <w:t>（</w:t>
            </w:r>
            <w:r>
              <w:rPr>
                <w:rFonts w:eastAsia="仿宋_GB2312"/>
                <w:sz w:val="28"/>
                <w:szCs w:val="28"/>
              </w:rPr>
              <w:t>2</w:t>
            </w:r>
            <w:r>
              <w:rPr>
                <w:rFonts w:eastAsia="仿宋_GB2312"/>
                <w:sz w:val="28"/>
                <w:szCs w:val="28"/>
                <w:lang w:val="en"/>
              </w:rPr>
              <w:t>）</w:t>
            </w:r>
            <w:r>
              <w:rPr>
                <w:rFonts w:eastAsia="仿宋_GB2312"/>
                <w:sz w:val="28"/>
                <w:szCs w:val="28"/>
              </w:rPr>
              <w:t>预先检查操作说明不适当</w:t>
            </w:r>
          </w:p>
        </w:tc>
        <w:tc>
          <w:tcPr>
            <w:tcW w:w="3266" w:type="dxa"/>
            <w:vAlign w:val="center"/>
          </w:tcPr>
          <w:p w14:paraId="7C3E6243">
            <w:pPr>
              <w:spacing w:line="420" w:lineRule="exact"/>
              <w:rPr>
                <w:rFonts w:eastAsia="仿宋_GB2312"/>
                <w:sz w:val="28"/>
                <w:szCs w:val="28"/>
              </w:rPr>
            </w:pPr>
            <w:r>
              <w:rPr>
                <w:rFonts w:eastAsia="仿宋_GB2312"/>
                <w:sz w:val="28"/>
                <w:szCs w:val="28"/>
              </w:rPr>
              <w:t>包装破损无法识别</w:t>
            </w:r>
          </w:p>
          <w:p w14:paraId="75334C10">
            <w:pPr>
              <w:spacing w:line="420" w:lineRule="exact"/>
              <w:rPr>
                <w:rFonts w:eastAsia="仿宋_GB2312"/>
                <w:sz w:val="28"/>
                <w:szCs w:val="28"/>
              </w:rPr>
            </w:pPr>
            <w:r>
              <w:rPr>
                <w:rFonts w:eastAsia="仿宋_GB2312"/>
                <w:sz w:val="28"/>
                <w:szCs w:val="28"/>
              </w:rPr>
              <w:t>操作要点不突出</w:t>
            </w:r>
          </w:p>
          <w:p w14:paraId="0A999297">
            <w:pPr>
              <w:spacing w:line="420" w:lineRule="exact"/>
              <w:rPr>
                <w:rFonts w:eastAsia="仿宋_GB2312"/>
                <w:sz w:val="28"/>
                <w:szCs w:val="28"/>
              </w:rPr>
            </w:pPr>
            <w:r>
              <w:rPr>
                <w:rFonts w:hint="eastAsia" w:eastAsia="仿宋_GB2312"/>
                <w:sz w:val="28"/>
                <w:szCs w:val="28"/>
              </w:rPr>
              <w:t>与其他器械匹配的关键参数标记不正确；与其他器械匹配的关键尺寸偏差超出标准要求。</w:t>
            </w:r>
          </w:p>
        </w:tc>
        <w:tc>
          <w:tcPr>
            <w:tcW w:w="2650" w:type="dxa"/>
            <w:vAlign w:val="center"/>
          </w:tcPr>
          <w:p w14:paraId="65E0027E">
            <w:pPr>
              <w:spacing w:line="420" w:lineRule="exact"/>
              <w:rPr>
                <w:rFonts w:eastAsia="仿宋_GB2312"/>
                <w:sz w:val="28"/>
                <w:szCs w:val="28"/>
              </w:rPr>
            </w:pPr>
            <w:r>
              <w:rPr>
                <w:rFonts w:eastAsia="仿宋_GB2312"/>
                <w:sz w:val="28"/>
                <w:szCs w:val="28"/>
              </w:rPr>
              <w:t>无法保证使用安全性</w:t>
            </w:r>
          </w:p>
        </w:tc>
      </w:tr>
      <w:tr w14:paraId="1DCE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continue"/>
            <w:vAlign w:val="center"/>
          </w:tcPr>
          <w:p w14:paraId="7BDD2D87">
            <w:pPr>
              <w:spacing w:line="420" w:lineRule="exact"/>
              <w:rPr>
                <w:rFonts w:eastAsia="仿宋_GB2312"/>
                <w:sz w:val="28"/>
                <w:szCs w:val="28"/>
              </w:rPr>
            </w:pPr>
          </w:p>
        </w:tc>
        <w:tc>
          <w:tcPr>
            <w:tcW w:w="2689" w:type="dxa"/>
            <w:vAlign w:val="center"/>
          </w:tcPr>
          <w:p w14:paraId="27499651">
            <w:pPr>
              <w:spacing w:line="420" w:lineRule="exact"/>
              <w:rPr>
                <w:rFonts w:eastAsia="仿宋_GB2312"/>
                <w:sz w:val="28"/>
                <w:szCs w:val="28"/>
              </w:rPr>
            </w:pPr>
            <w:r>
              <w:rPr>
                <w:rFonts w:eastAsia="仿宋_GB2312"/>
                <w:sz w:val="28"/>
                <w:szCs w:val="28"/>
              </w:rPr>
              <w:t>对副作用的警告不充分</w:t>
            </w:r>
          </w:p>
        </w:tc>
        <w:tc>
          <w:tcPr>
            <w:tcW w:w="3266" w:type="dxa"/>
            <w:vAlign w:val="center"/>
          </w:tcPr>
          <w:p w14:paraId="5105AF39">
            <w:pPr>
              <w:spacing w:line="420" w:lineRule="exact"/>
              <w:rPr>
                <w:rFonts w:eastAsia="仿宋_GB2312"/>
                <w:sz w:val="28"/>
                <w:szCs w:val="28"/>
              </w:rPr>
            </w:pPr>
            <w:r>
              <w:rPr>
                <w:rFonts w:eastAsia="仿宋_GB2312"/>
                <w:sz w:val="28"/>
                <w:szCs w:val="28"/>
              </w:rPr>
              <w:t>对操作人员警示不足</w:t>
            </w:r>
          </w:p>
        </w:tc>
        <w:tc>
          <w:tcPr>
            <w:tcW w:w="2650" w:type="dxa"/>
            <w:vAlign w:val="center"/>
          </w:tcPr>
          <w:p w14:paraId="69BCCF94">
            <w:pPr>
              <w:spacing w:line="420" w:lineRule="exact"/>
              <w:rPr>
                <w:rFonts w:eastAsia="仿宋_GB2312"/>
                <w:sz w:val="28"/>
                <w:szCs w:val="28"/>
              </w:rPr>
            </w:pPr>
            <w:r>
              <w:rPr>
                <w:rFonts w:eastAsia="仿宋_GB2312"/>
                <w:sz w:val="28"/>
                <w:szCs w:val="28"/>
              </w:rPr>
              <w:t>重复使用</w:t>
            </w:r>
            <w:r>
              <w:rPr>
                <w:rFonts w:hint="eastAsia" w:eastAsia="仿宋_GB2312"/>
                <w:sz w:val="28"/>
                <w:szCs w:val="28"/>
              </w:rPr>
              <w:t>；</w:t>
            </w:r>
          </w:p>
          <w:p w14:paraId="67A136C4">
            <w:pPr>
              <w:spacing w:line="420" w:lineRule="exact"/>
              <w:rPr>
                <w:rFonts w:eastAsia="仿宋_GB2312"/>
                <w:sz w:val="28"/>
                <w:szCs w:val="28"/>
              </w:rPr>
            </w:pPr>
            <w:r>
              <w:rPr>
                <w:rFonts w:eastAsia="仿宋_GB2312"/>
                <w:sz w:val="28"/>
                <w:szCs w:val="28"/>
              </w:rPr>
              <w:t>二次灭菌</w:t>
            </w:r>
            <w:r>
              <w:rPr>
                <w:rFonts w:hint="eastAsia" w:eastAsia="仿宋_GB2312"/>
                <w:sz w:val="28"/>
                <w:szCs w:val="28"/>
              </w:rPr>
              <w:t>；</w:t>
            </w:r>
          </w:p>
          <w:p w14:paraId="135D463B">
            <w:pPr>
              <w:spacing w:line="420" w:lineRule="exact"/>
              <w:rPr>
                <w:rFonts w:eastAsia="仿宋_GB2312"/>
                <w:sz w:val="28"/>
                <w:szCs w:val="28"/>
              </w:rPr>
            </w:pPr>
            <w:r>
              <w:rPr>
                <w:rFonts w:eastAsia="仿宋_GB2312"/>
                <w:sz w:val="28"/>
                <w:szCs w:val="28"/>
              </w:rPr>
              <w:t>使用者出现过敏、刺激反应</w:t>
            </w:r>
          </w:p>
        </w:tc>
      </w:tr>
      <w:tr w14:paraId="32A68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continue"/>
            <w:vAlign w:val="center"/>
          </w:tcPr>
          <w:p w14:paraId="217179BD">
            <w:pPr>
              <w:spacing w:line="420" w:lineRule="exact"/>
              <w:rPr>
                <w:rFonts w:eastAsia="仿宋_GB2312"/>
                <w:sz w:val="28"/>
                <w:szCs w:val="28"/>
              </w:rPr>
            </w:pPr>
          </w:p>
        </w:tc>
        <w:tc>
          <w:tcPr>
            <w:tcW w:w="2689" w:type="dxa"/>
            <w:vAlign w:val="center"/>
          </w:tcPr>
          <w:p w14:paraId="210E2813">
            <w:pPr>
              <w:spacing w:line="420" w:lineRule="exact"/>
              <w:rPr>
                <w:rFonts w:eastAsia="仿宋_GB2312"/>
                <w:spacing w:val="-14"/>
                <w:sz w:val="28"/>
                <w:szCs w:val="28"/>
              </w:rPr>
            </w:pPr>
            <w:r>
              <w:rPr>
                <w:rFonts w:eastAsia="仿宋_GB2312"/>
                <w:spacing w:val="-14"/>
                <w:sz w:val="28"/>
                <w:szCs w:val="28"/>
              </w:rPr>
              <w:t>对一次性使用医疗器械很可能再次使用的危害警告不适当</w:t>
            </w:r>
          </w:p>
        </w:tc>
        <w:tc>
          <w:tcPr>
            <w:tcW w:w="3266" w:type="dxa"/>
            <w:vAlign w:val="center"/>
          </w:tcPr>
          <w:p w14:paraId="4211900B">
            <w:pPr>
              <w:spacing w:line="420" w:lineRule="exact"/>
              <w:rPr>
                <w:rFonts w:eastAsia="仿宋_GB2312"/>
                <w:sz w:val="28"/>
                <w:szCs w:val="28"/>
              </w:rPr>
            </w:pPr>
            <w:r>
              <w:rPr>
                <w:rFonts w:eastAsia="仿宋_GB2312"/>
                <w:sz w:val="28"/>
                <w:szCs w:val="28"/>
              </w:rPr>
              <w:t>重复使用</w:t>
            </w:r>
          </w:p>
        </w:tc>
        <w:tc>
          <w:tcPr>
            <w:tcW w:w="2650" w:type="dxa"/>
            <w:vAlign w:val="center"/>
          </w:tcPr>
          <w:p w14:paraId="1E6A8D6D">
            <w:pPr>
              <w:spacing w:line="420" w:lineRule="exact"/>
              <w:rPr>
                <w:rFonts w:eastAsia="仿宋_GB2312"/>
                <w:sz w:val="28"/>
                <w:szCs w:val="28"/>
              </w:rPr>
            </w:pPr>
            <w:r>
              <w:rPr>
                <w:rFonts w:eastAsia="仿宋_GB2312"/>
                <w:sz w:val="28"/>
                <w:szCs w:val="28"/>
              </w:rPr>
              <w:t>交叉感染</w:t>
            </w:r>
          </w:p>
          <w:p w14:paraId="4CC3D460">
            <w:pPr>
              <w:spacing w:line="420" w:lineRule="exact"/>
              <w:rPr>
                <w:rFonts w:eastAsia="仿宋_GB2312"/>
                <w:sz w:val="28"/>
                <w:szCs w:val="28"/>
              </w:rPr>
            </w:pPr>
            <w:r>
              <w:rPr>
                <w:rFonts w:eastAsia="仿宋_GB2312"/>
                <w:sz w:val="28"/>
                <w:szCs w:val="28"/>
              </w:rPr>
              <w:t>破损、断裂</w:t>
            </w:r>
          </w:p>
        </w:tc>
      </w:tr>
      <w:tr w14:paraId="00CFE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restart"/>
            <w:vAlign w:val="center"/>
          </w:tcPr>
          <w:p w14:paraId="1F953C77">
            <w:pPr>
              <w:spacing w:line="420" w:lineRule="exact"/>
              <w:jc w:val="left"/>
              <w:rPr>
                <w:rFonts w:eastAsia="仿宋_GB2312"/>
                <w:sz w:val="28"/>
                <w:szCs w:val="28"/>
              </w:rPr>
            </w:pPr>
            <w:r>
              <w:rPr>
                <w:rFonts w:eastAsia="仿宋_GB2312"/>
                <w:sz w:val="28"/>
                <w:szCs w:val="28"/>
              </w:rPr>
              <w:t>功能性失效和老化引起的危险（源）</w:t>
            </w:r>
          </w:p>
        </w:tc>
        <w:tc>
          <w:tcPr>
            <w:tcW w:w="2689" w:type="dxa"/>
            <w:vAlign w:val="center"/>
          </w:tcPr>
          <w:p w14:paraId="3430619A">
            <w:pPr>
              <w:spacing w:line="420" w:lineRule="exact"/>
              <w:rPr>
                <w:rFonts w:eastAsia="仿宋_GB2312"/>
                <w:sz w:val="28"/>
                <w:szCs w:val="28"/>
              </w:rPr>
            </w:pPr>
            <w:r>
              <w:rPr>
                <w:rFonts w:eastAsia="仿宋_GB2312"/>
                <w:sz w:val="28"/>
                <w:szCs w:val="28"/>
              </w:rPr>
              <w:t>对医疗器械寿命终止缺少适当的决定</w:t>
            </w:r>
          </w:p>
        </w:tc>
        <w:tc>
          <w:tcPr>
            <w:tcW w:w="3266" w:type="dxa"/>
            <w:vAlign w:val="center"/>
          </w:tcPr>
          <w:p w14:paraId="55DD0BB5">
            <w:pPr>
              <w:spacing w:line="420" w:lineRule="exact"/>
              <w:rPr>
                <w:rFonts w:eastAsia="仿宋_GB2312"/>
                <w:sz w:val="28"/>
                <w:szCs w:val="28"/>
              </w:rPr>
            </w:pPr>
            <w:r>
              <w:rPr>
                <w:rFonts w:eastAsia="仿宋_GB2312"/>
                <w:sz w:val="28"/>
                <w:szCs w:val="28"/>
              </w:rPr>
              <w:t>没有标识产品有效期</w:t>
            </w:r>
          </w:p>
        </w:tc>
        <w:tc>
          <w:tcPr>
            <w:tcW w:w="2650" w:type="dxa"/>
            <w:vAlign w:val="center"/>
          </w:tcPr>
          <w:p w14:paraId="72FECF6F">
            <w:pPr>
              <w:spacing w:line="420" w:lineRule="exact"/>
              <w:rPr>
                <w:rFonts w:eastAsia="仿宋_GB2312"/>
                <w:sz w:val="28"/>
                <w:szCs w:val="28"/>
              </w:rPr>
            </w:pPr>
            <w:r>
              <w:rPr>
                <w:rFonts w:eastAsia="仿宋_GB2312"/>
                <w:sz w:val="28"/>
                <w:szCs w:val="28"/>
              </w:rPr>
              <w:t>超出有效期的产品被使用，造成细菌感染或因材料老化导致产品性能不符合要求</w:t>
            </w:r>
          </w:p>
        </w:tc>
      </w:tr>
      <w:tr w14:paraId="7349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continue"/>
            <w:vAlign w:val="center"/>
          </w:tcPr>
          <w:p w14:paraId="163CA180">
            <w:pPr>
              <w:spacing w:line="420" w:lineRule="exact"/>
              <w:jc w:val="left"/>
              <w:rPr>
                <w:rFonts w:eastAsia="仿宋_GB2312"/>
                <w:sz w:val="28"/>
                <w:szCs w:val="28"/>
              </w:rPr>
            </w:pPr>
          </w:p>
        </w:tc>
        <w:tc>
          <w:tcPr>
            <w:tcW w:w="2689" w:type="dxa"/>
            <w:vAlign w:val="center"/>
          </w:tcPr>
          <w:p w14:paraId="24D5DC80">
            <w:pPr>
              <w:spacing w:line="420" w:lineRule="exact"/>
              <w:jc w:val="left"/>
              <w:textAlignment w:val="baseline"/>
              <w:rPr>
                <w:rFonts w:eastAsia="仿宋_GB2312"/>
                <w:sz w:val="28"/>
                <w:szCs w:val="28"/>
              </w:rPr>
            </w:pPr>
            <w:r>
              <w:rPr>
                <w:rFonts w:hint="eastAsia" w:eastAsia="仿宋_GB2312"/>
                <w:sz w:val="28"/>
                <w:szCs w:val="28"/>
              </w:rPr>
              <w:t>缺少适当使用前检查，</w:t>
            </w:r>
            <w:r>
              <w:rPr>
                <w:rFonts w:eastAsia="仿宋_GB2312"/>
                <w:sz w:val="28"/>
                <w:szCs w:val="28"/>
              </w:rPr>
              <w:t>失去产品的完整性</w:t>
            </w:r>
          </w:p>
        </w:tc>
        <w:tc>
          <w:tcPr>
            <w:tcW w:w="3266" w:type="dxa"/>
            <w:vAlign w:val="center"/>
          </w:tcPr>
          <w:p w14:paraId="591D3126">
            <w:pPr>
              <w:spacing w:line="420" w:lineRule="exact"/>
              <w:textAlignment w:val="baseline"/>
              <w:rPr>
                <w:rFonts w:eastAsia="仿宋_GB2312"/>
                <w:sz w:val="28"/>
                <w:szCs w:val="28"/>
              </w:rPr>
            </w:pPr>
            <w:r>
              <w:rPr>
                <w:rFonts w:hint="eastAsia" w:eastAsia="仿宋_GB2312"/>
                <w:sz w:val="28"/>
                <w:szCs w:val="28"/>
              </w:rPr>
              <w:t>说明书中没有提供相关信息，如灭菌方法、使用前的检查建议，</w:t>
            </w:r>
            <w:r>
              <w:rPr>
                <w:rFonts w:eastAsia="仿宋_GB2312"/>
                <w:sz w:val="28"/>
                <w:szCs w:val="28"/>
              </w:rPr>
              <w:t>产品破损</w:t>
            </w:r>
          </w:p>
        </w:tc>
        <w:tc>
          <w:tcPr>
            <w:tcW w:w="2650" w:type="dxa"/>
            <w:vAlign w:val="center"/>
          </w:tcPr>
          <w:p w14:paraId="45B24F97">
            <w:pPr>
              <w:spacing w:line="420" w:lineRule="exact"/>
              <w:rPr>
                <w:rFonts w:eastAsia="仿宋_GB2312"/>
                <w:sz w:val="28"/>
                <w:szCs w:val="28"/>
              </w:rPr>
            </w:pPr>
            <w:r>
              <w:rPr>
                <w:rFonts w:hint="eastAsia" w:eastAsia="仿宋_GB2312"/>
                <w:sz w:val="28"/>
                <w:szCs w:val="28"/>
              </w:rPr>
              <w:t>造成产品意外损坏，产品提前报废，</w:t>
            </w:r>
            <w:r>
              <w:rPr>
                <w:rFonts w:eastAsia="仿宋_GB2312"/>
                <w:sz w:val="28"/>
                <w:szCs w:val="28"/>
              </w:rPr>
              <w:t>无法保证使用有效性</w:t>
            </w:r>
          </w:p>
        </w:tc>
      </w:tr>
      <w:tr w14:paraId="56BB5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0" w:type="dxa"/>
            <w:vMerge w:val="continue"/>
            <w:vAlign w:val="center"/>
          </w:tcPr>
          <w:p w14:paraId="7CD6B32B">
            <w:pPr>
              <w:spacing w:line="420" w:lineRule="exact"/>
              <w:rPr>
                <w:rFonts w:eastAsia="仿宋_GB2312"/>
                <w:sz w:val="28"/>
                <w:szCs w:val="28"/>
              </w:rPr>
            </w:pPr>
          </w:p>
        </w:tc>
        <w:tc>
          <w:tcPr>
            <w:tcW w:w="2689" w:type="dxa"/>
            <w:vAlign w:val="center"/>
          </w:tcPr>
          <w:p w14:paraId="184E766A">
            <w:pPr>
              <w:spacing w:line="420" w:lineRule="exact"/>
              <w:rPr>
                <w:rFonts w:eastAsia="仿宋_GB2312"/>
                <w:sz w:val="28"/>
                <w:szCs w:val="28"/>
              </w:rPr>
            </w:pPr>
            <w:r>
              <w:rPr>
                <w:rFonts w:eastAsia="仿宋_GB2312"/>
                <w:sz w:val="28"/>
                <w:szCs w:val="28"/>
              </w:rPr>
              <w:t>不适当的包装（医疗器械的污染和/或变质）</w:t>
            </w:r>
          </w:p>
        </w:tc>
        <w:tc>
          <w:tcPr>
            <w:tcW w:w="3266" w:type="dxa"/>
            <w:vAlign w:val="center"/>
          </w:tcPr>
          <w:p w14:paraId="516147A6">
            <w:pPr>
              <w:spacing w:line="420" w:lineRule="exact"/>
              <w:rPr>
                <w:rFonts w:eastAsia="仿宋_GB2312"/>
                <w:sz w:val="28"/>
                <w:szCs w:val="28"/>
              </w:rPr>
            </w:pPr>
            <w:r>
              <w:rPr>
                <w:rFonts w:eastAsia="仿宋_GB2312"/>
                <w:sz w:val="28"/>
                <w:szCs w:val="28"/>
              </w:rPr>
              <w:t>没有进行包装确认</w:t>
            </w:r>
          </w:p>
        </w:tc>
        <w:tc>
          <w:tcPr>
            <w:tcW w:w="2650" w:type="dxa"/>
            <w:vAlign w:val="center"/>
          </w:tcPr>
          <w:p w14:paraId="346A8941">
            <w:pPr>
              <w:spacing w:line="420" w:lineRule="exact"/>
              <w:rPr>
                <w:rFonts w:eastAsia="仿宋_GB2312"/>
                <w:sz w:val="28"/>
                <w:szCs w:val="28"/>
              </w:rPr>
            </w:pPr>
            <w:r>
              <w:rPr>
                <w:rFonts w:eastAsia="仿宋_GB2312"/>
                <w:sz w:val="28"/>
                <w:szCs w:val="28"/>
              </w:rPr>
              <w:t>不能确保产品无菌，从而导致出现细菌感染</w:t>
            </w:r>
          </w:p>
        </w:tc>
      </w:tr>
    </w:tbl>
    <w:p w14:paraId="0FDBBB4B">
      <w:pPr>
        <w:pStyle w:val="10"/>
        <w:rPr>
          <w:rStyle w:val="6"/>
          <w:rFonts w:ascii="瀹嬩綋" w:hAnsi="瀹嬩綋" w:eastAsia="瀹嬩綋" w:cs="瀹嬩綋"/>
          <w:color w:val="000000"/>
          <w:sz w:val="27"/>
          <w:szCs w:val="27"/>
          <w:shd w:val="clear" w:color="auto" w:fill="FFFFFF"/>
        </w:rPr>
      </w:pPr>
    </w:p>
    <w:p w14:paraId="6FF26E39">
      <w:pPr>
        <w:rPr>
          <w:rFonts w:ascii="Times New Roman" w:hAnsi="Times New Roman" w:eastAsia="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73748"/>
    <w:rsid w:val="00174EF2"/>
    <w:rsid w:val="001F6B9B"/>
    <w:rsid w:val="03D00A78"/>
    <w:rsid w:val="07273748"/>
    <w:rsid w:val="081E4412"/>
    <w:rsid w:val="0CCB2E50"/>
    <w:rsid w:val="209A1534"/>
    <w:rsid w:val="27345FC5"/>
    <w:rsid w:val="327637D6"/>
    <w:rsid w:val="33D8088E"/>
    <w:rsid w:val="49627A84"/>
    <w:rsid w:val="50031E55"/>
    <w:rsid w:val="686837AF"/>
    <w:rsid w:val="72385C72"/>
    <w:rsid w:val="73882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styleId="6">
    <w:name w:val="Strong"/>
    <w:basedOn w:val="5"/>
    <w:qFormat/>
    <w:uiPriority w:val="0"/>
    <w:rPr>
      <w:b/>
    </w:rPr>
  </w:style>
  <w:style w:type="character" w:styleId="7">
    <w:name w:val="line number"/>
    <w:basedOn w:val="5"/>
    <w:qFormat/>
    <w:uiPriority w:val="0"/>
  </w:style>
  <w:style w:type="paragraph" w:customStyle="1" w:styleId="8">
    <w:name w:val="正文1"/>
    <w:basedOn w:val="1"/>
    <w:qFormat/>
    <w:uiPriority w:val="0"/>
    <w:pPr>
      <w:spacing w:line="520" w:lineRule="exact"/>
      <w:ind w:firstLine="200" w:firstLineChars="200"/>
    </w:pPr>
    <w:rPr>
      <w:rFonts w:eastAsia="仿宋"/>
      <w:sz w:val="32"/>
      <w:szCs w:val="28"/>
    </w:rPr>
  </w:style>
  <w:style w:type="paragraph" w:customStyle="1" w:styleId="9">
    <w:name w:val="列出段落1"/>
    <w:basedOn w:val="1"/>
    <w:qFormat/>
    <w:uiPriority w:val="34"/>
    <w:pPr>
      <w:ind w:firstLine="420"/>
    </w:pPr>
  </w:style>
  <w:style w:type="paragraph" w:styleId="10">
    <w:name w:val="No Spacing"/>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3373</Words>
  <Characters>3594</Characters>
  <Lines>61</Lines>
  <Paragraphs>17</Paragraphs>
  <TotalTime>18</TotalTime>
  <ScaleCrop>false</ScaleCrop>
  <LinksUpToDate>false</LinksUpToDate>
  <CharactersWithSpaces>3609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2026-05-15T01:49:00Z</dcterms:created>
  <dc:creator>@wsl</dc:creator>
  <cp:lastModifiedBy>@wsl</cp:lastModifiedBy>
  <dcterms:modified xsi:type="dcterms:W3CDTF">2026-07-30T03:42:25Z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A2CF847159D2468AB8FD84ED51ABB34D_13</vt:lpwstr>
  </property>
  <property fmtid="{D5CDD505-2E9C-101B-9397-08002B2CF9AE}" pid="4" name="KSOTemplateDocerSaveRecord">
    <vt:lpwstr>eyJoZGlkIjoiNGMxMGY2NjViMTQ2MThhNWZhODczMGExZThlYjlhOGYiLCJ1c2VySWQiOiI2NTcwNDE5NDUifQ==</vt:lpwstr>
  </property>
</Properties>
</file>