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340233" w:rsidRDefault="00BE7098" w:rsidP="00340233">
      <w:pPr>
        <w:rPr>
          <w:rFonts w:eastAsia="黑体" w:hint="eastAsia"/>
          <w:color w:val="FF0000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</w:t>
      </w:r>
    </w:p>
    <w:p w:rsidR="00000000" w:rsidRDefault="00BE7098">
      <w:pPr>
        <w:spacing w:line="560" w:lineRule="exact"/>
        <w:jc w:val="center"/>
        <w:rPr>
          <w:rFonts w:ascii="黑体" w:eastAsia="黑体" w:hAnsi="华文仿宋" w:hint="eastAsia"/>
          <w:sz w:val="32"/>
          <w:szCs w:val="32"/>
        </w:rPr>
      </w:pPr>
    </w:p>
    <w:p w:rsidR="00000000" w:rsidRDefault="00BE7098">
      <w:pPr>
        <w:overflowPunct w:val="0"/>
        <w:spacing w:line="560" w:lineRule="exact"/>
        <w:jc w:val="center"/>
        <w:rPr>
          <w:rFonts w:eastAsia="方正小标宋简体" w:hint="eastAsia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氢溴酸高乌甲素注射剂说明书修订</w:t>
      </w:r>
      <w:r>
        <w:rPr>
          <w:rFonts w:eastAsia="方正小标宋简体" w:hint="eastAsia"/>
          <w:color w:val="000000"/>
          <w:sz w:val="44"/>
          <w:szCs w:val="44"/>
        </w:rPr>
        <w:t>要求</w:t>
      </w:r>
    </w:p>
    <w:p w:rsidR="00000000" w:rsidRDefault="00BE7098">
      <w:pPr>
        <w:overflowPunct w:val="0"/>
        <w:spacing w:line="560" w:lineRule="exact"/>
        <w:jc w:val="center"/>
        <w:rPr>
          <w:rFonts w:eastAsia="方正小标宋简体" w:hint="eastAsia"/>
          <w:color w:val="000000"/>
          <w:sz w:val="44"/>
          <w:szCs w:val="44"/>
        </w:rPr>
      </w:pPr>
    </w:p>
    <w:p w:rsidR="00000000" w:rsidRDefault="00BE7098">
      <w:pPr>
        <w:spacing w:line="560" w:lineRule="exact"/>
        <w:ind w:firstLineChars="200" w:firstLine="640"/>
        <w:outlineLvl w:val="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fldChar w:fldCharType="begin"/>
      </w:r>
      <w:r>
        <w:rPr>
          <w:rFonts w:ascii="黑体" w:eastAsia="黑体" w:hAnsi="黑体" w:cs="黑体" w:hint="eastAsia"/>
          <w:bCs/>
          <w:sz w:val="32"/>
          <w:szCs w:val="32"/>
        </w:rPr>
        <w:instrText>ADDIN CNKISM.UserStyle</w:instrText>
      </w:r>
      <w:r>
        <w:rPr>
          <w:rFonts w:ascii="黑体" w:eastAsia="黑体" w:hAnsi="黑体" w:cs="黑体" w:hint="eastAsia"/>
          <w:bCs/>
          <w:sz w:val="32"/>
          <w:szCs w:val="32"/>
        </w:rPr>
        <w:fldChar w:fldCharType="end"/>
      </w:r>
      <w:r>
        <w:rPr>
          <w:rFonts w:ascii="黑体" w:eastAsia="黑体" w:hAnsi="黑体" w:cs="黑体" w:hint="eastAsia"/>
          <w:bCs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【不良反应</w:t>
      </w:r>
      <w:r>
        <w:rPr>
          <w:rFonts w:ascii="黑体" w:eastAsia="黑体" w:hAnsi="黑体" w:cs="黑体" w:hint="eastAsia"/>
          <w:sz w:val="32"/>
          <w:szCs w:val="32"/>
        </w:rPr>
        <w:t>】项，应包含且不限于以下内容：</w:t>
      </w:r>
    </w:p>
    <w:p w:rsidR="00000000" w:rsidRDefault="00BE709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上市后监测中发现本品</w:t>
      </w:r>
      <w:r>
        <w:rPr>
          <w:rFonts w:eastAsia="仿宋_GB2312" w:hint="eastAsia"/>
          <w:sz w:val="32"/>
          <w:szCs w:val="32"/>
        </w:rPr>
        <w:t>报告</w:t>
      </w:r>
      <w:r>
        <w:rPr>
          <w:rFonts w:eastAsia="仿宋_GB2312"/>
          <w:sz w:val="32"/>
          <w:szCs w:val="32"/>
        </w:rPr>
        <w:t>有以下不良反应（发生率未知）：</w:t>
      </w:r>
    </w:p>
    <w:p w:rsidR="00000000" w:rsidRDefault="00BE7098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免疫系统：</w:t>
      </w:r>
      <w:r>
        <w:rPr>
          <w:rFonts w:eastAsia="仿宋_GB2312" w:hint="eastAsia"/>
          <w:sz w:val="32"/>
          <w:szCs w:val="32"/>
        </w:rPr>
        <w:t>过敏反应、过敏性休克。</w:t>
      </w:r>
    </w:p>
    <w:p w:rsidR="00000000" w:rsidRDefault="00BE7098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心血管系统：</w:t>
      </w:r>
      <w:r>
        <w:rPr>
          <w:rFonts w:eastAsia="仿宋_GB2312" w:hint="eastAsia"/>
          <w:sz w:val="32"/>
          <w:szCs w:val="32"/>
        </w:rPr>
        <w:t>心悸、心律失常、心动过速、血压升高、血压降低、潮红、静脉炎、发绀。</w:t>
      </w:r>
    </w:p>
    <w:p w:rsidR="00000000" w:rsidRDefault="00BE7098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全身性反应：</w:t>
      </w:r>
      <w:r>
        <w:rPr>
          <w:rFonts w:eastAsia="仿宋_GB2312" w:hint="eastAsia"/>
          <w:sz w:val="32"/>
          <w:szCs w:val="32"/>
        </w:rPr>
        <w:t>寒战、畏寒、发热（高热）、胸部不适、疼痛、乏力、水肿。</w:t>
      </w:r>
    </w:p>
    <w:p w:rsidR="00000000" w:rsidRDefault="00BE7098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呼吸系统：</w:t>
      </w:r>
      <w:r>
        <w:rPr>
          <w:rFonts w:eastAsia="仿宋_GB2312" w:hint="eastAsia"/>
          <w:sz w:val="32"/>
          <w:szCs w:val="32"/>
        </w:rPr>
        <w:t>呼吸困难、呼吸急促、咳嗽。</w:t>
      </w:r>
    </w:p>
    <w:p w:rsidR="00000000" w:rsidRDefault="00BE7098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皮肤及皮下组织：</w:t>
      </w:r>
      <w:r>
        <w:rPr>
          <w:rFonts w:eastAsia="仿宋_GB2312" w:hint="eastAsia"/>
          <w:sz w:val="32"/>
          <w:szCs w:val="32"/>
        </w:rPr>
        <w:t>瘙痒、皮疹、荨麻疹、红斑、皮肤肿胀、多汗。</w:t>
      </w:r>
    </w:p>
    <w:p w:rsidR="00000000" w:rsidRDefault="00BE7098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胃肠系统：</w:t>
      </w:r>
      <w:r>
        <w:rPr>
          <w:rFonts w:eastAsia="仿宋_GB2312" w:hint="eastAsia"/>
          <w:sz w:val="32"/>
          <w:szCs w:val="32"/>
        </w:rPr>
        <w:t>恶心、呕吐、口干、反酸、腹痛、腹部不适、腹胀、腹泻。</w:t>
      </w:r>
    </w:p>
    <w:p w:rsidR="00000000" w:rsidRDefault="00BE7098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神经系统和精神类反应：</w:t>
      </w:r>
      <w:r>
        <w:rPr>
          <w:rFonts w:eastAsia="仿宋_GB2312" w:hint="eastAsia"/>
          <w:sz w:val="32"/>
          <w:szCs w:val="32"/>
        </w:rPr>
        <w:t>头晕、头痛、感觉减退、震颤、抽动、烦躁不安。</w:t>
      </w:r>
    </w:p>
    <w:p w:rsidR="00000000" w:rsidRDefault="00BE7098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肝胆系统：</w:t>
      </w:r>
      <w:r>
        <w:rPr>
          <w:rFonts w:eastAsia="仿宋_GB2312" w:hint="eastAsia"/>
          <w:sz w:val="32"/>
          <w:szCs w:val="32"/>
        </w:rPr>
        <w:t>肝</w:t>
      </w:r>
      <w:r>
        <w:rPr>
          <w:rFonts w:eastAsia="仿宋_GB2312" w:hint="eastAsia"/>
          <w:sz w:val="32"/>
          <w:szCs w:val="32"/>
        </w:rPr>
        <w:t>功能异常、肝酶升高。</w:t>
      </w:r>
    </w:p>
    <w:p w:rsidR="00000000" w:rsidRDefault="00BE7098">
      <w:pPr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其他：</w:t>
      </w:r>
      <w:r>
        <w:rPr>
          <w:rFonts w:eastAsia="仿宋_GB2312" w:hint="eastAsia"/>
          <w:sz w:val="32"/>
          <w:szCs w:val="32"/>
        </w:rPr>
        <w:t>视觉损害、注射部位疼痛、注射部位瘙痒、注射部位肿胀、眩晕、肢体疼痛、排尿困难。</w:t>
      </w:r>
    </w:p>
    <w:p w:rsidR="00000000" w:rsidRDefault="00BE7098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</w:t>
      </w:r>
      <w:r>
        <w:rPr>
          <w:rFonts w:ascii="黑体" w:eastAsia="黑体" w:hAnsi="黑体" w:cs="黑体" w:hint="eastAsia"/>
          <w:sz w:val="32"/>
          <w:szCs w:val="32"/>
        </w:rPr>
        <w:t>【禁忌】项，应包含且不限于以下内容：</w:t>
      </w:r>
    </w:p>
    <w:p w:rsidR="00000000" w:rsidRDefault="00BE7098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对本品中任何成份过敏者禁用。</w:t>
      </w:r>
    </w:p>
    <w:p w:rsidR="00000000" w:rsidRDefault="00BE7098">
      <w:pPr>
        <w:spacing w:line="560" w:lineRule="exact"/>
        <w:ind w:firstLineChars="200" w:firstLine="640"/>
        <w:outlineLvl w:val="1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三、【注意事项】应包含且不限于以下内容：</w:t>
      </w:r>
    </w:p>
    <w:p w:rsidR="00000000" w:rsidRDefault="00BE7098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过敏体质者、严重肝功能异常者慎用。</w:t>
      </w:r>
    </w:p>
    <w:p w:rsidR="00000000" w:rsidRDefault="00BE7098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上市后监测到本品有过敏性休克的严重不良反应病例报告，建议在有抢救条件的医疗机构使用，用药前应仔细询问患者用药史和过敏史，用药过程中注意观察，一旦出现过敏反应或其他严重不良反应须立即停药并及时救治。</w:t>
      </w:r>
    </w:p>
    <w:p w:rsidR="00000000" w:rsidRDefault="00BE7098">
      <w:pPr>
        <w:spacing w:line="560" w:lineRule="exact"/>
        <w:ind w:firstLineChars="200" w:firstLine="640"/>
        <w:outlineLvl w:val="1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四、【孕妇及哺乳期妇女用药】项应至少包含以下内容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000000" w:rsidRDefault="00BE7098">
      <w:pPr>
        <w:spacing w:line="560" w:lineRule="exact"/>
        <w:ind w:firstLineChars="200" w:firstLine="640"/>
        <w:outlineLvl w:val="1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尚缺乏本品孕妇及哺乳期妇女用药的安全性研究资料。</w:t>
      </w:r>
    </w:p>
    <w:p w:rsidR="00000000" w:rsidRDefault="00BE7098">
      <w:pPr>
        <w:spacing w:line="560" w:lineRule="exact"/>
        <w:ind w:firstLineChars="200" w:firstLine="640"/>
        <w:outlineLvl w:val="1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五、【儿童用药】项应至少包含以下内容：</w:t>
      </w:r>
    </w:p>
    <w:p w:rsidR="00000000" w:rsidRDefault="00BE7098">
      <w:pPr>
        <w:spacing w:line="560" w:lineRule="exact"/>
        <w:ind w:firstLineChars="200" w:firstLine="640"/>
        <w:outlineLvl w:val="1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本品用于儿童的安全性、有效性尚未建立。</w:t>
      </w:r>
    </w:p>
    <w:p w:rsidR="00000000" w:rsidRDefault="00BE7098">
      <w:pPr>
        <w:spacing w:line="560" w:lineRule="exact"/>
        <w:ind w:firstLineChars="200" w:firstLine="640"/>
        <w:outlineLvl w:val="1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六、【老年用药】项应至少包含以下内容：</w:t>
      </w:r>
    </w:p>
    <w:p w:rsidR="00000000" w:rsidRDefault="00BE7098">
      <w:pPr>
        <w:spacing w:line="560" w:lineRule="exact"/>
        <w:ind w:firstLineChars="200" w:firstLine="640"/>
        <w:outlineLvl w:val="1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尚缺乏老年患者用药的资料。</w:t>
      </w:r>
    </w:p>
    <w:p w:rsidR="00000000" w:rsidRDefault="00BE7098">
      <w:pPr>
        <w:spacing w:line="560" w:lineRule="exact"/>
        <w:ind w:firstLineChars="200" w:firstLine="640"/>
        <w:outlineLvl w:val="1"/>
        <w:rPr>
          <w:rFonts w:ascii="Times New Roman" w:eastAsia="仿宋_GB2312" w:hAnsi="Times New Roman"/>
          <w:sz w:val="32"/>
          <w:szCs w:val="32"/>
        </w:rPr>
      </w:pPr>
    </w:p>
    <w:p w:rsidR="00000000" w:rsidRDefault="00BE7098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（注：如原批准说明书的安全性内容较本修订要求内容更全面或更严格的，应保留原批准内容。说明书其他内容如与上述修订要求不一致的，应当一并进行修订。）</w:t>
      </w:r>
    </w:p>
    <w:p w:rsidR="00000000" w:rsidRDefault="00BE7098">
      <w:pPr>
        <w:rPr>
          <w:rFonts w:ascii="Times New Roman" w:eastAsia="仿宋_GB2312" w:hAnsi="Times New Roman"/>
          <w:sz w:val="32"/>
          <w:szCs w:val="32"/>
        </w:rPr>
      </w:pPr>
    </w:p>
    <w:p w:rsidR="00000000" w:rsidRDefault="00BE7098">
      <w:pPr>
        <w:rPr>
          <w:rFonts w:ascii="Times New Roman" w:eastAsia="仿宋_GB2312" w:hAnsi="Times New Roman"/>
          <w:sz w:val="32"/>
          <w:szCs w:val="32"/>
        </w:rPr>
      </w:pPr>
    </w:p>
    <w:p w:rsidR="00000000" w:rsidRDefault="00BE7098">
      <w:pPr>
        <w:rPr>
          <w:rFonts w:ascii="Times New Roman" w:eastAsia="仿宋_GB2312" w:hAnsi="Times New Roman"/>
          <w:sz w:val="18"/>
          <w:szCs w:val="18"/>
        </w:rPr>
      </w:pPr>
    </w:p>
    <w:p w:rsidR="00BE7098" w:rsidRDefault="00BE7098">
      <w:bookmarkStart w:id="0" w:name="_GoBack"/>
      <w:bookmarkEnd w:id="0"/>
    </w:p>
    <w:sectPr w:rsidR="00BE7098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098" w:rsidRDefault="00BE7098">
      <w:r>
        <w:separator/>
      </w:r>
    </w:p>
  </w:endnote>
  <w:endnote w:type="continuationSeparator" w:id="0">
    <w:p w:rsidR="00BE7098" w:rsidRDefault="00BE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4023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0" t="3810" r="3810" b="381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BE7098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40233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9pt;margin-top:0;width:77.1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" filled="f" stroked="f">
              <v:textbox style="mso-fit-shape-to-text:t" inset="0,0,0,0">
                <w:txbxContent>
                  <w:p w:rsidR="00000000" w:rsidRDefault="00BE7098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340233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098" w:rsidRDefault="00BE7098">
      <w:r>
        <w:separator/>
      </w:r>
    </w:p>
  </w:footnote>
  <w:footnote w:type="continuationSeparator" w:id="0">
    <w:p w:rsidR="00BE7098" w:rsidRDefault="00BE7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DB"/>
    <w:rsid w:val="000158DB"/>
    <w:rsid w:val="00340233"/>
    <w:rsid w:val="005347C1"/>
    <w:rsid w:val="00BE7098"/>
    <w:rsid w:val="3EAB0813"/>
    <w:rsid w:val="7E5EB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3132CE-3442-42DD-BF5C-538BB3E4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2022-04-25T00:50:00Z</dcterms:created>
  <dcterms:modified xsi:type="dcterms:W3CDTF">2022-04-25T00:50:00Z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