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省外已</w:t>
      </w:r>
      <w:r>
        <w:rPr>
          <w:rFonts w:hint="eastAsia" w:ascii="方正小标宋简体" w:hAnsi="方正小标宋简体" w:eastAsia="方正小标宋简体" w:cs="方正小标宋简体"/>
          <w:sz w:val="44"/>
          <w:szCs w:val="44"/>
          <w:lang w:eastAsia="zh-CN"/>
        </w:rPr>
        <w:t>上</w:t>
      </w:r>
      <w:r>
        <w:rPr>
          <w:rFonts w:hint="eastAsia" w:ascii="方正小标宋简体" w:hAnsi="方正小标宋简体" w:eastAsia="方正小标宋简体" w:cs="方正小标宋简体"/>
          <w:sz w:val="44"/>
          <w:szCs w:val="44"/>
        </w:rPr>
        <w:t>市</w:t>
      </w:r>
      <w:r>
        <w:rPr>
          <w:rFonts w:hint="eastAsia" w:ascii="方正小标宋简体" w:hAnsi="方正小标宋简体" w:eastAsia="方正小标宋简体" w:cs="方正小标宋简体"/>
          <w:sz w:val="44"/>
          <w:szCs w:val="44"/>
          <w:lang w:eastAsia="zh-CN"/>
        </w:rPr>
        <w:t>第二类</w:t>
      </w:r>
      <w:r>
        <w:rPr>
          <w:rFonts w:hint="eastAsia" w:ascii="方正小标宋简体" w:hAnsi="方正小标宋简体" w:eastAsia="方正小标宋简体" w:cs="方正小标宋简体"/>
          <w:sz w:val="44"/>
          <w:szCs w:val="44"/>
        </w:rPr>
        <w:t>医疗器械</w:t>
      </w:r>
      <w:r>
        <w:rPr>
          <w:rFonts w:hint="eastAsia" w:ascii="方正小标宋简体" w:hAnsi="方正小标宋简体" w:eastAsia="方正小标宋简体" w:cs="方正小标宋简体"/>
          <w:sz w:val="44"/>
          <w:szCs w:val="44"/>
          <w:lang w:eastAsia="zh-CN"/>
        </w:rPr>
        <w:t>注册申报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eastAsia="zh-CN"/>
        </w:rPr>
        <w:t>办理规程（试行）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w:t>
      </w:r>
      <w:bookmarkStart w:id="0" w:name="_GoBack"/>
      <w:bookmarkEnd w:id="0"/>
      <w:r>
        <w:rPr>
          <w:rFonts w:hint="eastAsia" w:ascii="仿宋_GB2312" w:hAnsi="仿宋_GB2312" w:eastAsia="仿宋_GB2312" w:cs="仿宋_GB2312"/>
          <w:sz w:val="32"/>
          <w:szCs w:val="32"/>
          <w:lang w:val="en-US" w:eastAsia="zh-CN"/>
        </w:rPr>
        <w:t>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40"/>
          <w:lang w:val="en-US" w:eastAsia="zh-CN"/>
        </w:rPr>
        <w:t>根据《医疗器械监督管理条例》《医疗器械注册与备案管理办法》《体外诊断试剂注册与备案管理办法》</w:t>
      </w:r>
      <w:r>
        <w:rPr>
          <w:rFonts w:hint="eastAsia" w:ascii="Times New Roman" w:hAnsi="Times New Roman" w:eastAsia="仿宋_GB2312" w:cs="Times New Roman"/>
          <w:sz w:val="32"/>
          <w:szCs w:val="40"/>
          <w:lang w:val="en-US" w:eastAsia="zh-CN"/>
        </w:rPr>
        <w:t>和省药品监管局</w:t>
      </w:r>
      <w:r>
        <w:rPr>
          <w:rFonts w:hint="eastAsia" w:ascii="仿宋_GB2312" w:hAnsi="仿宋_GB2312" w:eastAsia="仿宋_GB2312" w:cs="仿宋_GB2312"/>
          <w:sz w:val="32"/>
          <w:szCs w:val="32"/>
          <w:lang w:val="en-US" w:eastAsia="zh-CN"/>
        </w:rPr>
        <w:t>《关于优化贵州省第二类医疗器械审评审批的若干措施》等法规规章文件要求，制定本规程。</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1"/>
        <w:rPr>
          <w:rFonts w:hint="eastAsia" w:ascii="黑体" w:hAnsi="黑体" w:eastAsia="黑体" w:cs="黑体"/>
          <w:b w:val="0"/>
          <w:bCs w:val="0"/>
          <w:kern w:val="0"/>
          <w:sz w:val="32"/>
          <w:szCs w:val="40"/>
          <w:lang w:val="en-US" w:eastAsia="zh-CN" w:bidi="ar"/>
        </w:rPr>
      </w:pPr>
      <w:r>
        <w:rPr>
          <w:rFonts w:hint="eastAsia" w:ascii="黑体" w:hAnsi="黑体" w:eastAsia="黑体" w:cs="黑体"/>
          <w:b w:val="0"/>
          <w:bCs w:val="0"/>
          <w:kern w:val="0"/>
          <w:sz w:val="32"/>
          <w:szCs w:val="40"/>
          <w:lang w:val="en-US" w:eastAsia="zh-CN" w:bidi="ar"/>
        </w:rPr>
        <w:t>适用范围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lang w:val="en-US" w:eastAsia="zh-CN"/>
        </w:rPr>
      </w:pPr>
      <w:r>
        <w:rPr>
          <w:rFonts w:hint="eastAsia" w:ascii="Times New Roman" w:hAnsi="Times New Roman" w:eastAsia="仿宋_GB2312" w:cs="Times New Roman"/>
          <w:sz w:val="32"/>
          <w:szCs w:val="40"/>
          <w:lang w:val="en-US" w:eastAsia="zh-CN"/>
        </w:rPr>
        <w:t>通过兼并、重组、整体搬迁、集团内转移等方式，将已在省外获批</w:t>
      </w:r>
      <w:r>
        <w:rPr>
          <w:rFonts w:hint="default" w:ascii="Times New Roman" w:hAnsi="Times New Roman" w:eastAsia="仿宋_GB2312" w:cs="Times New Roman"/>
          <w:sz w:val="32"/>
          <w:szCs w:val="40"/>
          <w:lang w:val="en-US" w:eastAsia="zh-CN"/>
        </w:rPr>
        <w:t>且在有效期内</w:t>
      </w:r>
      <w:r>
        <w:rPr>
          <w:rFonts w:hint="eastAsia" w:ascii="Times New Roman" w:hAnsi="Times New Roman" w:eastAsia="仿宋_GB2312" w:cs="Times New Roman"/>
          <w:sz w:val="32"/>
          <w:szCs w:val="40"/>
          <w:lang w:val="en-US" w:eastAsia="zh-CN"/>
        </w:rPr>
        <w:t>的第二类医疗器械</w:t>
      </w:r>
      <w:r>
        <w:rPr>
          <w:rFonts w:hint="eastAsia" w:ascii="仿宋_GB2312" w:hAnsi="仿宋_GB2312" w:eastAsia="仿宋_GB2312" w:cs="仿宋_GB2312"/>
          <w:sz w:val="32"/>
          <w:szCs w:val="32"/>
          <w:lang w:val="en-US" w:eastAsia="zh-CN"/>
        </w:rPr>
        <w:t>产品在贵州省申请首次注册。</w:t>
      </w:r>
      <w:r>
        <w:rPr>
          <w:rFonts w:hint="eastAsia" w:ascii="Times New Roman" w:hAnsi="Times New Roman" w:eastAsia="仿宋_GB2312" w:cs="Times New Roman"/>
          <w:sz w:val="32"/>
          <w:szCs w:val="40"/>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1"/>
        <w:rPr>
          <w:rFonts w:hint="default" w:ascii="黑体" w:hAnsi="黑体" w:eastAsia="黑体" w:cs="黑体"/>
          <w:b w:val="0"/>
          <w:bCs w:val="0"/>
          <w:kern w:val="0"/>
          <w:sz w:val="32"/>
          <w:szCs w:val="40"/>
          <w:lang w:val="en-US" w:eastAsia="zh-CN" w:bidi="ar"/>
        </w:rPr>
      </w:pPr>
      <w:r>
        <w:rPr>
          <w:rFonts w:hint="default" w:ascii="黑体" w:hAnsi="黑体" w:eastAsia="黑体" w:cs="黑体"/>
          <w:b w:val="0"/>
          <w:bCs w:val="0"/>
          <w:kern w:val="0"/>
          <w:sz w:val="32"/>
          <w:szCs w:val="40"/>
          <w:lang w:val="en-US" w:eastAsia="zh-CN" w:bidi="ar"/>
        </w:rPr>
        <w:t>受理</w:t>
      </w:r>
      <w:r>
        <w:rPr>
          <w:rFonts w:hint="eastAsia" w:ascii="黑体" w:hAnsi="黑体" w:eastAsia="黑体" w:cs="黑体"/>
          <w:b w:val="0"/>
          <w:bCs w:val="0"/>
          <w:kern w:val="0"/>
          <w:sz w:val="32"/>
          <w:szCs w:val="40"/>
          <w:lang w:val="en-US" w:eastAsia="zh-CN" w:bidi="ar"/>
        </w:rPr>
        <w:t>条件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（一）</w:t>
      </w:r>
      <w:r>
        <w:rPr>
          <w:rFonts w:hint="eastAsia" w:ascii="Times New Roman" w:hAnsi="Times New Roman" w:eastAsia="仿宋_GB2312" w:cs="Times New Roman"/>
          <w:sz w:val="32"/>
          <w:szCs w:val="40"/>
          <w:lang w:val="en-US" w:eastAsia="zh-CN"/>
        </w:rPr>
        <w:t>拟</w:t>
      </w:r>
      <w:r>
        <w:rPr>
          <w:rFonts w:hint="default" w:ascii="Times New Roman" w:hAnsi="Times New Roman" w:eastAsia="仿宋_GB2312" w:cs="Times New Roman"/>
          <w:sz w:val="32"/>
          <w:szCs w:val="40"/>
          <w:lang w:val="en-US" w:eastAsia="zh-CN"/>
        </w:rPr>
        <w:t>申报产品根据现行的医疗器械分类目录</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有关分类界定文件</w:t>
      </w:r>
      <w:r>
        <w:rPr>
          <w:rFonts w:hint="eastAsia" w:ascii="Times New Roman" w:hAnsi="Times New Roman" w:eastAsia="仿宋_GB2312" w:cs="Times New Roman"/>
          <w:sz w:val="32"/>
          <w:szCs w:val="40"/>
          <w:lang w:val="en-US" w:eastAsia="zh-CN"/>
        </w:rPr>
        <w:t>及清理规范要求</w:t>
      </w:r>
      <w:r>
        <w:rPr>
          <w:rFonts w:hint="default" w:ascii="Times New Roman" w:hAnsi="Times New Roman" w:eastAsia="仿宋_GB2312" w:cs="Times New Roman"/>
          <w:sz w:val="32"/>
          <w:szCs w:val="40"/>
          <w:lang w:val="en-US" w:eastAsia="zh-CN"/>
        </w:rPr>
        <w:t>，管理类别明确为第二类医疗器械。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（二）拟申报产品与已取得的注册证产品为同一品种器械，产品不发生实质性变化</w:t>
      </w:r>
      <w:r>
        <w:rPr>
          <w:rFonts w:hint="eastAsia" w:ascii="Times New Roman" w:hAnsi="Times New Roman" w:eastAsia="仿宋_GB2312" w:cs="Times New Roman"/>
          <w:sz w:val="32"/>
          <w:szCs w:val="40"/>
          <w:lang w:val="en-US" w:eastAsia="zh-CN"/>
        </w:rPr>
        <w:t>，且符合现行强制性标准和注册指导原则</w:t>
      </w:r>
      <w:r>
        <w:rPr>
          <w:rFonts w:hint="default" w:ascii="Times New Roman" w:hAnsi="Times New Roman" w:eastAsia="仿宋_GB2312" w:cs="Times New Roman"/>
          <w:sz w:val="32"/>
          <w:szCs w:val="4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w:t>
      </w:r>
      <w:r>
        <w:rPr>
          <w:rFonts w:hint="eastAsia" w:ascii="Times New Roman" w:hAnsi="Times New Roman" w:eastAsia="仿宋_GB2312" w:cs="Times New Roman"/>
          <w:sz w:val="32"/>
          <w:szCs w:val="40"/>
          <w:lang w:val="en-US" w:eastAsia="zh-CN"/>
        </w:rPr>
        <w:t>三</w:t>
      </w:r>
      <w:r>
        <w:rPr>
          <w:rFonts w:hint="default" w:ascii="Times New Roman" w:hAnsi="Times New Roman" w:eastAsia="仿宋_GB2312" w:cs="Times New Roman"/>
          <w:sz w:val="32"/>
          <w:szCs w:val="40"/>
          <w:lang w:val="en-US" w:eastAsia="zh-CN"/>
        </w:rPr>
        <w:t>）</w:t>
      </w:r>
      <w:r>
        <w:rPr>
          <w:rFonts w:hint="eastAsia" w:ascii="Times New Roman" w:hAnsi="Times New Roman" w:eastAsia="仿宋_GB2312" w:cs="Times New Roman"/>
          <w:sz w:val="32"/>
          <w:szCs w:val="40"/>
          <w:lang w:val="en-US" w:eastAsia="zh-CN"/>
        </w:rPr>
        <w:t>拟</w:t>
      </w:r>
      <w:r>
        <w:rPr>
          <w:rFonts w:hint="default" w:ascii="Times New Roman" w:hAnsi="Times New Roman" w:eastAsia="仿宋_GB2312" w:cs="Times New Roman"/>
          <w:sz w:val="32"/>
          <w:szCs w:val="40"/>
          <w:lang w:val="en-US" w:eastAsia="zh-CN"/>
        </w:rPr>
        <w:t>申报产品</w:t>
      </w:r>
      <w:r>
        <w:rPr>
          <w:rFonts w:hint="eastAsia" w:ascii="Times New Roman" w:hAnsi="Times New Roman" w:eastAsia="仿宋_GB2312" w:cs="Times New Roman"/>
          <w:sz w:val="32"/>
          <w:szCs w:val="40"/>
          <w:lang w:val="en-US" w:eastAsia="zh-CN"/>
        </w:rPr>
        <w:t>原注册资料符合《医疗器械注册与备案管理办法》《体外诊断试剂注册与备案管理办法》等相关规定的要求。</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1"/>
        <w:rPr>
          <w:rFonts w:hint="default" w:ascii="黑体" w:hAnsi="黑体" w:eastAsia="黑体" w:cs="黑体"/>
          <w:b w:val="0"/>
          <w:bCs w:val="0"/>
          <w:kern w:val="0"/>
          <w:sz w:val="32"/>
          <w:szCs w:val="40"/>
          <w:lang w:val="en-US" w:eastAsia="zh-CN" w:bidi="ar"/>
        </w:rPr>
      </w:pPr>
      <w:r>
        <w:rPr>
          <w:rFonts w:hint="default" w:ascii="黑体" w:hAnsi="黑体" w:eastAsia="黑体" w:cs="黑体"/>
          <w:b w:val="0"/>
          <w:bCs w:val="0"/>
          <w:kern w:val="0"/>
          <w:sz w:val="32"/>
          <w:szCs w:val="40"/>
          <w:lang w:val="en-US" w:eastAsia="zh-CN" w:bidi="ar"/>
        </w:rPr>
        <w:t>办理流程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trike w:val="0"/>
          <w:dstrike w:val="0"/>
          <w:color w:val="auto"/>
          <w:kern w:val="2"/>
          <w:sz w:val="32"/>
          <w:szCs w:val="40"/>
          <w:u w:val="none"/>
          <w:lang w:val="en-US" w:eastAsia="zh-CN" w:bidi="ar-SA"/>
        </w:rPr>
      </w:pPr>
      <w:r>
        <w:rPr>
          <w:rFonts w:hint="default" w:ascii="Times New Roman" w:hAnsi="Times New Roman" w:eastAsia="仿宋_GB2312" w:cs="Times New Roman"/>
          <w:b w:val="0"/>
          <w:bCs w:val="0"/>
          <w:strike w:val="0"/>
          <w:dstrike w:val="0"/>
          <w:color w:val="auto"/>
          <w:kern w:val="2"/>
          <w:sz w:val="32"/>
          <w:szCs w:val="40"/>
          <w:u w:val="none"/>
          <w:lang w:val="en-US" w:eastAsia="zh-CN" w:bidi="ar-SA"/>
        </w:rPr>
        <w:t>省药品监管局（以下简称省局）成立</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医疗器械</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产业发展靠前服务</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工作</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专班（以下简称</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工作专班</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），注册申请人</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可通过线上线下的方式与工作专班开展联系，工作专班</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全程介入，为产品注册</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资料准备和质量管理体系建设</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提出合理化建议，</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现场精准</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指导，</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加快</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产品投产上市。</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Chars="200" w:right="0" w:rightChars="0" w:firstLine="321" w:firstLineChars="100"/>
        <w:jc w:val="both"/>
        <w:textAlignment w:val="auto"/>
        <w:rPr>
          <w:rFonts w:hint="eastAsia" w:ascii="楷体_GB2312" w:hAnsi="楷体_GB2312" w:eastAsia="楷体_GB2312" w:cs="楷体_GB2312"/>
          <w:b/>
          <w:bCs/>
          <w:kern w:val="2"/>
          <w:sz w:val="32"/>
          <w:szCs w:val="40"/>
          <w:lang w:val="en-US" w:eastAsia="zh-CN" w:bidi="ar-SA"/>
        </w:rPr>
      </w:pPr>
      <w:r>
        <w:rPr>
          <w:rFonts w:hint="eastAsia" w:ascii="楷体_GB2312" w:hAnsi="楷体_GB2312" w:eastAsia="楷体_GB2312" w:cs="楷体_GB2312"/>
          <w:b/>
          <w:bCs/>
          <w:kern w:val="2"/>
          <w:sz w:val="32"/>
          <w:szCs w:val="40"/>
          <w:lang w:val="en-US" w:eastAsia="zh-CN" w:bidi="ar-SA"/>
        </w:rPr>
        <w:t>（一）申报资料</w:t>
      </w:r>
    </w:p>
    <w:p>
      <w:pPr>
        <w:pStyle w:val="4"/>
        <w:keepNext w:val="0"/>
        <w:keepLines w:val="0"/>
        <w:pageBreakBefore w:val="0"/>
        <w:kinsoku/>
        <w:wordWrap/>
        <w:overflowPunct/>
        <w:topLinePunct w:val="0"/>
        <w:autoSpaceDE/>
        <w:autoSpaceDN/>
        <w:bidi w:val="0"/>
        <w:adjustRightInd/>
        <w:snapToGrid/>
        <w:spacing w:after="0" w:line="560" w:lineRule="exact"/>
        <w:ind w:left="0" w:leftChars="0" w:right="0" w:rightChars="0" w:firstLine="640"/>
        <w:textAlignment w:val="auto"/>
        <w:rPr>
          <w:rFonts w:hint="default" w:ascii="Times New Roman" w:hAnsi="Times New Roman" w:eastAsia="仿宋_GB2312" w:cs="Times New Roman"/>
          <w:b w:val="0"/>
          <w:bCs w:val="0"/>
          <w:strike w:val="0"/>
          <w:dstrike w:val="0"/>
          <w:color w:val="auto"/>
          <w:kern w:val="2"/>
          <w:sz w:val="32"/>
          <w:szCs w:val="40"/>
          <w:u w:val="none"/>
          <w:lang w:val="en-US" w:eastAsia="zh-CN" w:bidi="ar-SA"/>
        </w:rPr>
      </w:pPr>
      <w:r>
        <w:rPr>
          <w:rFonts w:hint="default" w:ascii="Times New Roman" w:hAnsi="Times New Roman" w:eastAsia="仿宋_GB2312" w:cs="Times New Roman"/>
          <w:kern w:val="2"/>
          <w:sz w:val="32"/>
          <w:szCs w:val="40"/>
          <w:lang w:val="en-US" w:eastAsia="zh-CN" w:bidi="ar-SA"/>
        </w:rPr>
        <w:t>1.</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注册申请人</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应当</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按照《关于公布医疗器械注册申报资料要求和批准证明文件格式的公告》（国家药品监督管理局2021年第121号）、《关于公布体外诊断试剂注册申报资料要求和批准证明文件格式的公告》（国家药品监督管理局2021年第122号）等要求提交注册申报资料。</w:t>
      </w:r>
    </w:p>
    <w:p>
      <w:pPr>
        <w:pStyle w:val="4"/>
        <w:keepNext w:val="0"/>
        <w:keepLines w:val="0"/>
        <w:pageBreakBefore w:val="0"/>
        <w:kinsoku/>
        <w:wordWrap/>
        <w:overflowPunct/>
        <w:topLinePunct w:val="0"/>
        <w:autoSpaceDE/>
        <w:autoSpaceDN/>
        <w:bidi w:val="0"/>
        <w:adjustRightInd/>
        <w:snapToGrid/>
        <w:spacing w:after="0" w:line="560" w:lineRule="exact"/>
        <w:ind w:left="0" w:leftChars="0" w:right="0" w:rightChars="0" w:firstLine="640"/>
        <w:textAlignment w:val="auto"/>
        <w:rPr>
          <w:rFonts w:hint="default" w:ascii="Times New Roman" w:hAnsi="Times New Roman" w:eastAsia="仿宋_GB2312" w:cs="Times New Roman"/>
          <w:b w:val="0"/>
          <w:bCs w:val="0"/>
          <w:strike w:val="0"/>
          <w:dstrike w:val="0"/>
          <w:color w:val="auto"/>
          <w:kern w:val="2"/>
          <w:sz w:val="32"/>
          <w:szCs w:val="40"/>
          <w:u w:val="none"/>
          <w:lang w:val="en-US" w:eastAsia="zh-CN" w:bidi="ar-SA"/>
        </w:rPr>
      </w:pPr>
      <w:r>
        <w:rPr>
          <w:rFonts w:hint="eastAsia" w:ascii="Times New Roman" w:hAnsi="Times New Roman" w:eastAsia="仿宋_GB2312" w:cs="Times New Roman"/>
          <w:kern w:val="2"/>
          <w:sz w:val="32"/>
          <w:szCs w:val="40"/>
          <w:lang w:val="en-US" w:eastAsia="zh-CN" w:bidi="ar-SA"/>
        </w:rPr>
        <w:t>2</w:t>
      </w:r>
      <w:r>
        <w:rPr>
          <w:rFonts w:hint="default" w:ascii="Times New Roman" w:hAnsi="Times New Roman" w:eastAsia="仿宋_GB2312" w:cs="Times New Roman"/>
          <w:kern w:val="2"/>
          <w:sz w:val="32"/>
          <w:szCs w:val="40"/>
          <w:lang w:val="en-US" w:eastAsia="zh-CN" w:bidi="ar-SA"/>
        </w:rPr>
        <w:t>.</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注册申请人</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提交</w:t>
      </w:r>
      <w:r>
        <w:rPr>
          <w:rFonts w:hint="eastAsia" w:ascii="Times New Roman" w:hAnsi="Times New Roman" w:eastAsia="仿宋_GB2312" w:cs="Times New Roman"/>
          <w:kern w:val="2"/>
          <w:sz w:val="32"/>
          <w:szCs w:val="40"/>
          <w:lang w:val="en-US" w:eastAsia="zh-CN" w:bidi="ar-SA"/>
        </w:rPr>
        <w:t>的</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产品综述资料、非临床资料（不含检验报告）、临床评价资料，可提交已获证</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产品</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的原注册申报资料</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申请产品与已获证产品有差异的，需提供产品对比</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说明</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，逐一列出产品名称、结构组成、工作原理、预期用途、生产条件和工艺等方面的差异</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并作差异性评价</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w:t>
      </w:r>
    </w:p>
    <w:p>
      <w:pPr>
        <w:pStyle w:val="4"/>
        <w:keepNext w:val="0"/>
        <w:keepLines w:val="0"/>
        <w:pageBreakBefore w:val="0"/>
        <w:kinsoku/>
        <w:wordWrap/>
        <w:overflowPunct/>
        <w:topLinePunct w:val="0"/>
        <w:autoSpaceDE/>
        <w:autoSpaceDN/>
        <w:bidi w:val="0"/>
        <w:adjustRightInd/>
        <w:snapToGrid/>
        <w:spacing w:after="0" w:line="560" w:lineRule="exact"/>
        <w:ind w:left="0" w:leftChars="0" w:right="0" w:rightChars="0"/>
        <w:textAlignment w:val="auto"/>
        <w:rPr>
          <w:rFonts w:hint="default" w:ascii="Times New Roman" w:hAnsi="Times New Roman" w:eastAsia="仿宋_GB2312" w:cs="Times New Roman"/>
          <w:b w:val="0"/>
          <w:bCs w:val="0"/>
          <w:strike w:val="0"/>
          <w:dstrike w:val="0"/>
          <w:color w:val="auto"/>
          <w:kern w:val="2"/>
          <w:sz w:val="32"/>
          <w:szCs w:val="40"/>
          <w:u w:val="none"/>
          <w:lang w:val="en-US" w:eastAsia="zh-CN" w:bidi="ar-SA"/>
        </w:rPr>
      </w:pPr>
      <w:r>
        <w:rPr>
          <w:rFonts w:hint="eastAsia" w:ascii="Times New Roman" w:hAnsi="Times New Roman" w:eastAsia="仿宋_GB2312" w:cs="Times New Roman"/>
          <w:b w:val="0"/>
          <w:bCs w:val="0"/>
          <w:strike w:val="0"/>
          <w:dstrike w:val="0"/>
          <w:color w:val="auto"/>
          <w:kern w:val="2"/>
          <w:sz w:val="32"/>
          <w:szCs w:val="40"/>
          <w:u w:val="none"/>
          <w:lang w:val="en-US" w:eastAsia="zh-CN" w:bidi="ar-SA"/>
        </w:rPr>
        <w:t xml:space="preserve">    </w:t>
      </w:r>
      <w:r>
        <w:rPr>
          <w:rFonts w:hint="eastAsia" w:ascii="Times New Roman" w:hAnsi="Times New Roman" w:eastAsia="仿宋_GB2312" w:cs="Times New Roman"/>
          <w:kern w:val="2"/>
          <w:sz w:val="32"/>
          <w:szCs w:val="40"/>
          <w:lang w:val="en-US" w:eastAsia="zh-CN" w:bidi="ar-SA"/>
        </w:rPr>
        <w:t>3</w:t>
      </w:r>
      <w:r>
        <w:rPr>
          <w:rFonts w:hint="default" w:ascii="Times New Roman" w:hAnsi="Times New Roman" w:eastAsia="仿宋_GB2312" w:cs="Times New Roman"/>
          <w:kern w:val="2"/>
          <w:sz w:val="32"/>
          <w:szCs w:val="40"/>
          <w:lang w:val="en-US" w:eastAsia="zh-CN" w:bidi="ar-SA"/>
        </w:rPr>
        <w:t>.</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注册申请人应</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当</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提交注册申请人与原医疗器械注册人的股权关系</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证明文件</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，包括但不限于以下资料：</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有关</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说明</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相关协议、质量责任、股权证明等文件。</w:t>
      </w:r>
    </w:p>
    <w:p>
      <w:pPr>
        <w:pStyle w:val="4"/>
        <w:keepNext w:val="0"/>
        <w:keepLines w:val="0"/>
        <w:pageBreakBefore w:val="0"/>
        <w:kinsoku/>
        <w:wordWrap/>
        <w:overflowPunct/>
        <w:topLinePunct w:val="0"/>
        <w:autoSpaceDE/>
        <w:autoSpaceDN/>
        <w:bidi w:val="0"/>
        <w:adjustRightInd/>
        <w:snapToGrid/>
        <w:spacing w:after="0" w:line="560" w:lineRule="exact"/>
        <w:ind w:left="0" w:leftChars="0" w:right="0" w:rightChars="0"/>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Times New Roman"/>
          <w:b w:val="0"/>
          <w:bCs w:val="0"/>
          <w:strike w:val="0"/>
          <w:dstrike w:val="0"/>
          <w:color w:val="auto"/>
          <w:kern w:val="2"/>
          <w:sz w:val="32"/>
          <w:szCs w:val="40"/>
          <w:u w:val="none"/>
          <w:lang w:val="en-US" w:eastAsia="zh-CN" w:bidi="ar-SA"/>
        </w:rPr>
        <w:t xml:space="preserve">    </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4</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注册申请人应</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当提交</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产品</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的</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原</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注册证、所有变更批件、说明书、技术要求复印件及相关检验报告</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，原注册</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产品获批后强制性标准与注册指导原则</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修订</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发布</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后的</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执行情况等。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lang w:val="en-US" w:eastAsia="zh-CN"/>
        </w:rPr>
      </w:pP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5.</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注册申请人应</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当提交原</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产品注册人同意注册申报的声明、承诺和授权文件。声明同意注册申请人进行注册申报、</w:t>
      </w:r>
      <w:r>
        <w:rPr>
          <w:rFonts w:hint="default" w:ascii="Times New Roman" w:hAnsi="Times New Roman" w:eastAsia="仿宋_GB2312" w:cs="Times New Roman"/>
          <w:sz w:val="32"/>
          <w:szCs w:val="40"/>
          <w:lang w:val="en-US" w:eastAsia="zh-CN"/>
        </w:rPr>
        <w:t>产品</w:t>
      </w:r>
      <w:r>
        <w:rPr>
          <w:rFonts w:hint="eastAsia" w:ascii="Times New Roman" w:hAnsi="Times New Roman" w:eastAsia="仿宋_GB2312" w:cs="Times New Roman"/>
          <w:sz w:val="32"/>
          <w:szCs w:val="40"/>
          <w:lang w:val="en-US" w:eastAsia="zh-CN"/>
        </w:rPr>
        <w:t>不存在知识产权纠纷</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承诺提交的注册申报资料与在外省市注册时一致</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产品上市后未发生过严重质量事故、无未办结</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涉及产品安全有效的</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诉讼</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或案件。</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42" w:firstLineChars="200"/>
        <w:jc w:val="both"/>
        <w:textAlignment w:val="auto"/>
        <w:rPr>
          <w:rFonts w:hint="eastAsia" w:ascii="楷体_GB2312" w:hAnsi="楷体_GB2312" w:eastAsia="楷体_GB2312" w:cs="楷体_GB2312"/>
          <w:b/>
          <w:bCs/>
          <w:kern w:val="2"/>
          <w:sz w:val="32"/>
          <w:szCs w:val="40"/>
          <w:lang w:val="en-US" w:eastAsia="zh-CN" w:bidi="ar-SA"/>
        </w:rPr>
      </w:pPr>
      <w:r>
        <w:rPr>
          <w:rFonts w:hint="eastAsia" w:ascii="楷体_GB2312" w:hAnsi="楷体_GB2312" w:eastAsia="楷体_GB2312" w:cs="楷体_GB2312"/>
          <w:b/>
          <w:bCs/>
          <w:kern w:val="2"/>
          <w:sz w:val="32"/>
          <w:szCs w:val="40"/>
          <w:lang w:val="en-US" w:eastAsia="zh-CN" w:bidi="ar-SA"/>
        </w:rPr>
        <w:t>（二）受理前预审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trike w:val="0"/>
          <w:dstrike w:val="0"/>
          <w:color w:val="auto"/>
          <w:kern w:val="2"/>
          <w:sz w:val="32"/>
          <w:szCs w:val="40"/>
          <w:highlight w:val="none"/>
          <w:u w:val="none"/>
          <w:lang w:val="en-US" w:eastAsia="zh-CN" w:bidi="ar-SA"/>
        </w:rPr>
      </w:pPr>
      <w:r>
        <w:rPr>
          <w:rFonts w:hint="default" w:ascii="Times New Roman" w:hAnsi="Times New Roman" w:eastAsia="仿宋_GB2312" w:cs="Times New Roman"/>
          <w:b w:val="0"/>
          <w:bCs w:val="0"/>
          <w:strike w:val="0"/>
          <w:dstrike w:val="0"/>
          <w:color w:val="auto"/>
          <w:kern w:val="2"/>
          <w:sz w:val="32"/>
          <w:szCs w:val="40"/>
          <w:u w:val="none"/>
          <w:lang w:val="en-US" w:eastAsia="zh-CN" w:bidi="ar-SA"/>
        </w:rPr>
        <w:t>省局</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开展受理</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前预审，注册申请人</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可通过线上线下的方式向工作专班提交</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申</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报</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资料</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，专班</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对资料的完整性</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、规范性</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提出合理化建议</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Chars="200" w:right="0" w:rightChars="0" w:firstLine="321" w:firstLineChars="100"/>
        <w:jc w:val="both"/>
        <w:textAlignment w:val="auto"/>
        <w:rPr>
          <w:rFonts w:hint="default" w:ascii="楷体_GB2312" w:hAnsi="楷体_GB2312" w:eastAsia="楷体_GB2312" w:cs="楷体_GB2312"/>
          <w:b/>
          <w:bCs/>
          <w:kern w:val="2"/>
          <w:sz w:val="32"/>
          <w:szCs w:val="40"/>
          <w:lang w:val="en-US" w:eastAsia="zh-CN" w:bidi="ar-SA"/>
        </w:rPr>
      </w:pPr>
      <w:r>
        <w:rPr>
          <w:rFonts w:hint="eastAsia" w:ascii="楷体_GB2312" w:hAnsi="楷体_GB2312" w:eastAsia="楷体_GB2312" w:cs="楷体_GB2312"/>
          <w:b/>
          <w:bCs/>
          <w:kern w:val="2"/>
          <w:sz w:val="32"/>
          <w:szCs w:val="40"/>
          <w:lang w:val="en-US" w:eastAsia="zh-CN" w:bidi="ar-SA"/>
        </w:rPr>
        <w:t>（三）技术审评及</w:t>
      </w:r>
      <w:r>
        <w:rPr>
          <w:rFonts w:hint="default" w:ascii="楷体_GB2312" w:hAnsi="楷体_GB2312" w:eastAsia="楷体_GB2312" w:cs="楷体_GB2312"/>
          <w:b/>
          <w:bCs/>
          <w:kern w:val="2"/>
          <w:sz w:val="32"/>
          <w:szCs w:val="40"/>
          <w:lang w:val="en-US" w:eastAsia="zh-CN" w:bidi="ar-SA"/>
        </w:rPr>
        <w:t>注册核查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1.</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对产品分类明确</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注册申报时提交</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开展临床试验</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的临床评价</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资料，或其他</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支持医疗器械在其适用范围下的安全性与有效性的临床评价</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资料</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，技术审评时可仅对产品检验报告采纳强制性标准的完整性、体外诊断试剂类产品适用的国家标准品检测情况进行审查，技术审评时限不超过5个工作日</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对产品分类不明确或临床评价证据不充分的，注册申请人补充资料时间，不计入审评时限。需聘请外部专家参与审评的，技术审评</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按照《关于优化贵州省第二类医疗器械审评审批的若干措施》规定时限执行。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2.在技术审评的过程中同步开展注册核查，省局</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检查中心在收到注册质量体系核查</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申请</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后5个工作日内</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完成</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核查</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注册核查重点关注注册申请人的体系符合性以及样品生产的真实性</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、追溯性，</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重点关注变更生产过程可能带来的体系变化是否会产生新的风险，是否会引起注册事项的变更。注册申请人因不可抗力因素导致无法按期接受现场检查，应向</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省局检查</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中心提出延迟检查书面申请，阐明原因和拟接受检查的时间。延迟检查、整改及复查时间，不计入工作时限。</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3.</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注册核查可以与生产许可现场核查联合开展</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。省局检查中心在</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注册申请人</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完成注册资料补正及注册核查整改后出具综合评定报告</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Chars="200" w:right="0" w:rightChars="0" w:firstLine="321" w:firstLineChars="100"/>
        <w:jc w:val="both"/>
        <w:textAlignment w:val="auto"/>
        <w:rPr>
          <w:rFonts w:hint="default" w:ascii="楷体_GB2312" w:hAnsi="楷体_GB2312" w:eastAsia="楷体_GB2312" w:cs="楷体_GB2312"/>
          <w:b/>
          <w:bCs/>
          <w:color w:val="auto"/>
          <w:kern w:val="2"/>
          <w:sz w:val="32"/>
          <w:szCs w:val="40"/>
          <w:lang w:val="en-US" w:eastAsia="zh-CN" w:bidi="ar-SA"/>
        </w:rPr>
      </w:pPr>
      <w:r>
        <w:rPr>
          <w:rFonts w:hint="eastAsia" w:ascii="楷体_GB2312" w:hAnsi="楷体_GB2312" w:eastAsia="楷体_GB2312" w:cs="楷体_GB2312"/>
          <w:b/>
          <w:bCs/>
          <w:color w:val="auto"/>
          <w:kern w:val="2"/>
          <w:sz w:val="32"/>
          <w:szCs w:val="40"/>
          <w:lang w:val="en-US" w:eastAsia="zh-CN" w:bidi="ar-SA"/>
        </w:rPr>
        <w:t>（四）审批发证</w:t>
      </w:r>
    </w:p>
    <w:p>
      <w:pPr>
        <w:spacing w:line="560" w:lineRule="exact"/>
        <w:ind w:firstLine="640" w:firstLineChars="200"/>
        <w:rPr>
          <w:rFonts w:hint="default"/>
          <w:lang w:val="en-US" w:eastAsia="zh-CN"/>
        </w:rPr>
      </w:pPr>
      <w:r>
        <w:rPr>
          <w:rFonts w:hint="eastAsia" w:eastAsia="仿宋_GB2312"/>
          <w:color w:val="auto"/>
          <w:kern w:val="0"/>
          <w:sz w:val="32"/>
          <w:szCs w:val="32"/>
          <w:lang w:val="en-US" w:eastAsia="zh-CN"/>
        </w:rPr>
        <w:t>省局</w:t>
      </w:r>
      <w:r>
        <w:rPr>
          <w:rFonts w:eastAsia="仿宋_GB2312"/>
          <w:color w:val="auto"/>
          <w:kern w:val="0"/>
          <w:sz w:val="32"/>
          <w:szCs w:val="32"/>
        </w:rPr>
        <w:t>根据技术审评结论</w:t>
      </w:r>
      <w:r>
        <w:rPr>
          <w:rFonts w:hint="eastAsia" w:eastAsia="仿宋_GB2312"/>
          <w:color w:val="auto"/>
          <w:kern w:val="0"/>
          <w:sz w:val="32"/>
          <w:szCs w:val="32"/>
          <w:lang w:val="en-US" w:eastAsia="zh-CN"/>
        </w:rPr>
        <w:t>在</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2</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个工作日内</w:t>
      </w:r>
      <w:r>
        <w:rPr>
          <w:rFonts w:eastAsia="仿宋_GB2312"/>
          <w:color w:val="auto"/>
          <w:kern w:val="0"/>
          <w:sz w:val="32"/>
          <w:szCs w:val="32"/>
        </w:rPr>
        <w:t>作出</w:t>
      </w:r>
      <w:r>
        <w:rPr>
          <w:rFonts w:hint="eastAsia" w:eastAsia="仿宋_GB2312"/>
          <w:kern w:val="0"/>
          <w:sz w:val="32"/>
          <w:szCs w:val="32"/>
          <w:lang w:eastAsia="zh-CN"/>
        </w:rPr>
        <w:t>是否</w:t>
      </w:r>
      <w:r>
        <w:rPr>
          <w:rFonts w:eastAsia="仿宋_GB2312"/>
          <w:kern w:val="0"/>
          <w:sz w:val="32"/>
          <w:szCs w:val="32"/>
        </w:rPr>
        <w:t>批准的决定</w:t>
      </w:r>
      <w:r>
        <w:rPr>
          <w:rFonts w:hint="eastAsia" w:eastAsia="仿宋_GB2312"/>
          <w:kern w:val="0"/>
          <w:sz w:val="32"/>
          <w:szCs w:val="32"/>
          <w:lang w:eastAsia="zh-CN"/>
        </w:rPr>
        <w:t>，同意批准的，发给医疗器械注册证</w:t>
      </w:r>
      <w:r>
        <w:rPr>
          <w:rFonts w:eastAsia="仿宋_GB2312"/>
          <w:kern w:val="0"/>
          <w:sz w:val="32"/>
          <w:szCs w:val="32"/>
        </w:rPr>
        <w:t>。</w:t>
      </w: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1"/>
        <w:rPr>
          <w:rFonts w:hint="default" w:ascii="黑体" w:hAnsi="黑体" w:eastAsia="黑体" w:cs="黑体"/>
          <w:i w:val="0"/>
          <w:iCs w:val="0"/>
          <w:caps w:val="0"/>
          <w:color w:val="auto"/>
          <w:spacing w:val="0"/>
          <w:kern w:val="0"/>
          <w:sz w:val="32"/>
          <w:szCs w:val="40"/>
          <w:shd w:val="clear" w:color="auto" w:fill="auto"/>
          <w:lang w:val="en-US" w:eastAsia="zh-CN" w:bidi="ar"/>
        </w:rPr>
      </w:pPr>
      <w:r>
        <w:rPr>
          <w:rFonts w:hint="default" w:ascii="黑体" w:hAnsi="黑体" w:eastAsia="黑体" w:cs="黑体"/>
          <w:i w:val="0"/>
          <w:iCs w:val="0"/>
          <w:caps w:val="0"/>
          <w:color w:val="auto"/>
          <w:spacing w:val="0"/>
          <w:kern w:val="0"/>
          <w:sz w:val="32"/>
          <w:szCs w:val="40"/>
          <w:shd w:val="clear" w:color="auto" w:fill="auto"/>
          <w:lang w:val="en-US" w:eastAsia="zh-CN" w:bidi="ar"/>
        </w:rPr>
        <w:t>其它事项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（一）</w:t>
      </w:r>
      <w:r>
        <w:rPr>
          <w:rFonts w:hint="eastAsia" w:ascii="Times New Roman" w:hAnsi="Times New Roman" w:eastAsia="仿宋_GB2312" w:cs="Times New Roman"/>
          <w:sz w:val="32"/>
          <w:szCs w:val="40"/>
          <w:lang w:val="en-US" w:eastAsia="zh-CN"/>
        </w:rPr>
        <w:t>注册申请人申请产品首次注册时，应当同时满足本规程使用范围和受理条件所有要求。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（二）省内医疗器械注册人，申请将已获证产品转移到省内</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其他</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企业，符合</w:t>
      </w:r>
      <w:r>
        <w:rPr>
          <w:rFonts w:hint="default" w:ascii="Times New Roman" w:hAnsi="Times New Roman" w:eastAsia="仿宋_GB2312" w:cs="Times New Roman"/>
          <w:b w:val="0"/>
          <w:bCs w:val="0"/>
          <w:strike w:val="0"/>
          <w:dstrike w:val="0"/>
          <w:color w:val="auto"/>
          <w:kern w:val="2"/>
          <w:sz w:val="32"/>
          <w:szCs w:val="40"/>
          <w:u w:val="none"/>
          <w:lang w:val="en-US" w:eastAsia="zh-CN" w:bidi="ar-SA"/>
        </w:rPr>
        <w:t>本</w:t>
      </w:r>
      <w:r>
        <w:rPr>
          <w:rFonts w:hint="eastAsia" w:ascii="Times New Roman" w:hAnsi="Times New Roman" w:eastAsia="仿宋_GB2312" w:cs="Times New Roman"/>
          <w:b w:val="0"/>
          <w:bCs w:val="0"/>
          <w:strike w:val="0"/>
          <w:dstrike w:val="0"/>
          <w:color w:val="auto"/>
          <w:kern w:val="2"/>
          <w:sz w:val="32"/>
          <w:szCs w:val="40"/>
          <w:u w:val="none"/>
          <w:lang w:val="en-US" w:eastAsia="zh-CN" w:bidi="ar-SA"/>
        </w:rPr>
        <w:t>规程适用范围和受理条件</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情形的，参照本</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规程</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办理。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（三）境外医疗器械注册人通过其独资、合资方式设立的外商投资企业，将已获进口第二类医疗器械注册证产品转入我省注册，产品不发生实质性变化，参照本</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规程</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办理。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Times New Roman"/>
          <w:sz w:val="32"/>
          <w:szCs w:val="40"/>
          <w:lang w:val="en-US" w:eastAsia="zh-CN"/>
        </w:rPr>
        <w:t>（四）</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涉及产品管理类别调整的，以国家药监局最新发布的有关分类文件</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及分类界定结果</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为准。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（五）本规程自发布之日起试行，结合</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国家药监局</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各项文件规定和产业大招商情况适时调整。</w:t>
      </w:r>
    </w:p>
    <w:sectPr>
      <w:pgSz w:w="11906" w:h="16838"/>
      <w:pgMar w:top="1531" w:right="1531" w:bottom="153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00000" w:csb1="00000000"/>
  </w:font>
  <w:font w:name="方正书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C4E6A"/>
    <w:multiLevelType w:val="singleLevel"/>
    <w:tmpl w:val="333C4E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MzIwZjhjOGU4YjNhMjk2YTA2YzFlYzZkNmI0ZjEifQ=="/>
  </w:docVars>
  <w:rsids>
    <w:rsidRoot w:val="00000000"/>
    <w:rsid w:val="0AC46556"/>
    <w:rsid w:val="133E45C3"/>
    <w:rsid w:val="16E55FA9"/>
    <w:rsid w:val="18665CC1"/>
    <w:rsid w:val="19BA52CC"/>
    <w:rsid w:val="1A051828"/>
    <w:rsid w:val="1DA979DA"/>
    <w:rsid w:val="1EF35020"/>
    <w:rsid w:val="24130689"/>
    <w:rsid w:val="27547588"/>
    <w:rsid w:val="2EA874A9"/>
    <w:rsid w:val="2FF57C4B"/>
    <w:rsid w:val="3A026104"/>
    <w:rsid w:val="3E4C0AE8"/>
    <w:rsid w:val="3F6D2B87"/>
    <w:rsid w:val="44692F82"/>
    <w:rsid w:val="47F17A74"/>
    <w:rsid w:val="47F70192"/>
    <w:rsid w:val="4B1D3498"/>
    <w:rsid w:val="4C6D43DF"/>
    <w:rsid w:val="4D483694"/>
    <w:rsid w:val="520058F5"/>
    <w:rsid w:val="5DDB3807"/>
    <w:rsid w:val="5F601789"/>
    <w:rsid w:val="64714F13"/>
    <w:rsid w:val="68472138"/>
    <w:rsid w:val="68F933F6"/>
    <w:rsid w:val="6A6D02E0"/>
    <w:rsid w:val="6DB36012"/>
    <w:rsid w:val="6F1F8A09"/>
    <w:rsid w:val="6F48660A"/>
    <w:rsid w:val="70501E30"/>
    <w:rsid w:val="750A22D9"/>
    <w:rsid w:val="79CC55B4"/>
    <w:rsid w:val="7A3647C8"/>
    <w:rsid w:val="7CC65CF3"/>
    <w:rsid w:val="7CFB46A3"/>
    <w:rsid w:val="7FDA1C31"/>
    <w:rsid w:val="7FFFD2D5"/>
    <w:rsid w:val="9AB7A2CC"/>
    <w:rsid w:val="FFFFB36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unhideWhenUsed/>
    <w:qFormat/>
    <w:uiPriority w:val="0"/>
    <w:pPr>
      <w:spacing w:before="100" w:beforeLines="0" w:beforeAutospacing="1" w:after="100" w:afterLines="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ascii="Calibri" w:hAnsi="Calibri" w:eastAsia="宋体"/>
      <w:sz w:val="21"/>
    </w:rPr>
  </w:style>
  <w:style w:type="paragraph" w:styleId="4">
    <w:name w:val="Body Text"/>
    <w:basedOn w:val="1"/>
    <w:qFormat/>
    <w:uiPriority w:val="0"/>
    <w:pPr>
      <w:widowControl/>
      <w:spacing w:after="120"/>
      <w:jc w:val="left"/>
    </w:pPr>
    <w:rPr>
      <w:kern w:val="0"/>
      <w:sz w:val="24"/>
      <w:szCs w:val="24"/>
      <w:lang w:eastAsia="en-US"/>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9">
    <w:name w:val="UserStyle_0"/>
    <w:basedOn w:val="1"/>
    <w:qFormat/>
    <w:uiPriority w:val="0"/>
    <w:pPr>
      <w:suppressAutoHyphens/>
      <w:bidi w:val="0"/>
      <w:ind w:firstLine="200" w:firstLineChars="200"/>
      <w:jc w:val="both"/>
      <w:textAlignment w:val="baseline"/>
    </w:pPr>
    <w:rPr>
      <w:rFonts w:ascii="Calibri" w:hAnsi="Calibri" w:eastAsia="宋体" w:cs="Times New Roman"/>
      <w:color w:val="auto"/>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Administrator</cp:lastModifiedBy>
  <cp:lastPrinted>2023-12-04T14:06:00Z</cp:lastPrinted>
  <dcterms:modified xsi:type="dcterms:W3CDTF">2024-03-01T06:27:22Z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0424FFACFE2F4929A1B1466F6C136289_12</vt:lpwstr>
  </property>
</Properties>
</file>