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02B" w:rsidRDefault="000A302B" w:rsidP="000A302B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A302B" w:rsidRDefault="000A302B" w:rsidP="000A302B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:rsidR="000A302B" w:rsidRDefault="000A302B" w:rsidP="000A302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复方感冒灵制剂非处方药说明书修订要求</w:t>
      </w:r>
    </w:p>
    <w:p w:rsidR="000A302B" w:rsidRDefault="000A302B" w:rsidP="000A302B">
      <w:pPr>
        <w:spacing w:line="560" w:lineRule="exact"/>
        <w:ind w:firstLineChars="200" w:firstLine="880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:rsidR="000A302B" w:rsidRDefault="000A302B" w:rsidP="000A302B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</w:t>
      </w:r>
      <w:r>
        <w:rPr>
          <w:rFonts w:ascii="黑体" w:eastAsia="黑体" w:hAnsi="黑体"/>
          <w:color w:val="000000"/>
          <w:sz w:val="32"/>
          <w:szCs w:val="32"/>
        </w:rPr>
        <w:t>、【警示语】项</w:t>
      </w:r>
      <w:r>
        <w:rPr>
          <w:rFonts w:ascii="黑体" w:eastAsia="黑体" w:hAnsi="黑体" w:hint="eastAsia"/>
          <w:color w:val="000000"/>
          <w:sz w:val="32"/>
          <w:szCs w:val="32"/>
        </w:rPr>
        <w:t>修改为</w:t>
      </w:r>
      <w:r>
        <w:rPr>
          <w:rFonts w:ascii="黑体" w:eastAsia="黑体" w:hAnsi="黑体"/>
          <w:color w:val="000000"/>
          <w:sz w:val="32"/>
          <w:szCs w:val="32"/>
        </w:rPr>
        <w:t>：</w:t>
      </w:r>
    </w:p>
    <w:p w:rsidR="000A302B" w:rsidRDefault="000A302B" w:rsidP="000A302B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本品含对乙酰氨基酚、马来酸氯苯那敏、咖啡因。</w:t>
      </w:r>
    </w:p>
    <w:p w:rsidR="000A302B" w:rsidRDefault="000A302B" w:rsidP="000A302B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服用本品期间不得饮酒或含有酒精的饮料；不能同时服用与本品成份相似的其他抗感冒药；服药期间不得驾驶机、车、船、从事高空作业、机械作业及操作精密仪器。</w:t>
      </w:r>
    </w:p>
    <w:p w:rsidR="000A302B" w:rsidRDefault="000A302B" w:rsidP="000A302B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与其他解热镇痛药并用有增加肾毒性的危险。</w:t>
      </w:r>
    </w:p>
    <w:p w:rsidR="000A302B" w:rsidRDefault="000A302B" w:rsidP="000A302B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</w:t>
      </w:r>
      <w:r>
        <w:rPr>
          <w:rFonts w:ascii="黑体" w:eastAsia="黑体" w:hAnsi="黑体"/>
          <w:color w:val="000000"/>
          <w:sz w:val="32"/>
          <w:szCs w:val="32"/>
        </w:rPr>
        <w:t>、【禁忌】项应</w:t>
      </w:r>
      <w:r>
        <w:rPr>
          <w:rFonts w:ascii="黑体" w:eastAsia="黑体" w:hAnsi="黑体" w:hint="eastAsia"/>
          <w:color w:val="000000"/>
          <w:sz w:val="32"/>
          <w:szCs w:val="32"/>
        </w:rPr>
        <w:t>包括</w:t>
      </w:r>
      <w:r>
        <w:rPr>
          <w:rFonts w:ascii="黑体" w:eastAsia="黑体" w:hAnsi="黑体"/>
          <w:color w:val="000000"/>
          <w:sz w:val="32"/>
          <w:szCs w:val="32"/>
        </w:rPr>
        <w:t>：</w:t>
      </w:r>
      <w:r>
        <w:rPr>
          <w:rFonts w:ascii="黑体" w:eastAsia="黑体" w:hAnsi="黑体" w:hint="eastAsia"/>
          <w:color w:val="000000"/>
          <w:sz w:val="32"/>
          <w:szCs w:val="32"/>
        </w:rPr>
        <w:t xml:space="preserve">   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eastAsia="仿宋_GB2312" w:hint="eastAsia"/>
          <w:color w:val="000000"/>
          <w:sz w:val="32"/>
          <w:szCs w:val="32"/>
        </w:rPr>
        <w:t>严重肝肾功能不全者禁用。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eastAsia="仿宋_GB2312" w:hint="eastAsia"/>
          <w:color w:val="000000"/>
          <w:sz w:val="32"/>
          <w:szCs w:val="32"/>
        </w:rPr>
        <w:t>对本品及所含成份过敏者禁用。</w:t>
      </w:r>
    </w:p>
    <w:p w:rsidR="000A302B" w:rsidRDefault="000A302B" w:rsidP="000A302B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</w:t>
      </w:r>
      <w:r>
        <w:rPr>
          <w:rFonts w:ascii="黑体" w:eastAsia="黑体" w:hAnsi="黑体"/>
          <w:color w:val="000000"/>
          <w:sz w:val="32"/>
          <w:szCs w:val="32"/>
        </w:rPr>
        <w:t>、【不良反应】项应增加：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监测数据显示，复方感冒灵制剂可见以下不良反应报告：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各类神经系统疾病：嗜睡、困倦、头晕、头痛等。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皮肤及皮下组织类疾病：皮疹、瘙痒、潮红、剥脱性皮炎、大疱性表皮松解症等。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全身性疾病及给药部位各种反应：乏力、虚弱、胸部不适、发热等。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胃肠系统疾病：恶心、呕吐、口干、腹泻、腹痛、腹胀、腹部不适等。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肝胆系统疾病：肝功能异常、肝损伤、肝生化指标异常等。长期大量用药会导致肝功能异常；过量使用对乙酰氨基</w:t>
      </w:r>
      <w:r>
        <w:rPr>
          <w:rFonts w:eastAsia="仿宋_GB2312" w:hint="eastAsia"/>
          <w:color w:val="000000"/>
          <w:sz w:val="32"/>
          <w:szCs w:val="32"/>
        </w:rPr>
        <w:lastRenderedPageBreak/>
        <w:t>酚可引起严重肝损伤。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肾脏及泌尿系统：排尿困难、尿频、尿潴留、血尿症、急性肾损伤等。长期大量用药会导致肾功能异常。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其他：心悸、呼吸困难、白细胞减少、溶血性贫血、中性粒细胞减少、过敏反应、过敏性休克等。</w:t>
      </w:r>
    </w:p>
    <w:p w:rsidR="000A302B" w:rsidRDefault="000A302B" w:rsidP="000A302B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</w:t>
      </w:r>
      <w:r>
        <w:rPr>
          <w:rFonts w:ascii="黑体" w:eastAsia="黑体" w:hAnsi="黑体"/>
          <w:color w:val="000000"/>
          <w:sz w:val="32"/>
          <w:szCs w:val="32"/>
        </w:rPr>
        <w:t>、【</w:t>
      </w:r>
      <w:r>
        <w:rPr>
          <w:rFonts w:ascii="黑体" w:eastAsia="黑体" w:hAnsi="黑体" w:hint="eastAsia"/>
          <w:color w:val="000000"/>
          <w:sz w:val="32"/>
          <w:szCs w:val="32"/>
        </w:rPr>
        <w:t>注意事项</w:t>
      </w:r>
      <w:r>
        <w:rPr>
          <w:rFonts w:ascii="黑体" w:eastAsia="黑体" w:hAnsi="黑体"/>
          <w:color w:val="000000"/>
          <w:sz w:val="32"/>
          <w:szCs w:val="32"/>
        </w:rPr>
        <w:t>】项应</w:t>
      </w:r>
      <w:r>
        <w:rPr>
          <w:rFonts w:ascii="黑体" w:eastAsia="黑体" w:hAnsi="黑体" w:hint="eastAsia"/>
          <w:color w:val="000000"/>
          <w:sz w:val="32"/>
          <w:szCs w:val="32"/>
        </w:rPr>
        <w:t>包括</w:t>
      </w:r>
      <w:r>
        <w:rPr>
          <w:rFonts w:ascii="黑体" w:eastAsia="黑体" w:hAnsi="黑体"/>
          <w:color w:val="000000"/>
          <w:sz w:val="32"/>
          <w:szCs w:val="32"/>
        </w:rPr>
        <w:t>：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eastAsia="仿宋_GB2312" w:hint="eastAsia"/>
          <w:color w:val="000000"/>
          <w:sz w:val="32"/>
          <w:szCs w:val="32"/>
        </w:rPr>
        <w:t>忌烟、酒及辛辣、生冷、油腻食物。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eastAsia="仿宋_GB2312" w:hint="eastAsia"/>
          <w:color w:val="000000"/>
          <w:sz w:val="32"/>
          <w:szCs w:val="32"/>
        </w:rPr>
        <w:t>不宜在服药期间同时服用滋补性中药。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eastAsia="仿宋_GB2312" w:hint="eastAsia"/>
          <w:color w:val="000000"/>
          <w:sz w:val="32"/>
          <w:szCs w:val="32"/>
        </w:rPr>
        <w:t>脾胃虚寒者慎用。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</w:t>
      </w:r>
      <w:r>
        <w:rPr>
          <w:rFonts w:eastAsia="仿宋_GB2312" w:hint="eastAsia"/>
          <w:color w:val="000000"/>
          <w:sz w:val="32"/>
          <w:szCs w:val="32"/>
        </w:rPr>
        <w:t>风寒感冒者不适用，其表现为恶寒重、发热轻、无汗、鼻塞、流清涕、喉痒咳嗽等。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5.</w:t>
      </w:r>
      <w:r>
        <w:rPr>
          <w:rFonts w:eastAsia="仿宋_GB2312" w:hint="eastAsia"/>
          <w:color w:val="000000"/>
          <w:sz w:val="32"/>
          <w:szCs w:val="32"/>
        </w:rPr>
        <w:t>当出现皮疹或过敏反应的其他征象时，如用药后出现瘙痒、皮疹，尤其出现口腔、眼、外生殖器红斑、糜烂等，应当立即停药并就医。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6.</w:t>
      </w:r>
      <w:r>
        <w:rPr>
          <w:rFonts w:eastAsia="仿宋_GB2312" w:hint="eastAsia"/>
          <w:color w:val="000000"/>
          <w:sz w:val="32"/>
          <w:szCs w:val="32"/>
        </w:rPr>
        <w:t>因过量使用对乙酰氨基酚有引起严重肝损伤的报道。用药期间如发现肝生化指标异常或出现全身乏力、食欲不振、厌油、恶心、上腹胀痛、尿黄、目黄、皮肤黄染等可能与肝损伤有关的临床表现时，应当立即停药并就医。建议对乙酰氨基酚口服一日最大量不超过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克。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7.</w:t>
      </w:r>
      <w:r>
        <w:rPr>
          <w:rFonts w:eastAsia="仿宋_GB2312" w:hint="eastAsia"/>
          <w:color w:val="000000"/>
          <w:sz w:val="32"/>
          <w:szCs w:val="32"/>
        </w:rPr>
        <w:t>本品含对乙酰氨基酚、马来酸氯苯那敏、咖啡因。服用本品期间不得饮酒或含有酒精的饮料；不能同时服用与本品成份相似的其他抗感冒药；服药期间不得驾驶机、车、船、从事高空作业、机械作业及操作精密仪器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8.</w:t>
      </w:r>
      <w:r>
        <w:rPr>
          <w:rFonts w:eastAsia="仿宋_GB2312" w:hint="eastAsia"/>
          <w:color w:val="000000"/>
          <w:sz w:val="32"/>
          <w:szCs w:val="32"/>
        </w:rPr>
        <w:t>肝、肾功能不全者慎用，上消化道溃疡、膀胱颈梗阻、</w:t>
      </w:r>
      <w:r>
        <w:rPr>
          <w:rFonts w:eastAsia="仿宋_GB2312" w:hint="eastAsia"/>
          <w:color w:val="000000"/>
          <w:sz w:val="32"/>
          <w:szCs w:val="32"/>
        </w:rPr>
        <w:lastRenderedPageBreak/>
        <w:t>甲状腺功能亢进、青光眼、高血压和前列腺肥大者慎用，孕妇及哺乳期妇女慎用，且应当在医生指导下服用。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9.</w:t>
      </w:r>
      <w:r>
        <w:rPr>
          <w:rFonts w:eastAsia="仿宋_GB2312" w:hint="eastAsia"/>
          <w:color w:val="000000"/>
          <w:sz w:val="32"/>
          <w:szCs w:val="32"/>
        </w:rPr>
        <w:t>运动员慎用。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10.</w:t>
      </w:r>
      <w:r>
        <w:rPr>
          <w:rFonts w:eastAsia="仿宋_GB2312" w:hint="eastAsia"/>
          <w:color w:val="000000"/>
          <w:sz w:val="32"/>
          <w:szCs w:val="32"/>
        </w:rPr>
        <w:t>心脏病、肝病、糖尿病、肾病等患者应当在医师指导下服用。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11.</w:t>
      </w:r>
      <w:r>
        <w:rPr>
          <w:rFonts w:eastAsia="仿宋_GB2312" w:hint="eastAsia"/>
          <w:color w:val="000000"/>
          <w:sz w:val="32"/>
          <w:szCs w:val="32"/>
        </w:rPr>
        <w:t>严格按用法用量服用，儿童、年老体弱者应当在医师指导下服用。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.</w:t>
      </w:r>
      <w:r>
        <w:rPr>
          <w:rFonts w:eastAsia="仿宋_GB2312" w:hint="eastAsia"/>
          <w:color w:val="000000"/>
          <w:sz w:val="32"/>
          <w:szCs w:val="32"/>
        </w:rPr>
        <w:t>服药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天症状无缓解，应当去医院就诊。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13</w:t>
      </w:r>
      <w:r>
        <w:rPr>
          <w:rFonts w:eastAsia="仿宋_GB2312" w:hint="eastAsia"/>
          <w:color w:val="000000"/>
          <w:sz w:val="32"/>
          <w:szCs w:val="32"/>
        </w:rPr>
        <w:t>.</w:t>
      </w:r>
      <w:r>
        <w:rPr>
          <w:rFonts w:eastAsia="仿宋_GB2312" w:hint="eastAsia"/>
          <w:color w:val="000000"/>
          <w:sz w:val="32"/>
          <w:szCs w:val="32"/>
        </w:rPr>
        <w:t>过敏体质者慎用。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14</w:t>
      </w:r>
      <w:r>
        <w:rPr>
          <w:rFonts w:eastAsia="仿宋_GB2312" w:hint="eastAsia"/>
          <w:color w:val="000000"/>
          <w:sz w:val="32"/>
          <w:szCs w:val="32"/>
        </w:rPr>
        <w:t>.</w:t>
      </w:r>
      <w:r>
        <w:rPr>
          <w:rFonts w:eastAsia="仿宋_GB2312" w:hint="eastAsia"/>
          <w:color w:val="000000"/>
          <w:sz w:val="32"/>
          <w:szCs w:val="32"/>
        </w:rPr>
        <w:t>本品性状发生改变时禁止使用。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15</w:t>
      </w:r>
      <w:r>
        <w:rPr>
          <w:rFonts w:eastAsia="仿宋_GB2312" w:hint="eastAsia"/>
          <w:color w:val="000000"/>
          <w:sz w:val="32"/>
          <w:szCs w:val="32"/>
        </w:rPr>
        <w:t>.</w:t>
      </w:r>
      <w:r>
        <w:rPr>
          <w:rFonts w:eastAsia="仿宋_GB2312" w:hint="eastAsia"/>
          <w:color w:val="000000"/>
          <w:sz w:val="32"/>
          <w:szCs w:val="32"/>
        </w:rPr>
        <w:t>儿童必须在成人监护下使用。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16</w:t>
      </w:r>
      <w:r>
        <w:rPr>
          <w:rFonts w:eastAsia="仿宋_GB2312" w:hint="eastAsia"/>
          <w:color w:val="000000"/>
          <w:sz w:val="32"/>
          <w:szCs w:val="32"/>
        </w:rPr>
        <w:t>.</w:t>
      </w:r>
      <w:r>
        <w:rPr>
          <w:rFonts w:eastAsia="仿宋_GB2312" w:hint="eastAsia"/>
          <w:color w:val="000000"/>
          <w:sz w:val="32"/>
          <w:szCs w:val="32"/>
        </w:rPr>
        <w:t>请将本品放在儿童不能接触的地方。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17</w:t>
      </w:r>
      <w:r>
        <w:rPr>
          <w:rFonts w:eastAsia="仿宋_GB2312" w:hint="eastAsia"/>
          <w:color w:val="000000"/>
          <w:sz w:val="32"/>
          <w:szCs w:val="32"/>
        </w:rPr>
        <w:t>.</w:t>
      </w:r>
      <w:r>
        <w:rPr>
          <w:rFonts w:eastAsia="仿宋_GB2312" w:hint="eastAsia"/>
          <w:color w:val="000000"/>
          <w:sz w:val="32"/>
          <w:szCs w:val="32"/>
        </w:rPr>
        <w:t>如正在使用其他药品，使用本品前请咨询医师或者药师。</w:t>
      </w:r>
    </w:p>
    <w:p w:rsidR="000A302B" w:rsidRDefault="000A302B" w:rsidP="000A302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（注：如原批准说明书的安全性内容较本修订要求内容更全面或更严格的，应当保留原批准内容。说明书其他内容如与上述修订要求不一致的，应当一并进行修订。）</w:t>
      </w:r>
    </w:p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2B"/>
    <w:rsid w:val="000A302B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1D2C0-3AE7-42F1-8E6D-8BB943A2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0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2024-07-02T07:34:00Z</dcterms:created>
  <dcterms:modified xsi:type="dcterms:W3CDTF">2024-07-02T07:34:00Z</dcterms:modified>
</cp:coreProperties>
</file>