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A19E4">
      <w:pPr>
        <w:rPr>
          <w:rFonts w:hint="eastAsia" w:ascii="黑体" w:hAnsi="华文仿宋" w:eastAsia="黑体"/>
          <w:sz w:val="32"/>
          <w:szCs w:val="32"/>
        </w:rPr>
      </w:pPr>
      <w:r>
        <w:rPr>
          <w:rFonts w:hint="eastAsia" w:ascii="黑体" w:hAnsi="华文仿宋" w:eastAsia="黑体"/>
          <w:sz w:val="32"/>
          <w:szCs w:val="32"/>
        </w:rPr>
        <w:t>附件</w:t>
      </w:r>
    </w:p>
    <w:p w14:paraId="2655516B">
      <w:pPr>
        <w:snapToGrid w:val="0"/>
        <w:spacing w:before="156" w:beforeLines="50" w:after="312" w:afterLines="100" w:line="640" w:lineRule="exact"/>
        <w:jc w:val="center"/>
        <w:rPr>
          <w:rFonts w:ascii="方正小标宋简体" w:hAnsi="宋体" w:eastAsia="方正小标宋简体" w:cs="Calibri"/>
          <w:sz w:val="44"/>
          <w:szCs w:val="44"/>
        </w:rPr>
      </w:pPr>
      <w:r>
        <w:rPr>
          <w:rFonts w:hint="eastAsia" w:ascii="方正小标宋简体" w:hAnsi="宋体" w:eastAsia="方正小标宋简体" w:cs="Calibri"/>
          <w:sz w:val="44"/>
          <w:szCs w:val="44"/>
        </w:rPr>
        <w:t>医疗器械行业标准信息表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69"/>
        <w:gridCol w:w="1742"/>
        <w:gridCol w:w="1123"/>
        <w:gridCol w:w="1543"/>
        <w:gridCol w:w="6096"/>
        <w:gridCol w:w="1637"/>
      </w:tblGrid>
      <w:tr w14:paraId="15F1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871" w:type="dxa"/>
            <w:noWrap w:val="0"/>
            <w:tcMar>
              <w:top w:w="28" w:type="dxa"/>
              <w:left w:w="57" w:type="dxa"/>
              <w:bottom w:w="28" w:type="dxa"/>
              <w:right w:w="57" w:type="dxa"/>
            </w:tcMar>
            <w:vAlign w:val="center"/>
          </w:tcPr>
          <w:p w14:paraId="641D3038">
            <w:pPr>
              <w:adjustRightInd w:val="0"/>
              <w:snapToGrid w:val="0"/>
              <w:spacing w:line="320" w:lineRule="exact"/>
              <w:jc w:val="center"/>
              <w:rPr>
                <w:rFonts w:ascii="Times New Roman" w:hAnsi="Times New Roman" w:eastAsia="黑体" w:cs="楷体"/>
                <w:bCs/>
                <w:sz w:val="28"/>
                <w:szCs w:val="28"/>
              </w:rPr>
            </w:pPr>
            <w:r>
              <w:rPr>
                <w:rFonts w:hint="eastAsia" w:ascii="Times New Roman" w:hAnsi="Times New Roman" w:eastAsia="黑体" w:cs="楷体"/>
                <w:bCs/>
                <w:sz w:val="28"/>
                <w:szCs w:val="28"/>
              </w:rPr>
              <w:t>序号</w:t>
            </w:r>
          </w:p>
        </w:tc>
        <w:tc>
          <w:tcPr>
            <w:tcW w:w="1569" w:type="dxa"/>
            <w:noWrap w:val="0"/>
            <w:tcMar>
              <w:top w:w="28" w:type="dxa"/>
              <w:left w:w="57" w:type="dxa"/>
              <w:bottom w:w="28" w:type="dxa"/>
              <w:right w:w="57" w:type="dxa"/>
            </w:tcMar>
            <w:vAlign w:val="center"/>
          </w:tcPr>
          <w:p w14:paraId="03950F16">
            <w:pPr>
              <w:adjustRightInd w:val="0"/>
              <w:snapToGrid w:val="0"/>
              <w:spacing w:line="320" w:lineRule="exact"/>
              <w:jc w:val="center"/>
              <w:rPr>
                <w:rFonts w:ascii="Times New Roman" w:hAnsi="Times New Roman" w:eastAsia="黑体" w:cs="楷体"/>
                <w:bCs/>
                <w:sz w:val="28"/>
                <w:szCs w:val="28"/>
              </w:rPr>
            </w:pPr>
            <w:r>
              <w:rPr>
                <w:rFonts w:hint="eastAsia" w:ascii="Times New Roman" w:hAnsi="Times New Roman" w:eastAsia="黑体" w:cs="楷体"/>
                <w:bCs/>
                <w:sz w:val="28"/>
                <w:szCs w:val="28"/>
              </w:rPr>
              <w:t>标准</w:t>
            </w:r>
            <w:r>
              <w:rPr>
                <w:rFonts w:hint="eastAsia" w:ascii="Times New Roman" w:hAnsi="Times New Roman" w:eastAsia="黑体" w:cs="楷体"/>
                <w:bCs/>
                <w:sz w:val="28"/>
                <w:szCs w:val="28"/>
              </w:rPr>
              <w:br w:type="textWrapping"/>
            </w:r>
            <w:r>
              <w:rPr>
                <w:rFonts w:hint="eastAsia" w:ascii="Times New Roman" w:hAnsi="Times New Roman" w:eastAsia="黑体" w:cs="楷体"/>
                <w:bCs/>
                <w:sz w:val="28"/>
                <w:szCs w:val="28"/>
              </w:rPr>
              <w:t>编号</w:t>
            </w:r>
          </w:p>
        </w:tc>
        <w:tc>
          <w:tcPr>
            <w:tcW w:w="1742" w:type="dxa"/>
            <w:noWrap w:val="0"/>
            <w:tcMar>
              <w:top w:w="28" w:type="dxa"/>
              <w:left w:w="57" w:type="dxa"/>
              <w:bottom w:w="28" w:type="dxa"/>
              <w:right w:w="57" w:type="dxa"/>
            </w:tcMar>
            <w:vAlign w:val="center"/>
          </w:tcPr>
          <w:p w14:paraId="748D702B">
            <w:pPr>
              <w:adjustRightInd w:val="0"/>
              <w:snapToGrid w:val="0"/>
              <w:spacing w:line="320" w:lineRule="exact"/>
              <w:jc w:val="center"/>
              <w:rPr>
                <w:rFonts w:ascii="Times New Roman" w:hAnsi="Times New Roman" w:eastAsia="黑体" w:cs="楷体"/>
                <w:bCs/>
                <w:sz w:val="28"/>
                <w:szCs w:val="28"/>
              </w:rPr>
            </w:pPr>
            <w:r>
              <w:rPr>
                <w:rFonts w:hint="eastAsia" w:ascii="Times New Roman" w:hAnsi="Times New Roman" w:eastAsia="黑体" w:cs="楷体"/>
                <w:bCs/>
                <w:sz w:val="28"/>
                <w:szCs w:val="28"/>
              </w:rPr>
              <w:t>标准名称</w:t>
            </w:r>
          </w:p>
        </w:tc>
        <w:tc>
          <w:tcPr>
            <w:tcW w:w="1123" w:type="dxa"/>
            <w:noWrap w:val="0"/>
            <w:tcMar>
              <w:top w:w="28" w:type="dxa"/>
              <w:left w:w="57" w:type="dxa"/>
              <w:bottom w:w="28" w:type="dxa"/>
              <w:right w:w="57" w:type="dxa"/>
            </w:tcMar>
            <w:vAlign w:val="center"/>
          </w:tcPr>
          <w:p w14:paraId="743F9C93">
            <w:pPr>
              <w:adjustRightInd w:val="0"/>
              <w:snapToGrid w:val="0"/>
              <w:spacing w:line="320" w:lineRule="exact"/>
              <w:jc w:val="center"/>
              <w:rPr>
                <w:rFonts w:ascii="Times New Roman" w:hAnsi="Times New Roman" w:eastAsia="黑体" w:cs="楷体"/>
                <w:bCs/>
                <w:sz w:val="28"/>
                <w:szCs w:val="28"/>
              </w:rPr>
            </w:pPr>
            <w:r>
              <w:rPr>
                <w:rFonts w:hint="eastAsia" w:ascii="Times New Roman" w:hAnsi="Times New Roman" w:eastAsia="黑体" w:cs="楷体"/>
                <w:bCs/>
                <w:sz w:val="28"/>
                <w:szCs w:val="28"/>
              </w:rPr>
              <w:t>制修订</w:t>
            </w:r>
          </w:p>
        </w:tc>
        <w:tc>
          <w:tcPr>
            <w:tcW w:w="1543" w:type="dxa"/>
            <w:noWrap w:val="0"/>
            <w:tcMar>
              <w:top w:w="28" w:type="dxa"/>
              <w:left w:w="57" w:type="dxa"/>
              <w:bottom w:w="28" w:type="dxa"/>
              <w:right w:w="57" w:type="dxa"/>
            </w:tcMar>
            <w:vAlign w:val="center"/>
          </w:tcPr>
          <w:p w14:paraId="4A3EBC0C">
            <w:pPr>
              <w:adjustRightInd w:val="0"/>
              <w:snapToGrid w:val="0"/>
              <w:spacing w:line="320" w:lineRule="exact"/>
              <w:jc w:val="center"/>
              <w:rPr>
                <w:rFonts w:ascii="Times New Roman" w:hAnsi="Times New Roman" w:eastAsia="黑体" w:cs="楷体"/>
                <w:bCs/>
                <w:sz w:val="28"/>
                <w:szCs w:val="28"/>
              </w:rPr>
            </w:pPr>
            <w:r>
              <w:rPr>
                <w:rFonts w:hint="eastAsia" w:ascii="Times New Roman" w:hAnsi="Times New Roman" w:eastAsia="黑体" w:cs="楷体"/>
                <w:bCs/>
                <w:sz w:val="28"/>
                <w:szCs w:val="28"/>
              </w:rPr>
              <w:t>替代</w:t>
            </w:r>
            <w:r>
              <w:rPr>
                <w:rFonts w:hint="eastAsia" w:ascii="Times New Roman" w:hAnsi="Times New Roman" w:eastAsia="黑体" w:cs="楷体"/>
                <w:bCs/>
                <w:sz w:val="28"/>
                <w:szCs w:val="28"/>
              </w:rPr>
              <w:br w:type="textWrapping"/>
            </w:r>
            <w:r>
              <w:rPr>
                <w:rFonts w:hint="eastAsia" w:ascii="Times New Roman" w:hAnsi="Times New Roman" w:eastAsia="黑体" w:cs="楷体"/>
                <w:bCs/>
                <w:sz w:val="28"/>
                <w:szCs w:val="28"/>
              </w:rPr>
              <w:t>标准</w:t>
            </w:r>
          </w:p>
        </w:tc>
        <w:tc>
          <w:tcPr>
            <w:tcW w:w="6096" w:type="dxa"/>
            <w:noWrap w:val="0"/>
            <w:tcMar>
              <w:top w:w="28" w:type="dxa"/>
              <w:left w:w="57" w:type="dxa"/>
              <w:bottom w:w="28" w:type="dxa"/>
              <w:right w:w="57" w:type="dxa"/>
            </w:tcMar>
            <w:vAlign w:val="center"/>
          </w:tcPr>
          <w:p w14:paraId="56878E3C">
            <w:pPr>
              <w:adjustRightInd w:val="0"/>
              <w:snapToGrid w:val="0"/>
              <w:spacing w:line="320" w:lineRule="exact"/>
              <w:jc w:val="center"/>
              <w:rPr>
                <w:rFonts w:ascii="Times New Roman" w:hAnsi="Times New Roman" w:eastAsia="黑体" w:cs="楷体"/>
                <w:bCs/>
                <w:sz w:val="28"/>
                <w:szCs w:val="28"/>
              </w:rPr>
            </w:pPr>
            <w:r>
              <w:rPr>
                <w:rFonts w:hint="eastAsia" w:ascii="Times New Roman" w:hAnsi="Times New Roman" w:eastAsia="黑体" w:cs="楷体"/>
                <w:bCs/>
                <w:sz w:val="28"/>
                <w:szCs w:val="28"/>
              </w:rPr>
              <w:t>适用范围</w:t>
            </w:r>
          </w:p>
        </w:tc>
        <w:tc>
          <w:tcPr>
            <w:tcW w:w="1637" w:type="dxa"/>
            <w:noWrap w:val="0"/>
            <w:tcMar>
              <w:top w:w="28" w:type="dxa"/>
              <w:left w:w="57" w:type="dxa"/>
              <w:bottom w:w="28" w:type="dxa"/>
              <w:right w:w="57" w:type="dxa"/>
            </w:tcMar>
            <w:vAlign w:val="center"/>
          </w:tcPr>
          <w:p w14:paraId="06F8A79E">
            <w:pPr>
              <w:adjustRightInd w:val="0"/>
              <w:snapToGrid w:val="0"/>
              <w:spacing w:line="320" w:lineRule="exact"/>
              <w:jc w:val="center"/>
              <w:rPr>
                <w:rFonts w:ascii="Times New Roman" w:hAnsi="Times New Roman" w:eastAsia="黑体" w:cs="楷体"/>
                <w:bCs/>
                <w:sz w:val="28"/>
                <w:szCs w:val="28"/>
              </w:rPr>
            </w:pPr>
            <w:r>
              <w:rPr>
                <w:rFonts w:hint="eastAsia" w:ascii="Times New Roman" w:hAnsi="Times New Roman" w:eastAsia="黑体" w:cs="楷体"/>
                <w:bCs/>
                <w:sz w:val="28"/>
                <w:szCs w:val="28"/>
              </w:rPr>
              <w:t>实施日期</w:t>
            </w:r>
          </w:p>
        </w:tc>
      </w:tr>
      <w:tr w14:paraId="6688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871" w:type="dxa"/>
            <w:noWrap w:val="0"/>
            <w:tcMar>
              <w:top w:w="28" w:type="dxa"/>
              <w:left w:w="57" w:type="dxa"/>
              <w:bottom w:w="28" w:type="dxa"/>
              <w:right w:w="57" w:type="dxa"/>
            </w:tcMar>
            <w:vAlign w:val="center"/>
          </w:tcPr>
          <w:p w14:paraId="11CAF74A">
            <w:pPr>
              <w:adjustRightInd w:val="0"/>
              <w:snapToGrid w:val="0"/>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p>
        </w:tc>
        <w:tc>
          <w:tcPr>
            <w:tcW w:w="1569" w:type="dxa"/>
            <w:noWrap w:val="0"/>
            <w:tcMar>
              <w:top w:w="28" w:type="dxa"/>
              <w:left w:w="57" w:type="dxa"/>
              <w:bottom w:w="28" w:type="dxa"/>
              <w:right w:w="57" w:type="dxa"/>
            </w:tcMar>
            <w:vAlign w:val="center"/>
          </w:tcPr>
          <w:p w14:paraId="144A15B2">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0300—2025</w:t>
            </w:r>
          </w:p>
        </w:tc>
        <w:tc>
          <w:tcPr>
            <w:tcW w:w="1742" w:type="dxa"/>
            <w:noWrap w:val="0"/>
            <w:tcMar>
              <w:top w:w="28" w:type="dxa"/>
              <w:left w:w="57" w:type="dxa"/>
              <w:bottom w:w="28" w:type="dxa"/>
              <w:right w:w="57" w:type="dxa"/>
            </w:tcMar>
            <w:vAlign w:val="center"/>
          </w:tcPr>
          <w:p w14:paraId="4E704AF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修复用人工牙</w:t>
            </w:r>
          </w:p>
        </w:tc>
        <w:tc>
          <w:tcPr>
            <w:tcW w:w="1123" w:type="dxa"/>
            <w:noWrap w:val="0"/>
            <w:tcMar>
              <w:top w:w="28" w:type="dxa"/>
              <w:left w:w="57" w:type="dxa"/>
              <w:bottom w:w="28" w:type="dxa"/>
              <w:right w:w="57" w:type="dxa"/>
            </w:tcMar>
            <w:vAlign w:val="center"/>
          </w:tcPr>
          <w:p w14:paraId="51A68937">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30D15842">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0300—2009</w:t>
            </w:r>
          </w:p>
        </w:tc>
        <w:tc>
          <w:tcPr>
            <w:tcW w:w="6096" w:type="dxa"/>
            <w:noWrap w:val="0"/>
            <w:tcMar>
              <w:top w:w="28" w:type="dxa"/>
              <w:left w:w="57" w:type="dxa"/>
              <w:bottom w:w="28" w:type="dxa"/>
              <w:right w:w="57" w:type="dxa"/>
            </w:tcMar>
            <w:vAlign w:val="center"/>
          </w:tcPr>
          <w:p w14:paraId="1EF8ED79">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本文件规定了用于牙科修复的聚合物牙和陶瓷牙的分类、要求，描述了相应的试验方法。本文件适用于牙科修复用合成树脂牙和陶瓷牙产品。</w:t>
            </w:r>
          </w:p>
        </w:tc>
        <w:tc>
          <w:tcPr>
            <w:tcW w:w="1637" w:type="dxa"/>
            <w:noWrap w:val="0"/>
            <w:tcMar>
              <w:top w:w="28" w:type="dxa"/>
              <w:left w:w="57" w:type="dxa"/>
              <w:bottom w:w="28" w:type="dxa"/>
              <w:right w:w="57" w:type="dxa"/>
            </w:tcMar>
            <w:vAlign w:val="center"/>
          </w:tcPr>
          <w:p w14:paraId="617FB9E2">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2028</w:t>
            </w:r>
            <w:r>
              <w:rPr>
                <w:rFonts w:hint="eastAsia" w:ascii="Times New Roman" w:hAnsi="Times New Roman" w:eastAsia="仿宋_GB2312"/>
                <w:color w:val="000000"/>
                <w:sz w:val="28"/>
                <w:szCs w:val="28"/>
                <w:lang w:val="en-US" w:eastAsia="zh-CN"/>
              </w:rPr>
              <w:t>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4D7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jc w:val="center"/>
        </w:trPr>
        <w:tc>
          <w:tcPr>
            <w:tcW w:w="871" w:type="dxa"/>
            <w:noWrap w:val="0"/>
            <w:tcMar>
              <w:top w:w="28" w:type="dxa"/>
              <w:left w:w="57" w:type="dxa"/>
              <w:bottom w:w="28" w:type="dxa"/>
              <w:right w:w="57" w:type="dxa"/>
            </w:tcMar>
            <w:vAlign w:val="center"/>
          </w:tcPr>
          <w:p w14:paraId="7ADB553A">
            <w:pPr>
              <w:adjustRightInd w:val="0"/>
              <w:snapToGrid w:val="0"/>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w:t>
            </w:r>
          </w:p>
        </w:tc>
        <w:tc>
          <w:tcPr>
            <w:tcW w:w="1569" w:type="dxa"/>
            <w:noWrap w:val="0"/>
            <w:tcMar>
              <w:top w:w="28" w:type="dxa"/>
              <w:left w:w="57" w:type="dxa"/>
              <w:bottom w:w="28" w:type="dxa"/>
              <w:right w:w="57" w:type="dxa"/>
            </w:tcMar>
            <w:vAlign w:val="center"/>
          </w:tcPr>
          <w:p w14:paraId="676EA12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0621—2025</w:t>
            </w:r>
          </w:p>
        </w:tc>
        <w:tc>
          <w:tcPr>
            <w:tcW w:w="1742" w:type="dxa"/>
            <w:noWrap w:val="0"/>
            <w:tcMar>
              <w:top w:w="28" w:type="dxa"/>
              <w:left w:w="57" w:type="dxa"/>
              <w:bottom w:w="28" w:type="dxa"/>
              <w:right w:w="57" w:type="dxa"/>
            </w:tcMar>
            <w:vAlign w:val="center"/>
          </w:tcPr>
          <w:p w14:paraId="799B73C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金属-陶瓷和陶瓷-陶瓷体系匹配性试验</w:t>
            </w:r>
          </w:p>
        </w:tc>
        <w:tc>
          <w:tcPr>
            <w:tcW w:w="1123" w:type="dxa"/>
            <w:noWrap w:val="0"/>
            <w:tcMar>
              <w:top w:w="28" w:type="dxa"/>
              <w:left w:w="57" w:type="dxa"/>
              <w:bottom w:w="28" w:type="dxa"/>
              <w:right w:w="57" w:type="dxa"/>
            </w:tcMar>
            <w:vAlign w:val="center"/>
          </w:tcPr>
          <w:p w14:paraId="23553EC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6AC5239F">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0621.1—2016、YY/T 0621.2—2020</w:t>
            </w:r>
          </w:p>
        </w:tc>
        <w:tc>
          <w:tcPr>
            <w:tcW w:w="6096" w:type="dxa"/>
            <w:noWrap w:val="0"/>
            <w:tcMar>
              <w:top w:w="28" w:type="dxa"/>
              <w:left w:w="57" w:type="dxa"/>
              <w:bottom w:w="28" w:type="dxa"/>
              <w:right w:w="57" w:type="dxa"/>
            </w:tcMar>
            <w:vAlign w:val="center"/>
          </w:tcPr>
          <w:p w14:paraId="6DD3DFD8">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本文件规定了评估用于牙科修复体的饰面瓷和金属或陶瓷基底材料之间热力学匹配性的要求，描述了相应的试验方法。本文件仅适用于组合使用的材料。对单一材料不能声称符合要求。陶瓷材料的要求见GB 30367。金属材料的要求见GB 17168。</w:t>
            </w:r>
          </w:p>
        </w:tc>
        <w:tc>
          <w:tcPr>
            <w:tcW w:w="1637" w:type="dxa"/>
            <w:noWrap w:val="0"/>
            <w:tcMar>
              <w:top w:w="28" w:type="dxa"/>
              <w:left w:w="57" w:type="dxa"/>
              <w:bottom w:w="28" w:type="dxa"/>
              <w:right w:w="57" w:type="dxa"/>
            </w:tcMar>
            <w:vAlign w:val="center"/>
          </w:tcPr>
          <w:p w14:paraId="7E23E9FA">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2028</w:t>
            </w:r>
            <w:r>
              <w:rPr>
                <w:rFonts w:hint="eastAsia" w:ascii="Times New Roman" w:hAnsi="Times New Roman" w:eastAsia="仿宋_GB2312"/>
                <w:color w:val="000000"/>
                <w:sz w:val="28"/>
                <w:szCs w:val="28"/>
                <w:lang w:val="en-US" w:eastAsia="zh-CN"/>
              </w:rPr>
              <w:t>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42DE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5" w:hRule="atLeast"/>
          <w:jc w:val="center"/>
        </w:trPr>
        <w:tc>
          <w:tcPr>
            <w:tcW w:w="871" w:type="dxa"/>
            <w:noWrap w:val="0"/>
            <w:tcMar>
              <w:top w:w="28" w:type="dxa"/>
              <w:left w:w="57" w:type="dxa"/>
              <w:bottom w:w="28" w:type="dxa"/>
              <w:right w:w="57" w:type="dxa"/>
            </w:tcMar>
            <w:vAlign w:val="center"/>
          </w:tcPr>
          <w:p w14:paraId="3D8E2298">
            <w:pPr>
              <w:adjustRightInd w:val="0"/>
              <w:snapToGrid w:val="0"/>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w:t>
            </w:r>
          </w:p>
        </w:tc>
        <w:tc>
          <w:tcPr>
            <w:tcW w:w="1569" w:type="dxa"/>
            <w:noWrap w:val="0"/>
            <w:tcMar>
              <w:top w:w="28" w:type="dxa"/>
              <w:left w:w="57" w:type="dxa"/>
              <w:bottom w:w="28" w:type="dxa"/>
              <w:right w:w="57" w:type="dxa"/>
            </w:tcMar>
            <w:vAlign w:val="center"/>
          </w:tcPr>
          <w:p w14:paraId="6A698DE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0710—2025</w:t>
            </w:r>
          </w:p>
        </w:tc>
        <w:tc>
          <w:tcPr>
            <w:tcW w:w="1742" w:type="dxa"/>
            <w:noWrap w:val="0"/>
            <w:tcMar>
              <w:top w:w="28" w:type="dxa"/>
              <w:left w:w="57" w:type="dxa"/>
              <w:bottom w:w="28" w:type="dxa"/>
              <w:right w:w="57" w:type="dxa"/>
            </w:tcMar>
            <w:vAlign w:val="center"/>
          </w:tcPr>
          <w:p w14:paraId="03077EF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聚合物基牙冠和贴面材料</w:t>
            </w:r>
          </w:p>
        </w:tc>
        <w:tc>
          <w:tcPr>
            <w:tcW w:w="1123" w:type="dxa"/>
            <w:noWrap w:val="0"/>
            <w:tcMar>
              <w:top w:w="28" w:type="dxa"/>
              <w:left w:w="57" w:type="dxa"/>
              <w:bottom w:w="28" w:type="dxa"/>
              <w:right w:w="57" w:type="dxa"/>
            </w:tcMar>
            <w:vAlign w:val="center"/>
          </w:tcPr>
          <w:p w14:paraId="759EE804">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73EBE58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0710—2009</w:t>
            </w:r>
          </w:p>
        </w:tc>
        <w:tc>
          <w:tcPr>
            <w:tcW w:w="6096" w:type="dxa"/>
            <w:noWrap w:val="0"/>
            <w:tcMar>
              <w:top w:w="28" w:type="dxa"/>
              <w:left w:w="57" w:type="dxa"/>
              <w:bottom w:w="28" w:type="dxa"/>
              <w:right w:w="57" w:type="dxa"/>
            </w:tcMar>
            <w:vAlign w:val="center"/>
          </w:tcPr>
          <w:p w14:paraId="359B95D5">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聚合物基牙冠和贴面材料的分类和要求，描述了用于确定是否符合这些要求的试验方法。本文件适用于在技工室（牙科制作室或牙科工艺室）制作正式牙冠或贴面的聚合物基牙冠和贴面材料。也适用于制造商声称不需要借助宏观机械固位（例如珠子或丝线）即可与基底结构粘接的聚合物基牙冠和贴面材料。</w:t>
            </w:r>
          </w:p>
        </w:tc>
        <w:tc>
          <w:tcPr>
            <w:tcW w:w="1637" w:type="dxa"/>
            <w:noWrap w:val="0"/>
            <w:tcMar>
              <w:top w:w="28" w:type="dxa"/>
              <w:left w:w="57" w:type="dxa"/>
              <w:bottom w:w="28" w:type="dxa"/>
              <w:right w:w="57" w:type="dxa"/>
            </w:tcMar>
            <w:vAlign w:val="center"/>
          </w:tcPr>
          <w:p w14:paraId="4977F0D5">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2028</w:t>
            </w:r>
            <w:r>
              <w:rPr>
                <w:rFonts w:hint="eastAsia" w:ascii="Times New Roman" w:hAnsi="Times New Roman" w:eastAsia="仿宋_GB2312"/>
                <w:color w:val="000000"/>
                <w:sz w:val="28"/>
                <w:szCs w:val="28"/>
                <w:lang w:val="en-US" w:eastAsia="zh-CN"/>
              </w:rPr>
              <w:t>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47C0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7" w:hRule="atLeast"/>
          <w:jc w:val="center"/>
        </w:trPr>
        <w:tc>
          <w:tcPr>
            <w:tcW w:w="871" w:type="dxa"/>
            <w:noWrap w:val="0"/>
            <w:tcMar>
              <w:top w:w="28" w:type="dxa"/>
              <w:left w:w="57" w:type="dxa"/>
              <w:bottom w:w="28" w:type="dxa"/>
              <w:right w:w="57" w:type="dxa"/>
            </w:tcMar>
            <w:vAlign w:val="center"/>
          </w:tcPr>
          <w:p w14:paraId="42551EE0">
            <w:pPr>
              <w:adjustRightInd w:val="0"/>
              <w:snapToGrid w:val="0"/>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w:t>
            </w:r>
          </w:p>
        </w:tc>
        <w:tc>
          <w:tcPr>
            <w:tcW w:w="1569" w:type="dxa"/>
            <w:noWrap w:val="0"/>
            <w:tcMar>
              <w:top w:w="28" w:type="dxa"/>
              <w:left w:w="57" w:type="dxa"/>
              <w:bottom w:w="28" w:type="dxa"/>
              <w:right w:w="57" w:type="dxa"/>
            </w:tcMar>
            <w:vAlign w:val="center"/>
          </w:tcPr>
          <w:p w14:paraId="385F0894">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0780—2025</w:t>
            </w:r>
          </w:p>
        </w:tc>
        <w:tc>
          <w:tcPr>
            <w:tcW w:w="1742" w:type="dxa"/>
            <w:noWrap w:val="0"/>
            <w:tcMar>
              <w:top w:w="28" w:type="dxa"/>
              <w:left w:w="57" w:type="dxa"/>
              <w:bottom w:w="28" w:type="dxa"/>
              <w:right w:w="57" w:type="dxa"/>
            </w:tcMar>
            <w:vAlign w:val="center"/>
          </w:tcPr>
          <w:p w14:paraId="68B226A7">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中医器械 电针治疗仪</w:t>
            </w:r>
          </w:p>
        </w:tc>
        <w:tc>
          <w:tcPr>
            <w:tcW w:w="1123" w:type="dxa"/>
            <w:noWrap w:val="0"/>
            <w:tcMar>
              <w:top w:w="28" w:type="dxa"/>
              <w:left w:w="57" w:type="dxa"/>
              <w:bottom w:w="28" w:type="dxa"/>
              <w:right w:w="57" w:type="dxa"/>
            </w:tcMar>
            <w:vAlign w:val="center"/>
          </w:tcPr>
          <w:p w14:paraId="610EA963">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679A6FE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0780—2018</w:t>
            </w:r>
          </w:p>
        </w:tc>
        <w:tc>
          <w:tcPr>
            <w:tcW w:w="6096" w:type="dxa"/>
            <w:noWrap w:val="0"/>
            <w:tcMar>
              <w:top w:w="28" w:type="dxa"/>
              <w:left w:w="57" w:type="dxa"/>
              <w:bottom w:w="28" w:type="dxa"/>
              <w:right w:w="57" w:type="dxa"/>
            </w:tcMar>
            <w:vAlign w:val="center"/>
          </w:tcPr>
          <w:p w14:paraId="198FA136">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本文件规定了电针治疗仪的要求，描述了相应的试验方法。本文件适用于通过电针给患者进行治疗和辅助治疗的仪器。</w:t>
            </w:r>
          </w:p>
        </w:tc>
        <w:tc>
          <w:tcPr>
            <w:tcW w:w="1637" w:type="dxa"/>
            <w:noWrap w:val="0"/>
            <w:tcMar>
              <w:top w:w="28" w:type="dxa"/>
              <w:left w:w="57" w:type="dxa"/>
              <w:bottom w:w="28" w:type="dxa"/>
              <w:right w:w="57" w:type="dxa"/>
            </w:tcMar>
            <w:vAlign w:val="center"/>
          </w:tcPr>
          <w:p w14:paraId="7C8494BC">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8年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4C1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7" w:hRule="atLeast"/>
          <w:jc w:val="center"/>
        </w:trPr>
        <w:tc>
          <w:tcPr>
            <w:tcW w:w="871" w:type="dxa"/>
            <w:noWrap w:val="0"/>
            <w:tcMar>
              <w:top w:w="28" w:type="dxa"/>
              <w:left w:w="57" w:type="dxa"/>
              <w:bottom w:w="28" w:type="dxa"/>
              <w:right w:w="57" w:type="dxa"/>
            </w:tcMar>
            <w:vAlign w:val="center"/>
          </w:tcPr>
          <w:p w14:paraId="48BC5E25">
            <w:pPr>
              <w:adjustRightInd w:val="0"/>
              <w:snapToGrid w:val="0"/>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5</w:t>
            </w:r>
          </w:p>
        </w:tc>
        <w:tc>
          <w:tcPr>
            <w:tcW w:w="1569" w:type="dxa"/>
            <w:noWrap w:val="0"/>
            <w:tcMar>
              <w:top w:w="28" w:type="dxa"/>
              <w:left w:w="57" w:type="dxa"/>
              <w:bottom w:w="28" w:type="dxa"/>
              <w:right w:w="57" w:type="dxa"/>
            </w:tcMar>
            <w:vAlign w:val="center"/>
          </w:tcPr>
          <w:p w14:paraId="3F30345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0948—2025</w:t>
            </w:r>
          </w:p>
        </w:tc>
        <w:tc>
          <w:tcPr>
            <w:tcW w:w="1742" w:type="dxa"/>
            <w:noWrap w:val="0"/>
            <w:tcMar>
              <w:top w:w="28" w:type="dxa"/>
              <w:left w:w="57" w:type="dxa"/>
              <w:bottom w:w="28" w:type="dxa"/>
              <w:right w:w="57" w:type="dxa"/>
            </w:tcMar>
            <w:vAlign w:val="center"/>
          </w:tcPr>
          <w:p w14:paraId="38D2F674">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心肺转流系统  一次性使用动静脉插管</w:t>
            </w:r>
          </w:p>
        </w:tc>
        <w:tc>
          <w:tcPr>
            <w:tcW w:w="1123" w:type="dxa"/>
            <w:noWrap w:val="0"/>
            <w:tcMar>
              <w:top w:w="28" w:type="dxa"/>
              <w:left w:w="57" w:type="dxa"/>
              <w:bottom w:w="28" w:type="dxa"/>
              <w:right w:w="57" w:type="dxa"/>
            </w:tcMar>
            <w:vAlign w:val="center"/>
          </w:tcPr>
          <w:p w14:paraId="57444E28">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2BD91A68">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0948—2015</w:t>
            </w:r>
          </w:p>
        </w:tc>
        <w:tc>
          <w:tcPr>
            <w:tcW w:w="6096" w:type="dxa"/>
            <w:noWrap w:val="0"/>
            <w:tcMar>
              <w:top w:w="28" w:type="dxa"/>
              <w:left w:w="57" w:type="dxa"/>
              <w:bottom w:w="28" w:type="dxa"/>
              <w:right w:w="57" w:type="dxa"/>
            </w:tcMar>
            <w:vAlign w:val="center"/>
          </w:tcPr>
          <w:p w14:paraId="5520FEF4">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在心肺转流术、体外肺部辅助、左心或右心旁路、心肺支持、体外生命支持、体外二氧化碳去除以及其他体外循环技术的实施过程中用于引流或灌注血液的一次性使用无菌动静脉插管的要求，描述了相应的试验方法。本文件适用于一次性使用无菌动静脉插管，用于引流或灌注血液时使用。本标准不适用于：YY 0450.1—2020所述的导入引器械（例如：导丝）；离体器官灌注插管；YY 0285.3—2017 所述的血管内导管。</w:t>
            </w:r>
          </w:p>
        </w:tc>
        <w:tc>
          <w:tcPr>
            <w:tcW w:w="1637" w:type="dxa"/>
            <w:noWrap w:val="0"/>
            <w:tcMar>
              <w:top w:w="28" w:type="dxa"/>
              <w:left w:w="57" w:type="dxa"/>
              <w:bottom w:w="28" w:type="dxa"/>
              <w:right w:w="57" w:type="dxa"/>
            </w:tcMar>
            <w:vAlign w:val="center"/>
          </w:tcPr>
          <w:p w14:paraId="729773BF">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8年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0972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2" w:hRule="atLeast"/>
          <w:jc w:val="center"/>
        </w:trPr>
        <w:tc>
          <w:tcPr>
            <w:tcW w:w="871" w:type="dxa"/>
            <w:noWrap w:val="0"/>
            <w:tcMar>
              <w:top w:w="28" w:type="dxa"/>
              <w:left w:w="57" w:type="dxa"/>
              <w:bottom w:w="28" w:type="dxa"/>
              <w:right w:w="57" w:type="dxa"/>
            </w:tcMar>
            <w:vAlign w:val="center"/>
          </w:tcPr>
          <w:p w14:paraId="6EB665CD">
            <w:pPr>
              <w:adjustRightInd w:val="0"/>
              <w:snapToGrid w:val="0"/>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6</w:t>
            </w:r>
          </w:p>
        </w:tc>
        <w:tc>
          <w:tcPr>
            <w:tcW w:w="1569" w:type="dxa"/>
            <w:noWrap w:val="0"/>
            <w:tcMar>
              <w:top w:w="28" w:type="dxa"/>
              <w:left w:w="57" w:type="dxa"/>
              <w:bottom w:w="28" w:type="dxa"/>
              <w:right w:w="57" w:type="dxa"/>
            </w:tcMar>
            <w:vAlign w:val="center"/>
          </w:tcPr>
          <w:p w14:paraId="3E32B6A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0989.6—2025</w:t>
            </w:r>
          </w:p>
        </w:tc>
        <w:tc>
          <w:tcPr>
            <w:tcW w:w="1742" w:type="dxa"/>
            <w:noWrap w:val="0"/>
            <w:tcMar>
              <w:top w:w="28" w:type="dxa"/>
              <w:left w:w="57" w:type="dxa"/>
              <w:bottom w:w="28" w:type="dxa"/>
              <w:right w:w="57" w:type="dxa"/>
            </w:tcMar>
            <w:vAlign w:val="center"/>
          </w:tcPr>
          <w:p w14:paraId="661630EA">
            <w:pPr>
              <w:adjustRightInd w:val="0"/>
              <w:snapToGrid w:val="0"/>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手术植入物 有源植入式医疗器械 第6部分：治疗快速性心律失常的有源植入式医疗器械（包括植入式除颤器）的专用要求</w:t>
            </w:r>
          </w:p>
        </w:tc>
        <w:tc>
          <w:tcPr>
            <w:tcW w:w="1123" w:type="dxa"/>
            <w:noWrap w:val="0"/>
            <w:tcMar>
              <w:top w:w="28" w:type="dxa"/>
              <w:left w:w="57" w:type="dxa"/>
              <w:bottom w:w="28" w:type="dxa"/>
              <w:right w:w="57" w:type="dxa"/>
            </w:tcMar>
            <w:vAlign w:val="center"/>
          </w:tcPr>
          <w:p w14:paraId="1E25E092">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7435ED0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 0989.6—2016</w:t>
            </w:r>
          </w:p>
        </w:tc>
        <w:tc>
          <w:tcPr>
            <w:tcW w:w="6096" w:type="dxa"/>
            <w:noWrap w:val="0"/>
            <w:tcMar>
              <w:top w:w="28" w:type="dxa"/>
              <w:left w:w="57" w:type="dxa"/>
              <w:bottom w:w="28" w:type="dxa"/>
              <w:right w:w="57" w:type="dxa"/>
            </w:tcMar>
            <w:vAlign w:val="center"/>
          </w:tcPr>
          <w:p w14:paraId="1C6A9B0D">
            <w:pPr>
              <w:adjustRightInd w:val="0"/>
              <w:snapToGrid w:val="0"/>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本文件规定了治疗快速性心律失常的有源植入式医疗器械（包括植入式除颤器）的要求。</w:t>
            </w:r>
          </w:p>
          <w:p w14:paraId="07E6C01A">
            <w:pPr>
              <w:adjustRightInd w:val="0"/>
              <w:snapToGrid w:val="0"/>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本文件适用于植入式心律转复除颤器、植入式心脏再同步治疗</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rPr>
              <w:t>除颤器、具有治疗快速性心律失常功能的有源植入式医疗器械以及有源植入式医疗器械的某些非植入式部件和附件。</w:t>
            </w:r>
          </w:p>
          <w:p w14:paraId="4FCBAEF5">
            <w:pPr>
              <w:adjustRightInd w:val="0"/>
              <w:snapToGrid w:val="0"/>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本文件不适用于治疗缓慢性心律失常或心脏再同步的有源植入式医疗器械。</w:t>
            </w:r>
            <w:r>
              <w:rPr>
                <w:rFonts w:ascii="Times New Roman" w:hAnsi="Times New Roman" w:eastAsia="仿宋_GB2312"/>
                <w:color w:val="000000"/>
                <w:sz w:val="28"/>
                <w:szCs w:val="28"/>
              </w:rPr>
              <w:t>GB 16174.2</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2024</w:t>
            </w:r>
            <w:r>
              <w:rPr>
                <w:rFonts w:hint="eastAsia" w:ascii="Times New Roman" w:hAnsi="Times New Roman" w:eastAsia="仿宋_GB2312"/>
                <w:color w:val="000000"/>
                <w:sz w:val="28"/>
                <w:szCs w:val="28"/>
              </w:rPr>
              <w:t>规定了此类要求。</w:t>
            </w:r>
          </w:p>
        </w:tc>
        <w:tc>
          <w:tcPr>
            <w:tcW w:w="1637" w:type="dxa"/>
            <w:noWrap w:val="0"/>
            <w:tcMar>
              <w:top w:w="28" w:type="dxa"/>
              <w:left w:w="57" w:type="dxa"/>
              <w:bottom w:w="28" w:type="dxa"/>
              <w:right w:w="57" w:type="dxa"/>
            </w:tcMar>
            <w:vAlign w:val="center"/>
          </w:tcPr>
          <w:p w14:paraId="2069EAFB">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8年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330F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6" w:hRule="atLeast"/>
          <w:jc w:val="center"/>
        </w:trPr>
        <w:tc>
          <w:tcPr>
            <w:tcW w:w="871" w:type="dxa"/>
            <w:noWrap w:val="0"/>
            <w:tcMar>
              <w:top w:w="28" w:type="dxa"/>
              <w:left w:w="57" w:type="dxa"/>
              <w:bottom w:w="28" w:type="dxa"/>
              <w:right w:w="57" w:type="dxa"/>
            </w:tcMar>
            <w:vAlign w:val="center"/>
          </w:tcPr>
          <w:p w14:paraId="0743606E">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7</w:t>
            </w:r>
          </w:p>
        </w:tc>
        <w:tc>
          <w:tcPr>
            <w:tcW w:w="1569" w:type="dxa"/>
            <w:noWrap w:val="0"/>
            <w:tcMar>
              <w:top w:w="28" w:type="dxa"/>
              <w:left w:w="57" w:type="dxa"/>
              <w:bottom w:w="28" w:type="dxa"/>
              <w:right w:w="57" w:type="dxa"/>
            </w:tcMar>
            <w:vAlign w:val="center"/>
          </w:tcPr>
          <w:p w14:paraId="3F4622E2">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0310—2025</w:t>
            </w:r>
          </w:p>
        </w:tc>
        <w:tc>
          <w:tcPr>
            <w:tcW w:w="1742" w:type="dxa"/>
            <w:noWrap w:val="0"/>
            <w:tcMar>
              <w:top w:w="28" w:type="dxa"/>
              <w:left w:w="57" w:type="dxa"/>
              <w:bottom w:w="28" w:type="dxa"/>
              <w:right w:w="57" w:type="dxa"/>
            </w:tcMar>
            <w:vAlign w:val="center"/>
          </w:tcPr>
          <w:p w14:paraId="18E9BBBC">
            <w:pPr>
              <w:adjustRightInd w:val="0"/>
              <w:snapToGrid w:val="0"/>
              <w:spacing w:line="32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X射线计算机体层摄影设备通用技术条件</w:t>
            </w:r>
          </w:p>
        </w:tc>
        <w:tc>
          <w:tcPr>
            <w:tcW w:w="1123" w:type="dxa"/>
            <w:noWrap w:val="0"/>
            <w:tcMar>
              <w:top w:w="28" w:type="dxa"/>
              <w:left w:w="57" w:type="dxa"/>
              <w:bottom w:w="28" w:type="dxa"/>
              <w:right w:w="57" w:type="dxa"/>
            </w:tcMar>
            <w:vAlign w:val="center"/>
          </w:tcPr>
          <w:p w14:paraId="28FA3645">
            <w:pPr>
              <w:adjustRightInd w:val="0"/>
              <w:snapToGrid w:val="0"/>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35DAC824">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0310—2015、</w:t>
            </w:r>
            <w:r>
              <w:rPr>
                <w:rFonts w:ascii="Times New Roman" w:hAnsi="Times New Roman" w:eastAsia="仿宋_GB2312"/>
                <w:color w:val="000000"/>
                <w:sz w:val="28"/>
                <w:szCs w:val="28"/>
              </w:rPr>
              <w:t xml:space="preserve">YY/T </w:t>
            </w:r>
            <w:r>
              <w:rPr>
                <w:rFonts w:hint="eastAsia" w:ascii="Times New Roman" w:hAnsi="Times New Roman" w:eastAsia="仿宋_GB2312"/>
                <w:color w:val="000000"/>
                <w:sz w:val="28"/>
                <w:szCs w:val="28"/>
              </w:rPr>
              <w:t>1417</w:t>
            </w:r>
            <w:r>
              <w:rPr>
                <w:rFonts w:ascii="Times New Roman" w:hAnsi="Times New Roman" w:eastAsia="仿宋_GB2312"/>
                <w:color w:val="000000"/>
                <w:sz w:val="28"/>
                <w:szCs w:val="28"/>
              </w:rPr>
              <w:t>—20</w:t>
            </w:r>
            <w:r>
              <w:rPr>
                <w:rFonts w:hint="eastAsia" w:ascii="Times New Roman" w:hAnsi="Times New Roman" w:eastAsia="仿宋_GB2312"/>
                <w:color w:val="000000"/>
                <w:sz w:val="28"/>
                <w:szCs w:val="28"/>
              </w:rPr>
              <w:t>16</w:t>
            </w:r>
          </w:p>
        </w:tc>
        <w:tc>
          <w:tcPr>
            <w:tcW w:w="6096" w:type="dxa"/>
            <w:noWrap w:val="0"/>
            <w:tcMar>
              <w:top w:w="28" w:type="dxa"/>
              <w:left w:w="57" w:type="dxa"/>
              <w:bottom w:w="28" w:type="dxa"/>
              <w:right w:w="57" w:type="dxa"/>
            </w:tcMar>
            <w:vAlign w:val="center"/>
          </w:tcPr>
          <w:p w14:paraId="22E0CBEC">
            <w:pPr>
              <w:adjustRightInd w:val="0"/>
              <w:snapToGrid w:val="0"/>
              <w:spacing w:line="320" w:lineRule="exac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本文件规定了X射线计算机体层摄影设备（以下简称CT扫描装置）的组成、要求，描述了相应的试验方法。本文件适用于CT扫描装置，其中包括为放射治疗计划提供图像数据的CT扫描装置。</w:t>
            </w:r>
          </w:p>
        </w:tc>
        <w:tc>
          <w:tcPr>
            <w:tcW w:w="1637" w:type="dxa"/>
            <w:noWrap w:val="0"/>
            <w:tcMar>
              <w:top w:w="28" w:type="dxa"/>
              <w:left w:w="57" w:type="dxa"/>
              <w:bottom w:w="28" w:type="dxa"/>
              <w:right w:w="57" w:type="dxa"/>
            </w:tcMar>
            <w:vAlign w:val="center"/>
          </w:tcPr>
          <w:p w14:paraId="07F96B0C">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1EC0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42F5EED2">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8</w:t>
            </w:r>
          </w:p>
        </w:tc>
        <w:tc>
          <w:tcPr>
            <w:tcW w:w="1569" w:type="dxa"/>
            <w:noWrap w:val="0"/>
            <w:tcMar>
              <w:top w:w="28" w:type="dxa"/>
              <w:left w:w="57" w:type="dxa"/>
              <w:bottom w:w="28" w:type="dxa"/>
              <w:right w:w="57" w:type="dxa"/>
            </w:tcMar>
            <w:vAlign w:val="center"/>
          </w:tcPr>
          <w:p w14:paraId="1398E8F0">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0528—2025</w:t>
            </w:r>
          </w:p>
        </w:tc>
        <w:tc>
          <w:tcPr>
            <w:tcW w:w="1742" w:type="dxa"/>
            <w:noWrap w:val="0"/>
            <w:tcMar>
              <w:top w:w="28" w:type="dxa"/>
              <w:left w:w="57" w:type="dxa"/>
              <w:bottom w:w="28" w:type="dxa"/>
              <w:right w:w="57" w:type="dxa"/>
            </w:tcMar>
            <w:vAlign w:val="center"/>
          </w:tcPr>
          <w:p w14:paraId="6954D0C8">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金属材料腐蚀试验方法</w:t>
            </w:r>
          </w:p>
        </w:tc>
        <w:tc>
          <w:tcPr>
            <w:tcW w:w="1123" w:type="dxa"/>
            <w:noWrap w:val="0"/>
            <w:tcMar>
              <w:top w:w="28" w:type="dxa"/>
              <w:left w:w="57" w:type="dxa"/>
              <w:bottom w:w="28" w:type="dxa"/>
              <w:right w:w="57" w:type="dxa"/>
            </w:tcMar>
            <w:vAlign w:val="center"/>
          </w:tcPr>
          <w:p w14:paraId="28ADF08F">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163BBFD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0528—2018</w:t>
            </w:r>
          </w:p>
        </w:tc>
        <w:tc>
          <w:tcPr>
            <w:tcW w:w="6096" w:type="dxa"/>
            <w:noWrap w:val="0"/>
            <w:tcMar>
              <w:top w:w="28" w:type="dxa"/>
              <w:left w:w="57" w:type="dxa"/>
              <w:bottom w:w="28" w:type="dxa"/>
              <w:right w:w="57" w:type="dxa"/>
            </w:tcMar>
            <w:vAlign w:val="center"/>
          </w:tcPr>
          <w:p w14:paraId="783F01ED">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本文件描述了检测口腔中使用的金属材料的腐蚀行为的试验方法，以便本文件中的试验方法被此类金属材料的标准引用。本文件不适用于器械设备。</w:t>
            </w:r>
          </w:p>
        </w:tc>
        <w:tc>
          <w:tcPr>
            <w:tcW w:w="1637" w:type="dxa"/>
            <w:noWrap w:val="0"/>
            <w:tcMar>
              <w:top w:w="28" w:type="dxa"/>
              <w:left w:w="57" w:type="dxa"/>
              <w:bottom w:w="28" w:type="dxa"/>
              <w:right w:w="57" w:type="dxa"/>
            </w:tcMar>
            <w:vAlign w:val="center"/>
          </w:tcPr>
          <w:p w14:paraId="5D43D80C">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2074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2DC5EB2E">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9</w:t>
            </w:r>
          </w:p>
        </w:tc>
        <w:tc>
          <w:tcPr>
            <w:tcW w:w="1569" w:type="dxa"/>
            <w:noWrap w:val="0"/>
            <w:tcMar>
              <w:top w:w="28" w:type="dxa"/>
              <w:left w:w="57" w:type="dxa"/>
              <w:bottom w:w="28" w:type="dxa"/>
              <w:right w:w="57" w:type="dxa"/>
            </w:tcMar>
            <w:vAlign w:val="center"/>
          </w:tcPr>
          <w:p w14:paraId="461D476F">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0679—2025</w:t>
            </w:r>
          </w:p>
        </w:tc>
        <w:tc>
          <w:tcPr>
            <w:tcW w:w="1742" w:type="dxa"/>
            <w:noWrap w:val="0"/>
            <w:tcMar>
              <w:top w:w="28" w:type="dxa"/>
              <w:left w:w="57" w:type="dxa"/>
              <w:bottom w:w="28" w:type="dxa"/>
              <w:right w:w="57" w:type="dxa"/>
            </w:tcMar>
            <w:vAlign w:val="center"/>
          </w:tcPr>
          <w:p w14:paraId="71F89E4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蒸汽甲醛灭菌器</w:t>
            </w:r>
          </w:p>
        </w:tc>
        <w:tc>
          <w:tcPr>
            <w:tcW w:w="1123" w:type="dxa"/>
            <w:noWrap w:val="0"/>
            <w:tcMar>
              <w:top w:w="28" w:type="dxa"/>
              <w:left w:w="57" w:type="dxa"/>
              <w:bottom w:w="28" w:type="dxa"/>
              <w:right w:w="57" w:type="dxa"/>
            </w:tcMar>
            <w:vAlign w:val="center"/>
          </w:tcPr>
          <w:p w14:paraId="3253E9D7">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3ED7552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0679—2016</w:t>
            </w:r>
          </w:p>
        </w:tc>
        <w:tc>
          <w:tcPr>
            <w:tcW w:w="6096" w:type="dxa"/>
            <w:noWrap w:val="0"/>
            <w:tcMar>
              <w:top w:w="28" w:type="dxa"/>
              <w:left w:w="57" w:type="dxa"/>
              <w:bottom w:w="28" w:type="dxa"/>
              <w:right w:w="57" w:type="dxa"/>
            </w:tcMar>
            <w:vAlign w:val="center"/>
          </w:tcPr>
          <w:p w14:paraId="0FD02349">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本文件规定了蒸汽甲醛灭菌器的型式与标记、要求，描述了相应的试验方法。本文件适用于利用蒸汽和甲醛混合气体对不耐热医疗物品进行灭菌的灭菌器。</w:t>
            </w:r>
          </w:p>
        </w:tc>
        <w:tc>
          <w:tcPr>
            <w:tcW w:w="1637" w:type="dxa"/>
            <w:noWrap w:val="0"/>
            <w:tcMar>
              <w:top w:w="28" w:type="dxa"/>
              <w:left w:w="57" w:type="dxa"/>
              <w:bottom w:w="28" w:type="dxa"/>
              <w:right w:w="57" w:type="dxa"/>
            </w:tcMar>
            <w:vAlign w:val="center"/>
          </w:tcPr>
          <w:p w14:paraId="0D04B12D">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2027年1月1日</w:t>
            </w:r>
          </w:p>
        </w:tc>
      </w:tr>
      <w:tr w14:paraId="5870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06C202BC">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1</w:t>
            </w:r>
            <w:r>
              <w:rPr>
                <w:rFonts w:hint="eastAsia" w:ascii="Times New Roman" w:hAnsi="Times New Roman" w:eastAsia="仿宋_GB2312"/>
                <w:color w:val="000000"/>
                <w:sz w:val="28"/>
                <w:szCs w:val="28"/>
                <w:lang w:val="en-US" w:eastAsia="zh-CN"/>
              </w:rPr>
              <w:t>0</w:t>
            </w:r>
          </w:p>
        </w:tc>
        <w:tc>
          <w:tcPr>
            <w:tcW w:w="1569" w:type="dxa"/>
            <w:noWrap w:val="0"/>
            <w:tcMar>
              <w:top w:w="28" w:type="dxa"/>
              <w:left w:w="57" w:type="dxa"/>
              <w:bottom w:w="28" w:type="dxa"/>
              <w:right w:w="57" w:type="dxa"/>
            </w:tcMar>
            <w:vAlign w:val="center"/>
          </w:tcPr>
          <w:p w14:paraId="56C7A512">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0764—2025</w:t>
            </w:r>
          </w:p>
        </w:tc>
        <w:tc>
          <w:tcPr>
            <w:tcW w:w="1742" w:type="dxa"/>
            <w:noWrap w:val="0"/>
            <w:tcMar>
              <w:top w:w="28" w:type="dxa"/>
              <w:left w:w="57" w:type="dxa"/>
              <w:bottom w:w="28" w:type="dxa"/>
              <w:right w:w="57" w:type="dxa"/>
            </w:tcMar>
            <w:vAlign w:val="center"/>
          </w:tcPr>
          <w:p w14:paraId="015EBC57">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眼科仪器 视觉敏锐度测量用投影和电子视力表</w:t>
            </w:r>
          </w:p>
        </w:tc>
        <w:tc>
          <w:tcPr>
            <w:tcW w:w="1123" w:type="dxa"/>
            <w:noWrap w:val="0"/>
            <w:tcMar>
              <w:top w:w="28" w:type="dxa"/>
              <w:left w:w="57" w:type="dxa"/>
              <w:bottom w:w="28" w:type="dxa"/>
              <w:right w:w="57" w:type="dxa"/>
            </w:tcMar>
            <w:vAlign w:val="center"/>
          </w:tcPr>
          <w:p w14:paraId="705D061A">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49DE58F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0764—2009</w:t>
            </w:r>
          </w:p>
        </w:tc>
        <w:tc>
          <w:tcPr>
            <w:tcW w:w="6096" w:type="dxa"/>
            <w:noWrap w:val="0"/>
            <w:tcMar>
              <w:top w:w="28" w:type="dxa"/>
              <w:left w:w="57" w:type="dxa"/>
              <w:bottom w:w="28" w:type="dxa"/>
              <w:right w:w="57" w:type="dxa"/>
            </w:tcMar>
            <w:vAlign w:val="center"/>
          </w:tcPr>
          <w:p w14:paraId="31F79E39">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本文件规定了视觉敏锐度测量用投影和电子视力表的要求、随附文件和标记，描述了相应的试验方法。本文件适用于视觉敏锐度测量用投影和电子视力表。</w:t>
            </w:r>
          </w:p>
        </w:tc>
        <w:tc>
          <w:tcPr>
            <w:tcW w:w="1637" w:type="dxa"/>
            <w:noWrap w:val="0"/>
            <w:tcMar>
              <w:top w:w="28" w:type="dxa"/>
              <w:left w:w="57" w:type="dxa"/>
              <w:bottom w:w="28" w:type="dxa"/>
              <w:right w:w="57" w:type="dxa"/>
            </w:tcMar>
            <w:vAlign w:val="center"/>
          </w:tcPr>
          <w:p w14:paraId="07BDE3E4">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534A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871" w:type="dxa"/>
            <w:noWrap w:val="0"/>
            <w:tcMar>
              <w:top w:w="28" w:type="dxa"/>
              <w:left w:w="57" w:type="dxa"/>
              <w:bottom w:w="28" w:type="dxa"/>
              <w:right w:w="57" w:type="dxa"/>
            </w:tcMar>
            <w:vAlign w:val="center"/>
          </w:tcPr>
          <w:p w14:paraId="1EA9872A">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1</w:t>
            </w:r>
            <w:r>
              <w:rPr>
                <w:rFonts w:hint="eastAsia" w:ascii="Times New Roman" w:hAnsi="Times New Roman" w:eastAsia="仿宋_GB2312"/>
                <w:color w:val="000000"/>
                <w:sz w:val="28"/>
                <w:szCs w:val="28"/>
                <w:lang w:val="en-US" w:eastAsia="zh-CN"/>
              </w:rPr>
              <w:t>1</w:t>
            </w:r>
          </w:p>
        </w:tc>
        <w:tc>
          <w:tcPr>
            <w:tcW w:w="1569" w:type="dxa"/>
            <w:noWrap w:val="0"/>
            <w:tcMar>
              <w:top w:w="28" w:type="dxa"/>
              <w:left w:w="57" w:type="dxa"/>
              <w:bottom w:w="28" w:type="dxa"/>
              <w:right w:w="57" w:type="dxa"/>
            </w:tcMar>
            <w:vAlign w:val="center"/>
          </w:tcPr>
          <w:p w14:paraId="2F5575A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1274—2025</w:t>
            </w:r>
          </w:p>
        </w:tc>
        <w:tc>
          <w:tcPr>
            <w:tcW w:w="1742" w:type="dxa"/>
            <w:noWrap w:val="0"/>
            <w:tcMar>
              <w:top w:w="28" w:type="dxa"/>
              <w:left w:w="57" w:type="dxa"/>
              <w:bottom w:w="28" w:type="dxa"/>
              <w:right w:w="57" w:type="dxa"/>
            </w:tcMar>
            <w:vAlign w:val="center"/>
          </w:tcPr>
          <w:p w14:paraId="19CC904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腹膜透析设备</w:t>
            </w:r>
          </w:p>
        </w:tc>
        <w:tc>
          <w:tcPr>
            <w:tcW w:w="1123" w:type="dxa"/>
            <w:noWrap w:val="0"/>
            <w:tcMar>
              <w:top w:w="28" w:type="dxa"/>
              <w:left w:w="57" w:type="dxa"/>
              <w:bottom w:w="28" w:type="dxa"/>
              <w:right w:w="57" w:type="dxa"/>
            </w:tcMar>
            <w:vAlign w:val="center"/>
          </w:tcPr>
          <w:p w14:paraId="4AD24CF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5C398BA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1274—2016、YY/T 1493—2016</w:t>
            </w:r>
          </w:p>
        </w:tc>
        <w:tc>
          <w:tcPr>
            <w:tcW w:w="6096" w:type="dxa"/>
            <w:noWrap w:val="0"/>
            <w:tcMar>
              <w:top w:w="28" w:type="dxa"/>
              <w:left w:w="57" w:type="dxa"/>
              <w:bottom w:w="28" w:type="dxa"/>
              <w:right w:w="57" w:type="dxa"/>
            </w:tcMar>
            <w:vAlign w:val="center"/>
          </w:tcPr>
          <w:p w14:paraId="23F4FFBC">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腹膜透析设备的要求，并描述了相应的试验方法。本文件适用于腹膜透析设备（以下简称设备）。本文件不适用于：腹膜透析过程中的一次性消耗材料（如透析液、透析液管路）；连续性血液净化设备；血液透析设备。</w:t>
            </w:r>
          </w:p>
        </w:tc>
        <w:tc>
          <w:tcPr>
            <w:tcW w:w="1637" w:type="dxa"/>
            <w:noWrap w:val="0"/>
            <w:tcMar>
              <w:top w:w="28" w:type="dxa"/>
              <w:left w:w="57" w:type="dxa"/>
              <w:bottom w:w="28" w:type="dxa"/>
              <w:right w:w="57" w:type="dxa"/>
            </w:tcMar>
            <w:vAlign w:val="center"/>
          </w:tcPr>
          <w:p w14:paraId="7341CACE">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2027年1月1日</w:t>
            </w:r>
          </w:p>
        </w:tc>
      </w:tr>
      <w:tr w14:paraId="00E7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5A6A7B4A">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1</w:t>
            </w:r>
            <w:r>
              <w:rPr>
                <w:rFonts w:hint="eastAsia" w:ascii="Times New Roman" w:hAnsi="Times New Roman" w:eastAsia="仿宋_GB2312"/>
                <w:color w:val="000000"/>
                <w:sz w:val="28"/>
                <w:szCs w:val="28"/>
                <w:lang w:val="en-US" w:eastAsia="zh-CN"/>
              </w:rPr>
              <w:t>2</w:t>
            </w:r>
          </w:p>
        </w:tc>
        <w:tc>
          <w:tcPr>
            <w:tcW w:w="1569" w:type="dxa"/>
            <w:noWrap w:val="0"/>
            <w:tcMar>
              <w:top w:w="28" w:type="dxa"/>
              <w:left w:w="57" w:type="dxa"/>
              <w:bottom w:w="28" w:type="dxa"/>
              <w:right w:w="57" w:type="dxa"/>
            </w:tcMar>
            <w:vAlign w:val="center"/>
          </w:tcPr>
          <w:p w14:paraId="4A0A6B2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1488—2025</w:t>
            </w:r>
          </w:p>
        </w:tc>
        <w:tc>
          <w:tcPr>
            <w:tcW w:w="1742" w:type="dxa"/>
            <w:noWrap w:val="0"/>
            <w:tcMar>
              <w:top w:w="28" w:type="dxa"/>
              <w:left w:w="57" w:type="dxa"/>
              <w:bottom w:w="28" w:type="dxa"/>
              <w:right w:w="57" w:type="dxa"/>
            </w:tcMar>
            <w:vAlign w:val="center"/>
          </w:tcPr>
          <w:p w14:paraId="3435637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中医器械 舌象信息采集设备</w:t>
            </w:r>
          </w:p>
        </w:tc>
        <w:tc>
          <w:tcPr>
            <w:tcW w:w="1123" w:type="dxa"/>
            <w:noWrap w:val="0"/>
            <w:tcMar>
              <w:top w:w="28" w:type="dxa"/>
              <w:left w:w="57" w:type="dxa"/>
              <w:bottom w:w="28" w:type="dxa"/>
              <w:right w:w="57" w:type="dxa"/>
            </w:tcMar>
            <w:vAlign w:val="center"/>
          </w:tcPr>
          <w:p w14:paraId="3CE01E22">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1BC828A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1488—2016</w:t>
            </w:r>
          </w:p>
        </w:tc>
        <w:tc>
          <w:tcPr>
            <w:tcW w:w="6096" w:type="dxa"/>
            <w:noWrap w:val="0"/>
            <w:tcMar>
              <w:top w:w="28" w:type="dxa"/>
              <w:left w:w="57" w:type="dxa"/>
              <w:bottom w:w="28" w:type="dxa"/>
              <w:right w:w="57" w:type="dxa"/>
            </w:tcMar>
            <w:vAlign w:val="center"/>
          </w:tcPr>
          <w:p w14:paraId="21025B93">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本文件规定了舌象信息采集设备的要求，描述相应的试验方法。本文件适用于舌象信息采集设备。</w:t>
            </w:r>
          </w:p>
        </w:tc>
        <w:tc>
          <w:tcPr>
            <w:tcW w:w="1637" w:type="dxa"/>
            <w:noWrap w:val="0"/>
            <w:tcMar>
              <w:top w:w="28" w:type="dxa"/>
              <w:left w:w="57" w:type="dxa"/>
              <w:bottom w:w="28" w:type="dxa"/>
              <w:right w:w="57" w:type="dxa"/>
            </w:tcMar>
            <w:vAlign w:val="center"/>
          </w:tcPr>
          <w:p w14:paraId="0226D3A7">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592F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871" w:type="dxa"/>
            <w:noWrap w:val="0"/>
            <w:tcMar>
              <w:top w:w="28" w:type="dxa"/>
              <w:left w:w="57" w:type="dxa"/>
              <w:bottom w:w="28" w:type="dxa"/>
              <w:right w:w="57" w:type="dxa"/>
            </w:tcMar>
            <w:vAlign w:val="center"/>
          </w:tcPr>
          <w:p w14:paraId="5D90A060">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1</w:t>
            </w:r>
            <w:r>
              <w:rPr>
                <w:rFonts w:hint="eastAsia" w:ascii="Times New Roman" w:hAnsi="Times New Roman" w:eastAsia="仿宋_GB2312"/>
                <w:color w:val="000000"/>
                <w:sz w:val="28"/>
                <w:szCs w:val="28"/>
                <w:lang w:val="en-US" w:eastAsia="zh-CN"/>
              </w:rPr>
              <w:t>3</w:t>
            </w:r>
          </w:p>
        </w:tc>
        <w:tc>
          <w:tcPr>
            <w:tcW w:w="1569" w:type="dxa"/>
            <w:noWrap w:val="0"/>
            <w:tcMar>
              <w:top w:w="28" w:type="dxa"/>
              <w:left w:w="57" w:type="dxa"/>
              <w:bottom w:w="28" w:type="dxa"/>
              <w:right w:w="57" w:type="dxa"/>
            </w:tcMar>
            <w:vAlign w:val="center"/>
          </w:tcPr>
          <w:p w14:paraId="58B8F4B0">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1567—2025</w:t>
            </w:r>
          </w:p>
        </w:tc>
        <w:tc>
          <w:tcPr>
            <w:tcW w:w="1742" w:type="dxa"/>
            <w:noWrap w:val="0"/>
            <w:tcMar>
              <w:top w:w="28" w:type="dxa"/>
              <w:left w:w="57" w:type="dxa"/>
              <w:bottom w:w="28" w:type="dxa"/>
              <w:right w:w="57" w:type="dxa"/>
            </w:tcMar>
            <w:vAlign w:val="center"/>
          </w:tcPr>
          <w:p w14:paraId="3342ADD7">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女用避孕套 技术要求与试验方法</w:t>
            </w:r>
          </w:p>
        </w:tc>
        <w:tc>
          <w:tcPr>
            <w:tcW w:w="1123" w:type="dxa"/>
            <w:noWrap w:val="0"/>
            <w:tcMar>
              <w:top w:w="28" w:type="dxa"/>
              <w:left w:w="57" w:type="dxa"/>
              <w:bottom w:w="28" w:type="dxa"/>
              <w:right w:w="57" w:type="dxa"/>
            </w:tcMar>
            <w:vAlign w:val="center"/>
          </w:tcPr>
          <w:p w14:paraId="48D542F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修订</w:t>
            </w:r>
          </w:p>
        </w:tc>
        <w:tc>
          <w:tcPr>
            <w:tcW w:w="1543" w:type="dxa"/>
            <w:noWrap w:val="0"/>
            <w:tcMar>
              <w:top w:w="28" w:type="dxa"/>
              <w:left w:w="57" w:type="dxa"/>
              <w:bottom w:w="28" w:type="dxa"/>
              <w:right w:w="57" w:type="dxa"/>
            </w:tcMar>
            <w:vAlign w:val="center"/>
          </w:tcPr>
          <w:p w14:paraId="4F407222">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1567—2017</w:t>
            </w:r>
          </w:p>
        </w:tc>
        <w:tc>
          <w:tcPr>
            <w:tcW w:w="6096" w:type="dxa"/>
            <w:noWrap w:val="0"/>
            <w:tcMar>
              <w:top w:w="28" w:type="dxa"/>
              <w:left w:w="57" w:type="dxa"/>
              <w:bottom w:w="28" w:type="dxa"/>
              <w:right w:w="57" w:type="dxa"/>
            </w:tcMar>
            <w:vAlign w:val="center"/>
          </w:tcPr>
          <w:p w14:paraId="1547B3EB">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本文件规定了女用避孕套的最低技术要求，描述了相应的试验方法。本文件适用于提供给消费者用于避孕并有助于防止性传播疾病的女用避孕套。</w:t>
            </w:r>
          </w:p>
        </w:tc>
        <w:tc>
          <w:tcPr>
            <w:tcW w:w="1637" w:type="dxa"/>
            <w:noWrap w:val="0"/>
            <w:tcMar>
              <w:top w:w="28" w:type="dxa"/>
              <w:left w:w="57" w:type="dxa"/>
              <w:bottom w:w="28" w:type="dxa"/>
              <w:right w:w="57" w:type="dxa"/>
            </w:tcMar>
            <w:vAlign w:val="center"/>
          </w:tcPr>
          <w:p w14:paraId="7D416075">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6B09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871" w:type="dxa"/>
            <w:noWrap w:val="0"/>
            <w:tcMar>
              <w:top w:w="28" w:type="dxa"/>
              <w:left w:w="57" w:type="dxa"/>
              <w:bottom w:w="28" w:type="dxa"/>
              <w:right w:w="57" w:type="dxa"/>
            </w:tcMar>
            <w:vAlign w:val="center"/>
          </w:tcPr>
          <w:p w14:paraId="0FB2F6D8">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1</w:t>
            </w:r>
            <w:r>
              <w:rPr>
                <w:rFonts w:hint="eastAsia" w:ascii="Times New Roman" w:hAnsi="Times New Roman" w:eastAsia="仿宋_GB2312"/>
                <w:color w:val="000000"/>
                <w:sz w:val="28"/>
                <w:szCs w:val="28"/>
                <w:lang w:val="en-US" w:eastAsia="zh-CN"/>
              </w:rPr>
              <w:t>4</w:t>
            </w:r>
          </w:p>
        </w:tc>
        <w:tc>
          <w:tcPr>
            <w:tcW w:w="1569" w:type="dxa"/>
            <w:noWrap w:val="0"/>
            <w:tcMar>
              <w:top w:w="28" w:type="dxa"/>
              <w:left w:w="57" w:type="dxa"/>
              <w:bottom w:w="28" w:type="dxa"/>
              <w:right w:w="57" w:type="dxa"/>
            </w:tcMar>
            <w:vAlign w:val="center"/>
          </w:tcPr>
          <w:p w14:paraId="2147F59A">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1945—2025</w:t>
            </w:r>
          </w:p>
        </w:tc>
        <w:tc>
          <w:tcPr>
            <w:tcW w:w="1742" w:type="dxa"/>
            <w:noWrap w:val="0"/>
            <w:tcMar>
              <w:top w:w="28" w:type="dxa"/>
              <w:left w:w="57" w:type="dxa"/>
              <w:bottom w:w="28" w:type="dxa"/>
              <w:right w:w="57" w:type="dxa"/>
            </w:tcMar>
            <w:vAlign w:val="center"/>
          </w:tcPr>
          <w:p w14:paraId="77D8BBA0">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血液融化设备</w:t>
            </w:r>
          </w:p>
        </w:tc>
        <w:tc>
          <w:tcPr>
            <w:tcW w:w="1123" w:type="dxa"/>
            <w:noWrap w:val="0"/>
            <w:tcMar>
              <w:top w:w="28" w:type="dxa"/>
              <w:left w:w="57" w:type="dxa"/>
              <w:bottom w:w="28" w:type="dxa"/>
              <w:right w:w="57" w:type="dxa"/>
            </w:tcMar>
            <w:vAlign w:val="center"/>
          </w:tcPr>
          <w:p w14:paraId="521972D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42065A28">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095006F1">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本文件规定了血液融化设备（以下简称融化设备）的要求，描述了相应的试验方法。本文件适用于采用恒温水解冻原理的融化设备。</w:t>
            </w:r>
            <w:r>
              <w:rPr>
                <w:rFonts w:hint="eastAsia" w:ascii="Times New Roman" w:hAnsi="Times New Roman" w:eastAsia="仿宋_GB2312"/>
                <w:color w:val="000000"/>
                <w:sz w:val="28"/>
                <w:szCs w:val="28"/>
              </w:rPr>
              <w:br w:type="textWrapping"/>
            </w:r>
            <w:r>
              <w:rPr>
                <w:rFonts w:hint="eastAsia" w:ascii="Times New Roman" w:hAnsi="Times New Roman" w:eastAsia="仿宋_GB2312"/>
                <w:color w:val="000000"/>
                <w:sz w:val="28"/>
                <w:szCs w:val="28"/>
              </w:rPr>
              <w:t>本文件不适用于制备冷沉淀的血浆融化设备和采用微波炉法、射频法、干热空气法的融化设备。</w:t>
            </w:r>
          </w:p>
        </w:tc>
        <w:tc>
          <w:tcPr>
            <w:tcW w:w="1637" w:type="dxa"/>
            <w:noWrap w:val="0"/>
            <w:tcMar>
              <w:top w:w="28" w:type="dxa"/>
              <w:left w:w="57" w:type="dxa"/>
              <w:bottom w:w="28" w:type="dxa"/>
              <w:right w:w="57" w:type="dxa"/>
            </w:tcMar>
            <w:vAlign w:val="center"/>
          </w:tcPr>
          <w:p w14:paraId="10518F53">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2027年7月1日</w:t>
            </w:r>
          </w:p>
        </w:tc>
      </w:tr>
      <w:tr w14:paraId="4363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6" w:hRule="atLeast"/>
          <w:jc w:val="center"/>
        </w:trPr>
        <w:tc>
          <w:tcPr>
            <w:tcW w:w="871" w:type="dxa"/>
            <w:noWrap w:val="0"/>
            <w:tcMar>
              <w:top w:w="28" w:type="dxa"/>
              <w:left w:w="57" w:type="dxa"/>
              <w:bottom w:w="28" w:type="dxa"/>
              <w:right w:w="57" w:type="dxa"/>
            </w:tcMar>
            <w:vAlign w:val="center"/>
          </w:tcPr>
          <w:p w14:paraId="6E9A58ED">
            <w:pPr>
              <w:adjustRightInd w:val="0"/>
              <w:snapToGrid w:val="0"/>
              <w:spacing w:line="32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w:t>
            </w:r>
            <w:r>
              <w:rPr>
                <w:rFonts w:hint="eastAsia" w:ascii="Times New Roman" w:hAnsi="Times New Roman" w:eastAsia="仿宋_GB2312"/>
                <w:color w:val="000000"/>
                <w:sz w:val="28"/>
                <w:szCs w:val="28"/>
                <w:lang w:val="en-US" w:eastAsia="zh-CN"/>
              </w:rPr>
              <w:t>5</w:t>
            </w:r>
          </w:p>
        </w:tc>
        <w:tc>
          <w:tcPr>
            <w:tcW w:w="1569" w:type="dxa"/>
            <w:noWrap w:val="0"/>
            <w:tcMar>
              <w:top w:w="28" w:type="dxa"/>
              <w:left w:w="57" w:type="dxa"/>
              <w:bottom w:w="28" w:type="dxa"/>
              <w:right w:w="57" w:type="dxa"/>
            </w:tcMar>
            <w:vAlign w:val="center"/>
          </w:tcPr>
          <w:p w14:paraId="2F2971D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1958—2025</w:t>
            </w:r>
          </w:p>
        </w:tc>
        <w:tc>
          <w:tcPr>
            <w:tcW w:w="1742" w:type="dxa"/>
            <w:noWrap w:val="0"/>
            <w:tcMar>
              <w:top w:w="28" w:type="dxa"/>
              <w:left w:w="57" w:type="dxa"/>
              <w:bottom w:w="28" w:type="dxa"/>
              <w:right w:w="57" w:type="dxa"/>
            </w:tcMar>
            <w:vAlign w:val="center"/>
          </w:tcPr>
          <w:p w14:paraId="40E2944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17α-羟孕酮测定试剂盒（标记免疫分析法）</w:t>
            </w:r>
          </w:p>
        </w:tc>
        <w:tc>
          <w:tcPr>
            <w:tcW w:w="1123" w:type="dxa"/>
            <w:noWrap w:val="0"/>
            <w:tcMar>
              <w:top w:w="28" w:type="dxa"/>
              <w:left w:w="57" w:type="dxa"/>
              <w:bottom w:w="28" w:type="dxa"/>
              <w:right w:w="57" w:type="dxa"/>
            </w:tcMar>
            <w:vAlign w:val="center"/>
          </w:tcPr>
          <w:p w14:paraId="32068D37">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5F216C02">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133461EC">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17α-羟孕酮测定试剂盒（标记免疫分析法）的技术要求、标识、标签和使用说明、包装、运输和贮存，描述了相应的试验方法。本文件适用于以酶标记、（电）化学发光标记、（时间分辨）荧光标记等方法体外定量测定人血清、血浆、足跟血（滤纸干血片）中17α-羟孕酮含量的免疫分析试剂盒。本文件不适用于：a）免疫层析试剂盒；b）拟用于单独销售的校准品、质控品。</w:t>
            </w:r>
          </w:p>
        </w:tc>
        <w:tc>
          <w:tcPr>
            <w:tcW w:w="1637" w:type="dxa"/>
            <w:noWrap w:val="0"/>
            <w:tcMar>
              <w:top w:w="28" w:type="dxa"/>
              <w:left w:w="57" w:type="dxa"/>
              <w:bottom w:w="28" w:type="dxa"/>
              <w:right w:w="57" w:type="dxa"/>
            </w:tcMar>
            <w:vAlign w:val="center"/>
          </w:tcPr>
          <w:p w14:paraId="7F235EBA">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2356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3" w:hRule="atLeast"/>
          <w:jc w:val="center"/>
        </w:trPr>
        <w:tc>
          <w:tcPr>
            <w:tcW w:w="871" w:type="dxa"/>
            <w:noWrap w:val="0"/>
            <w:tcMar>
              <w:top w:w="28" w:type="dxa"/>
              <w:left w:w="57" w:type="dxa"/>
              <w:bottom w:w="28" w:type="dxa"/>
              <w:right w:w="57" w:type="dxa"/>
            </w:tcMar>
            <w:vAlign w:val="center"/>
          </w:tcPr>
          <w:p w14:paraId="43FB8800">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1</w:t>
            </w:r>
            <w:r>
              <w:rPr>
                <w:rFonts w:hint="eastAsia" w:ascii="Times New Roman" w:hAnsi="Times New Roman" w:eastAsia="仿宋_GB2312"/>
                <w:color w:val="000000"/>
                <w:sz w:val="28"/>
                <w:szCs w:val="28"/>
                <w:lang w:val="en-US" w:eastAsia="zh-CN"/>
              </w:rPr>
              <w:t>6</w:t>
            </w:r>
          </w:p>
        </w:tc>
        <w:tc>
          <w:tcPr>
            <w:tcW w:w="1569" w:type="dxa"/>
            <w:noWrap w:val="0"/>
            <w:tcMar>
              <w:top w:w="28" w:type="dxa"/>
              <w:left w:w="57" w:type="dxa"/>
              <w:bottom w:w="28" w:type="dxa"/>
              <w:right w:w="57" w:type="dxa"/>
            </w:tcMar>
            <w:vAlign w:val="center"/>
          </w:tcPr>
          <w:p w14:paraId="1B7FEB7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1959—2025</w:t>
            </w:r>
          </w:p>
        </w:tc>
        <w:tc>
          <w:tcPr>
            <w:tcW w:w="1742" w:type="dxa"/>
            <w:noWrap w:val="0"/>
            <w:tcMar>
              <w:top w:w="28" w:type="dxa"/>
              <w:left w:w="57" w:type="dxa"/>
              <w:bottom w:w="28" w:type="dxa"/>
              <w:right w:w="57" w:type="dxa"/>
            </w:tcMar>
            <w:vAlign w:val="center"/>
          </w:tcPr>
          <w:p w14:paraId="1BE3164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口腔内数字化X射线成像系统专用技术条件</w:t>
            </w:r>
          </w:p>
        </w:tc>
        <w:tc>
          <w:tcPr>
            <w:tcW w:w="1123" w:type="dxa"/>
            <w:noWrap w:val="0"/>
            <w:tcMar>
              <w:top w:w="28" w:type="dxa"/>
              <w:left w:w="57" w:type="dxa"/>
              <w:bottom w:w="28" w:type="dxa"/>
              <w:right w:w="57" w:type="dxa"/>
            </w:tcMar>
            <w:vAlign w:val="center"/>
          </w:tcPr>
          <w:p w14:paraId="7EF8DBB3">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150F6DDA">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7F8CC4EB">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界定了口腔内数字化X射线成像系统（以下简称成像系统）的术语和定义，规定了分类和组成、要求，描述了相应的试验方法。本文件适用于使用具有单次曝光成像功能的数字化X射线探测器的成像系统。本文件不适用于：采用胶片或者光激励磷光影像板作为X射线接收器的口内成像；口外X射线成像系统。</w:t>
            </w:r>
          </w:p>
        </w:tc>
        <w:tc>
          <w:tcPr>
            <w:tcW w:w="1637" w:type="dxa"/>
            <w:noWrap w:val="0"/>
            <w:tcMar>
              <w:top w:w="28" w:type="dxa"/>
              <w:left w:w="57" w:type="dxa"/>
              <w:bottom w:w="28" w:type="dxa"/>
              <w:right w:w="57" w:type="dxa"/>
            </w:tcMar>
            <w:vAlign w:val="center"/>
          </w:tcPr>
          <w:p w14:paraId="06C61FE6">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316B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3" w:hRule="atLeast"/>
          <w:jc w:val="center"/>
        </w:trPr>
        <w:tc>
          <w:tcPr>
            <w:tcW w:w="871" w:type="dxa"/>
            <w:noWrap w:val="0"/>
            <w:tcMar>
              <w:top w:w="28" w:type="dxa"/>
              <w:left w:w="57" w:type="dxa"/>
              <w:bottom w:w="28" w:type="dxa"/>
              <w:right w:w="57" w:type="dxa"/>
            </w:tcMar>
            <w:vAlign w:val="center"/>
          </w:tcPr>
          <w:p w14:paraId="44B4A8EB">
            <w:pPr>
              <w:adjustRightInd w:val="0"/>
              <w:snapToGrid w:val="0"/>
              <w:spacing w:line="32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17</w:t>
            </w:r>
          </w:p>
        </w:tc>
        <w:tc>
          <w:tcPr>
            <w:tcW w:w="1569" w:type="dxa"/>
            <w:noWrap w:val="0"/>
            <w:tcMar>
              <w:top w:w="28" w:type="dxa"/>
              <w:left w:w="57" w:type="dxa"/>
              <w:bottom w:w="28" w:type="dxa"/>
              <w:right w:w="57" w:type="dxa"/>
            </w:tcMar>
            <w:vAlign w:val="center"/>
          </w:tcPr>
          <w:p w14:paraId="63505968">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1960—2025</w:t>
            </w:r>
          </w:p>
        </w:tc>
        <w:tc>
          <w:tcPr>
            <w:tcW w:w="1742" w:type="dxa"/>
            <w:noWrap w:val="0"/>
            <w:tcMar>
              <w:top w:w="28" w:type="dxa"/>
              <w:left w:w="57" w:type="dxa"/>
              <w:bottom w:w="28" w:type="dxa"/>
              <w:right w:w="57" w:type="dxa"/>
            </w:tcMar>
            <w:vAlign w:val="center"/>
          </w:tcPr>
          <w:p w14:paraId="404C34E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医疗器械 制造商提供的信息</w:t>
            </w:r>
          </w:p>
        </w:tc>
        <w:tc>
          <w:tcPr>
            <w:tcW w:w="1123" w:type="dxa"/>
            <w:noWrap w:val="0"/>
            <w:tcMar>
              <w:top w:w="28" w:type="dxa"/>
              <w:left w:w="57" w:type="dxa"/>
              <w:bottom w:w="28" w:type="dxa"/>
              <w:right w:w="57" w:type="dxa"/>
            </w:tcMar>
            <w:vAlign w:val="center"/>
          </w:tcPr>
          <w:p w14:paraId="445A2F9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4A9B5863">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69CB79BE">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医疗器械或附件制造商提供的信息的要求。本文件包括在医疗器械或附件本身及其包装上的标识和标签、医疗器械或附件的标示以及随附信息的普遍适用的要求。本文件不规定提供信息的方式。医疗器械产品标准或专业标准的规定要求优先于本文件的要求。</w:t>
            </w:r>
          </w:p>
        </w:tc>
        <w:tc>
          <w:tcPr>
            <w:tcW w:w="1637" w:type="dxa"/>
            <w:noWrap w:val="0"/>
            <w:tcMar>
              <w:top w:w="28" w:type="dxa"/>
              <w:left w:w="57" w:type="dxa"/>
              <w:bottom w:w="28" w:type="dxa"/>
              <w:right w:w="57" w:type="dxa"/>
            </w:tcMar>
            <w:vAlign w:val="center"/>
          </w:tcPr>
          <w:p w14:paraId="712BD83F">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6352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4" w:hRule="atLeast"/>
          <w:jc w:val="center"/>
        </w:trPr>
        <w:tc>
          <w:tcPr>
            <w:tcW w:w="871" w:type="dxa"/>
            <w:noWrap w:val="0"/>
            <w:tcMar>
              <w:top w:w="28" w:type="dxa"/>
              <w:left w:w="57" w:type="dxa"/>
              <w:bottom w:w="28" w:type="dxa"/>
              <w:right w:w="57" w:type="dxa"/>
            </w:tcMar>
            <w:vAlign w:val="center"/>
          </w:tcPr>
          <w:p w14:paraId="7E99E6D7">
            <w:pPr>
              <w:adjustRightInd w:val="0"/>
              <w:snapToGrid w:val="0"/>
              <w:spacing w:line="32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18</w:t>
            </w:r>
          </w:p>
        </w:tc>
        <w:tc>
          <w:tcPr>
            <w:tcW w:w="1569" w:type="dxa"/>
            <w:noWrap w:val="0"/>
            <w:tcMar>
              <w:top w:w="28" w:type="dxa"/>
              <w:left w:w="57" w:type="dxa"/>
              <w:bottom w:w="28" w:type="dxa"/>
              <w:right w:w="57" w:type="dxa"/>
            </w:tcMar>
            <w:vAlign w:val="center"/>
          </w:tcPr>
          <w:p w14:paraId="374BD85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1961—2025</w:t>
            </w:r>
          </w:p>
        </w:tc>
        <w:tc>
          <w:tcPr>
            <w:tcW w:w="1742" w:type="dxa"/>
            <w:noWrap w:val="0"/>
            <w:tcMar>
              <w:top w:w="28" w:type="dxa"/>
              <w:left w:w="57" w:type="dxa"/>
              <w:bottom w:w="28" w:type="dxa"/>
              <w:right w:w="57" w:type="dxa"/>
            </w:tcMar>
            <w:vAlign w:val="center"/>
          </w:tcPr>
          <w:p w14:paraId="58AEF27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运动神经元存活基因（SMN）检测试剂盒</w:t>
            </w:r>
          </w:p>
        </w:tc>
        <w:tc>
          <w:tcPr>
            <w:tcW w:w="1123" w:type="dxa"/>
            <w:noWrap w:val="0"/>
            <w:tcMar>
              <w:top w:w="28" w:type="dxa"/>
              <w:left w:w="57" w:type="dxa"/>
              <w:bottom w:w="28" w:type="dxa"/>
              <w:right w:w="57" w:type="dxa"/>
            </w:tcMar>
            <w:vAlign w:val="center"/>
          </w:tcPr>
          <w:p w14:paraId="25BC5E5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76EF5F5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168E1321">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本文件规定了运动神经元存活基因（SMN）检测试剂盒的要求、标识、标签和使用说明以及包装、运输、贮存</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rPr>
              <w:t>描述了相应的试验方法。本文件适用于荧光定量PCR法、PCR—荧光探针法、荧光PCR—毛细管电泳法、荧光PCR熔解曲线法建立的检测试剂盒。</w:t>
            </w:r>
          </w:p>
        </w:tc>
        <w:tc>
          <w:tcPr>
            <w:tcW w:w="1637" w:type="dxa"/>
            <w:noWrap w:val="0"/>
            <w:tcMar>
              <w:top w:w="28" w:type="dxa"/>
              <w:left w:w="57" w:type="dxa"/>
              <w:bottom w:w="28" w:type="dxa"/>
              <w:right w:w="57" w:type="dxa"/>
            </w:tcMar>
            <w:vAlign w:val="center"/>
          </w:tcPr>
          <w:p w14:paraId="03B6CF66">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3D27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jc w:val="center"/>
        </w:trPr>
        <w:tc>
          <w:tcPr>
            <w:tcW w:w="871" w:type="dxa"/>
            <w:noWrap w:val="0"/>
            <w:tcMar>
              <w:top w:w="28" w:type="dxa"/>
              <w:left w:w="57" w:type="dxa"/>
              <w:bottom w:w="28" w:type="dxa"/>
              <w:right w:w="57" w:type="dxa"/>
            </w:tcMar>
            <w:vAlign w:val="center"/>
          </w:tcPr>
          <w:p w14:paraId="03EA40D2">
            <w:pPr>
              <w:adjustRightInd w:val="0"/>
              <w:snapToGrid w:val="0"/>
              <w:spacing w:line="32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19</w:t>
            </w:r>
          </w:p>
        </w:tc>
        <w:tc>
          <w:tcPr>
            <w:tcW w:w="1569" w:type="dxa"/>
            <w:noWrap w:val="0"/>
            <w:tcMar>
              <w:top w:w="28" w:type="dxa"/>
              <w:left w:w="57" w:type="dxa"/>
              <w:bottom w:w="28" w:type="dxa"/>
              <w:right w:w="57" w:type="dxa"/>
            </w:tcMar>
            <w:vAlign w:val="center"/>
          </w:tcPr>
          <w:p w14:paraId="08109FBF">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1962—2025</w:t>
            </w:r>
          </w:p>
        </w:tc>
        <w:tc>
          <w:tcPr>
            <w:tcW w:w="1742" w:type="dxa"/>
            <w:noWrap w:val="0"/>
            <w:tcMar>
              <w:top w:w="28" w:type="dxa"/>
              <w:left w:w="57" w:type="dxa"/>
              <w:bottom w:w="28" w:type="dxa"/>
              <w:right w:w="57" w:type="dxa"/>
            </w:tcMar>
            <w:vAlign w:val="center"/>
          </w:tcPr>
          <w:p w14:paraId="178F5640">
            <w:pPr>
              <w:adjustRightInd w:val="0"/>
              <w:snapToGrid w:val="0"/>
              <w:spacing w:line="320" w:lineRule="exact"/>
              <w:jc w:val="center"/>
              <w:rPr>
                <w:rFonts w:ascii="Times New Roman" w:hAnsi="Times New Roman" w:eastAsia="仿宋_GB2312" w:cs="Arial"/>
                <w:color w:val="000000"/>
                <w:sz w:val="28"/>
                <w:szCs w:val="28"/>
              </w:rPr>
            </w:pPr>
            <w:r>
              <w:rPr>
                <w:rFonts w:hint="eastAsia" w:ascii="Times New Roman" w:hAnsi="Times New Roman" w:eastAsia="仿宋_GB2312" w:cs="Arial"/>
                <w:color w:val="000000"/>
                <w:sz w:val="28"/>
                <w:szCs w:val="28"/>
              </w:rPr>
              <w:t>醛固酮测定试剂盒（化学发光免疫分析法）</w:t>
            </w:r>
          </w:p>
        </w:tc>
        <w:tc>
          <w:tcPr>
            <w:tcW w:w="1123" w:type="dxa"/>
            <w:noWrap w:val="0"/>
            <w:tcMar>
              <w:top w:w="28" w:type="dxa"/>
              <w:left w:w="57" w:type="dxa"/>
              <w:bottom w:w="28" w:type="dxa"/>
              <w:right w:w="57" w:type="dxa"/>
            </w:tcMar>
            <w:vAlign w:val="center"/>
          </w:tcPr>
          <w:p w14:paraId="1A5F91B6">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4CC9CAB3">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5E1E9E34">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醛固酮测定试剂盒（化学发光免疫分析法）的技术要求、标识、标签和使用说明书、包装、运输和贮存，描述了相应的试验方法。本文件适用于以化学发光免疫分析为原理定量测定人血清或血浆中醛固酮的试剂盒。</w:t>
            </w:r>
          </w:p>
        </w:tc>
        <w:tc>
          <w:tcPr>
            <w:tcW w:w="1637" w:type="dxa"/>
            <w:noWrap w:val="0"/>
            <w:tcMar>
              <w:top w:w="28" w:type="dxa"/>
              <w:left w:w="57" w:type="dxa"/>
              <w:bottom w:w="28" w:type="dxa"/>
              <w:right w:w="57" w:type="dxa"/>
            </w:tcMar>
            <w:vAlign w:val="center"/>
          </w:tcPr>
          <w:p w14:paraId="1CF4B3BC">
            <w:pPr>
              <w:adjustRightInd w:val="0"/>
              <w:snapToGrid w:val="0"/>
              <w:spacing w:line="320" w:lineRule="exact"/>
              <w:jc w:val="center"/>
              <w:rPr>
                <w:rFonts w:ascii="Times New Roman" w:hAnsi="Times New Roman" w:eastAsia="仿宋_GB2312" w:cs="宋体"/>
                <w:color w:val="000000"/>
                <w:sz w:val="28"/>
                <w:szCs w:val="28"/>
              </w:rPr>
            </w:pPr>
            <w:r>
              <w:rPr>
                <w:rFonts w:hint="default" w:ascii="Times New Roman" w:hAnsi="Times New Roman" w:eastAsia="仿宋_GB2312"/>
                <w:color w:val="000000"/>
                <w:sz w:val="28"/>
                <w:szCs w:val="28"/>
                <w:lang w:val="en-US"/>
              </w:rPr>
              <w:t>202</w:t>
            </w:r>
            <w:r>
              <w:rPr>
                <w:rFonts w:hint="eastAsia" w:ascii="Times New Roman" w:hAnsi="Times New Roman" w:eastAsia="仿宋_GB2312"/>
                <w:color w:val="000000"/>
                <w:sz w:val="28"/>
                <w:szCs w:val="28"/>
                <w:lang w:val="en-US" w:eastAsia="zh-CN"/>
              </w:rPr>
              <w:t>6年</w:t>
            </w:r>
            <w:r>
              <w:rPr>
                <w:rFonts w:hint="default" w:ascii="Times New Roman" w:hAnsi="Times New Roman" w:eastAsia="仿宋_GB2312"/>
                <w:color w:val="000000"/>
                <w:sz w:val="28"/>
                <w:szCs w:val="28"/>
                <w:lang w:val="en-US" w:eastAsia="zh-CN"/>
              </w:rPr>
              <w:t>7</w:t>
            </w:r>
            <w:r>
              <w:rPr>
                <w:rFonts w:hint="eastAsia" w:ascii="Times New Roman" w:hAnsi="Times New Roman" w:eastAsia="仿宋_GB2312"/>
                <w:color w:val="000000"/>
                <w:sz w:val="28"/>
                <w:szCs w:val="28"/>
                <w:lang w:val="en-US" w:eastAsia="zh-CN"/>
              </w:rPr>
              <w:t>月1日</w:t>
            </w:r>
          </w:p>
        </w:tc>
      </w:tr>
      <w:tr w14:paraId="3CFF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atLeast"/>
          <w:jc w:val="center"/>
        </w:trPr>
        <w:tc>
          <w:tcPr>
            <w:tcW w:w="871" w:type="dxa"/>
            <w:noWrap w:val="0"/>
            <w:tcMar>
              <w:top w:w="28" w:type="dxa"/>
              <w:left w:w="57" w:type="dxa"/>
              <w:bottom w:w="28" w:type="dxa"/>
              <w:right w:w="57" w:type="dxa"/>
            </w:tcMar>
            <w:vAlign w:val="center"/>
          </w:tcPr>
          <w:p w14:paraId="475D3870">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2</w:t>
            </w:r>
            <w:r>
              <w:rPr>
                <w:rFonts w:hint="eastAsia" w:ascii="Times New Roman" w:hAnsi="Times New Roman" w:eastAsia="仿宋_GB2312"/>
                <w:color w:val="000000"/>
                <w:sz w:val="28"/>
                <w:szCs w:val="28"/>
                <w:lang w:val="en-US" w:eastAsia="zh-CN"/>
              </w:rPr>
              <w:t>0</w:t>
            </w:r>
          </w:p>
        </w:tc>
        <w:tc>
          <w:tcPr>
            <w:tcW w:w="1569" w:type="dxa"/>
            <w:noWrap w:val="0"/>
            <w:tcMar>
              <w:top w:w="28" w:type="dxa"/>
              <w:left w:w="57" w:type="dxa"/>
              <w:bottom w:w="28" w:type="dxa"/>
              <w:right w:w="57" w:type="dxa"/>
            </w:tcMar>
            <w:vAlign w:val="center"/>
          </w:tcPr>
          <w:p w14:paraId="19AB133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1963—2025</w:t>
            </w:r>
          </w:p>
        </w:tc>
        <w:tc>
          <w:tcPr>
            <w:tcW w:w="1742" w:type="dxa"/>
            <w:noWrap w:val="0"/>
            <w:tcMar>
              <w:top w:w="28" w:type="dxa"/>
              <w:left w:w="57" w:type="dxa"/>
              <w:bottom w:w="28" w:type="dxa"/>
              <w:right w:w="57" w:type="dxa"/>
            </w:tcMar>
            <w:vAlign w:val="center"/>
          </w:tcPr>
          <w:p w14:paraId="63FF0FDF">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结直肠癌相关基因甲基化检测试剂盒（荧光PCR法）</w:t>
            </w:r>
          </w:p>
        </w:tc>
        <w:tc>
          <w:tcPr>
            <w:tcW w:w="1123" w:type="dxa"/>
            <w:noWrap w:val="0"/>
            <w:tcMar>
              <w:top w:w="28" w:type="dxa"/>
              <w:left w:w="57" w:type="dxa"/>
              <w:bottom w:w="28" w:type="dxa"/>
              <w:right w:w="57" w:type="dxa"/>
            </w:tcMar>
            <w:vAlign w:val="center"/>
          </w:tcPr>
          <w:p w14:paraId="66B0D9F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2277E1A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11FECEB1">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本文件规定了结直肠癌相关基因甲基化检测试剂盒的要求、标签和使用说明</w:t>
            </w:r>
            <w:r>
              <w:rPr>
                <w:rFonts w:hint="eastAsia" w:ascii="Times New Roman" w:hAnsi="Times New Roman" w:eastAsia="仿宋_GB2312"/>
                <w:color w:val="000000"/>
                <w:sz w:val="28"/>
                <w:szCs w:val="28"/>
                <w:lang w:eastAsia="zh-CN"/>
              </w:rPr>
              <w:t>以及</w:t>
            </w:r>
            <w:r>
              <w:rPr>
                <w:rFonts w:hint="eastAsia" w:ascii="Times New Roman" w:hAnsi="Times New Roman" w:eastAsia="仿宋_GB2312"/>
                <w:color w:val="000000"/>
                <w:sz w:val="28"/>
                <w:szCs w:val="28"/>
              </w:rPr>
              <w:t>包装、运输和贮存，描述了相应的试验方法。本文件适用于定性检测外周血血浆和粪便样本的结直肠癌相关基因甲基化状态，如Septin9、SDC2、BCAT1、SFRP2、TFPI2、NDRG4和BMP3等基因。</w:t>
            </w:r>
            <w:r>
              <w:rPr>
                <w:rFonts w:hint="eastAsia" w:ascii="Times New Roman" w:hAnsi="Times New Roman" w:eastAsia="仿宋_GB2312"/>
                <w:color w:val="000000"/>
                <w:sz w:val="28"/>
                <w:szCs w:val="28"/>
              </w:rPr>
              <w:br w:type="textWrapping"/>
            </w:r>
            <w:r>
              <w:rPr>
                <w:rFonts w:hint="eastAsia" w:ascii="Times New Roman" w:hAnsi="Times New Roman" w:eastAsia="仿宋_GB2312"/>
                <w:color w:val="000000"/>
                <w:sz w:val="28"/>
                <w:szCs w:val="28"/>
              </w:rPr>
              <w:t>本文件适用于荧光PCR法、PCR荧光探针法等方法的试剂盒，不适用于高通量测序法的试剂盒。</w:t>
            </w:r>
          </w:p>
        </w:tc>
        <w:tc>
          <w:tcPr>
            <w:tcW w:w="1637" w:type="dxa"/>
            <w:noWrap w:val="0"/>
            <w:tcMar>
              <w:top w:w="28" w:type="dxa"/>
              <w:left w:w="57" w:type="dxa"/>
              <w:bottom w:w="28" w:type="dxa"/>
              <w:right w:w="57" w:type="dxa"/>
            </w:tcMar>
            <w:vAlign w:val="center"/>
          </w:tcPr>
          <w:p w14:paraId="1E346778">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0AA0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6" w:hRule="atLeast"/>
          <w:jc w:val="center"/>
        </w:trPr>
        <w:tc>
          <w:tcPr>
            <w:tcW w:w="871" w:type="dxa"/>
            <w:noWrap w:val="0"/>
            <w:tcMar>
              <w:top w:w="28" w:type="dxa"/>
              <w:left w:w="57" w:type="dxa"/>
              <w:bottom w:w="28" w:type="dxa"/>
              <w:right w:w="57" w:type="dxa"/>
            </w:tcMar>
            <w:vAlign w:val="center"/>
          </w:tcPr>
          <w:p w14:paraId="1C7DBF0F">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2</w:t>
            </w:r>
            <w:r>
              <w:rPr>
                <w:rFonts w:hint="eastAsia" w:ascii="Times New Roman" w:hAnsi="Times New Roman" w:eastAsia="仿宋_GB2312"/>
                <w:color w:val="000000"/>
                <w:sz w:val="28"/>
                <w:szCs w:val="28"/>
                <w:lang w:val="en-US" w:eastAsia="zh-CN"/>
              </w:rPr>
              <w:t>1</w:t>
            </w:r>
          </w:p>
        </w:tc>
        <w:tc>
          <w:tcPr>
            <w:tcW w:w="1569" w:type="dxa"/>
            <w:noWrap w:val="0"/>
            <w:tcMar>
              <w:top w:w="28" w:type="dxa"/>
              <w:left w:w="57" w:type="dxa"/>
              <w:bottom w:w="28" w:type="dxa"/>
              <w:right w:w="57" w:type="dxa"/>
            </w:tcMar>
            <w:vAlign w:val="center"/>
          </w:tcPr>
          <w:p w14:paraId="6011B9C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1964—2025</w:t>
            </w:r>
          </w:p>
        </w:tc>
        <w:tc>
          <w:tcPr>
            <w:tcW w:w="1742" w:type="dxa"/>
            <w:noWrap w:val="0"/>
            <w:tcMar>
              <w:top w:w="28" w:type="dxa"/>
              <w:left w:w="57" w:type="dxa"/>
              <w:bottom w:w="28" w:type="dxa"/>
              <w:right w:w="57" w:type="dxa"/>
            </w:tcMar>
            <w:vAlign w:val="center"/>
          </w:tcPr>
          <w:p w14:paraId="6001173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他克莫司测定试剂盒</w:t>
            </w:r>
          </w:p>
        </w:tc>
        <w:tc>
          <w:tcPr>
            <w:tcW w:w="1123" w:type="dxa"/>
            <w:noWrap w:val="0"/>
            <w:tcMar>
              <w:top w:w="28" w:type="dxa"/>
              <w:left w:w="57" w:type="dxa"/>
              <w:bottom w:w="28" w:type="dxa"/>
              <w:right w:w="57" w:type="dxa"/>
            </w:tcMar>
            <w:vAlign w:val="center"/>
          </w:tcPr>
          <w:p w14:paraId="5709090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11AB979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1177991F">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他克莫司测定试剂盒的要求、标识、标签和使用说明以及包装、运输和贮存，描述了相应的试验方法。本文件适用于化学发光免疫法、均相酶免疫法、免疫比浊法、液相色谱—串联质谱法定量测定人全血中他克莫司含量的试剂盒。</w:t>
            </w:r>
          </w:p>
        </w:tc>
        <w:tc>
          <w:tcPr>
            <w:tcW w:w="1637" w:type="dxa"/>
            <w:noWrap w:val="0"/>
            <w:tcMar>
              <w:top w:w="28" w:type="dxa"/>
              <w:left w:w="57" w:type="dxa"/>
              <w:bottom w:w="28" w:type="dxa"/>
              <w:right w:w="57" w:type="dxa"/>
            </w:tcMar>
            <w:vAlign w:val="center"/>
          </w:tcPr>
          <w:p w14:paraId="576D3052">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0175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871" w:type="dxa"/>
            <w:noWrap w:val="0"/>
            <w:tcMar>
              <w:top w:w="28" w:type="dxa"/>
              <w:left w:w="57" w:type="dxa"/>
              <w:bottom w:w="28" w:type="dxa"/>
              <w:right w:w="57" w:type="dxa"/>
            </w:tcMar>
            <w:vAlign w:val="center"/>
          </w:tcPr>
          <w:p w14:paraId="1734BA6B">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2</w:t>
            </w:r>
            <w:r>
              <w:rPr>
                <w:rFonts w:hint="eastAsia" w:ascii="Times New Roman" w:hAnsi="Times New Roman" w:eastAsia="仿宋_GB2312"/>
                <w:color w:val="000000"/>
                <w:sz w:val="28"/>
                <w:szCs w:val="28"/>
                <w:lang w:val="en-US" w:eastAsia="zh-CN"/>
              </w:rPr>
              <w:t>2</w:t>
            </w:r>
          </w:p>
        </w:tc>
        <w:tc>
          <w:tcPr>
            <w:tcW w:w="1569" w:type="dxa"/>
            <w:noWrap w:val="0"/>
            <w:tcMar>
              <w:top w:w="28" w:type="dxa"/>
              <w:left w:w="57" w:type="dxa"/>
              <w:bottom w:w="28" w:type="dxa"/>
              <w:right w:w="57" w:type="dxa"/>
            </w:tcMar>
            <w:vAlign w:val="center"/>
          </w:tcPr>
          <w:p w14:paraId="19AB61B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1965—2025</w:t>
            </w:r>
          </w:p>
        </w:tc>
        <w:tc>
          <w:tcPr>
            <w:tcW w:w="1742" w:type="dxa"/>
            <w:noWrap w:val="0"/>
            <w:tcMar>
              <w:top w:w="28" w:type="dxa"/>
              <w:left w:w="57" w:type="dxa"/>
              <w:bottom w:w="28" w:type="dxa"/>
              <w:right w:w="57" w:type="dxa"/>
            </w:tcMar>
            <w:vAlign w:val="center"/>
          </w:tcPr>
          <w:p w14:paraId="7B1EA486">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口腔用外科手术刀柄</w:t>
            </w:r>
          </w:p>
        </w:tc>
        <w:tc>
          <w:tcPr>
            <w:tcW w:w="1123" w:type="dxa"/>
            <w:noWrap w:val="0"/>
            <w:tcMar>
              <w:top w:w="28" w:type="dxa"/>
              <w:left w:w="57" w:type="dxa"/>
              <w:bottom w:w="28" w:type="dxa"/>
              <w:right w:w="57" w:type="dxa"/>
            </w:tcMar>
            <w:vAlign w:val="center"/>
          </w:tcPr>
          <w:p w14:paraId="0F5AA1C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3038D6F8">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5DB17FBD">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与可拆卸手术刀片连接，用于口腔手术例如切割和/或去除口腔软组织的可重复使用的口腔用外科手术刀柄的要求及试验方法。本文件还规定了该类产品的标记和标签要求。本文件适用于口腔手术中可重复使用的外科手术刀柄。</w:t>
            </w:r>
          </w:p>
        </w:tc>
        <w:tc>
          <w:tcPr>
            <w:tcW w:w="1637" w:type="dxa"/>
            <w:noWrap w:val="0"/>
            <w:tcMar>
              <w:top w:w="28" w:type="dxa"/>
              <w:left w:w="57" w:type="dxa"/>
              <w:bottom w:w="28" w:type="dxa"/>
              <w:right w:w="57" w:type="dxa"/>
            </w:tcMar>
            <w:vAlign w:val="center"/>
          </w:tcPr>
          <w:p w14:paraId="3E431E35">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1F8D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871" w:type="dxa"/>
            <w:noWrap w:val="0"/>
            <w:tcMar>
              <w:top w:w="28" w:type="dxa"/>
              <w:left w:w="57" w:type="dxa"/>
              <w:bottom w:w="28" w:type="dxa"/>
              <w:right w:w="57" w:type="dxa"/>
            </w:tcMar>
            <w:vAlign w:val="center"/>
          </w:tcPr>
          <w:p w14:paraId="72578F02">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2</w:t>
            </w:r>
            <w:r>
              <w:rPr>
                <w:rFonts w:hint="eastAsia" w:ascii="Times New Roman" w:hAnsi="Times New Roman" w:eastAsia="仿宋_GB2312"/>
                <w:color w:val="000000"/>
                <w:sz w:val="28"/>
                <w:szCs w:val="28"/>
                <w:lang w:val="en-US" w:eastAsia="zh-CN"/>
              </w:rPr>
              <w:t>3</w:t>
            </w:r>
          </w:p>
        </w:tc>
        <w:tc>
          <w:tcPr>
            <w:tcW w:w="1569" w:type="dxa"/>
            <w:noWrap w:val="0"/>
            <w:tcMar>
              <w:top w:w="28" w:type="dxa"/>
              <w:left w:w="57" w:type="dxa"/>
              <w:bottom w:w="28" w:type="dxa"/>
              <w:right w:w="57" w:type="dxa"/>
            </w:tcMar>
            <w:vAlign w:val="center"/>
          </w:tcPr>
          <w:p w14:paraId="5B2D0DB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1966—2025</w:t>
            </w:r>
          </w:p>
        </w:tc>
        <w:tc>
          <w:tcPr>
            <w:tcW w:w="1742" w:type="dxa"/>
            <w:noWrap w:val="0"/>
            <w:tcMar>
              <w:top w:w="28" w:type="dxa"/>
              <w:left w:w="57" w:type="dxa"/>
              <w:bottom w:w="28" w:type="dxa"/>
              <w:right w:w="57" w:type="dxa"/>
            </w:tcMar>
            <w:vAlign w:val="center"/>
          </w:tcPr>
          <w:p w14:paraId="693D32BF">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反角充填器</w:t>
            </w:r>
          </w:p>
        </w:tc>
        <w:tc>
          <w:tcPr>
            <w:tcW w:w="1123" w:type="dxa"/>
            <w:noWrap w:val="0"/>
            <w:tcMar>
              <w:top w:w="28" w:type="dxa"/>
              <w:left w:w="57" w:type="dxa"/>
              <w:bottom w:w="28" w:type="dxa"/>
              <w:right w:w="57" w:type="dxa"/>
            </w:tcMar>
            <w:vAlign w:val="center"/>
          </w:tcPr>
          <w:p w14:paraId="3823CDCA">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3F83407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25EA372B">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反角充填器的要求和测试方法，该充填器通过使用聚合物基修复材料和水门汀来修复牙齿。本文件还规定了设计、尺寸和标记的要求。本文件适用于通过使用聚合物基修复材料和水门汀来修复牙齿的反角充填器。</w:t>
            </w:r>
          </w:p>
        </w:tc>
        <w:tc>
          <w:tcPr>
            <w:tcW w:w="1637" w:type="dxa"/>
            <w:noWrap w:val="0"/>
            <w:tcMar>
              <w:top w:w="28" w:type="dxa"/>
              <w:left w:w="57" w:type="dxa"/>
              <w:bottom w:w="28" w:type="dxa"/>
              <w:right w:w="57" w:type="dxa"/>
            </w:tcMar>
            <w:vAlign w:val="center"/>
          </w:tcPr>
          <w:p w14:paraId="5EBB2159">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0D4E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8" w:hRule="atLeast"/>
          <w:jc w:val="center"/>
        </w:trPr>
        <w:tc>
          <w:tcPr>
            <w:tcW w:w="871" w:type="dxa"/>
            <w:noWrap w:val="0"/>
            <w:tcMar>
              <w:top w:w="28" w:type="dxa"/>
              <w:left w:w="57" w:type="dxa"/>
              <w:bottom w:w="28" w:type="dxa"/>
              <w:right w:w="57" w:type="dxa"/>
            </w:tcMar>
            <w:vAlign w:val="center"/>
          </w:tcPr>
          <w:p w14:paraId="7E4FE917">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2</w:t>
            </w:r>
            <w:r>
              <w:rPr>
                <w:rFonts w:hint="eastAsia" w:ascii="Times New Roman" w:hAnsi="Times New Roman" w:eastAsia="仿宋_GB2312"/>
                <w:color w:val="000000"/>
                <w:sz w:val="28"/>
                <w:szCs w:val="28"/>
                <w:lang w:val="en-US" w:eastAsia="zh-CN"/>
              </w:rPr>
              <w:t>4</w:t>
            </w:r>
          </w:p>
        </w:tc>
        <w:tc>
          <w:tcPr>
            <w:tcW w:w="1569" w:type="dxa"/>
            <w:noWrap w:val="0"/>
            <w:tcMar>
              <w:top w:w="28" w:type="dxa"/>
              <w:left w:w="57" w:type="dxa"/>
              <w:bottom w:w="28" w:type="dxa"/>
              <w:right w:w="57" w:type="dxa"/>
            </w:tcMar>
            <w:vAlign w:val="center"/>
          </w:tcPr>
          <w:p w14:paraId="15B75EB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1967—2025</w:t>
            </w:r>
          </w:p>
        </w:tc>
        <w:tc>
          <w:tcPr>
            <w:tcW w:w="1742" w:type="dxa"/>
            <w:noWrap w:val="0"/>
            <w:tcMar>
              <w:top w:w="28" w:type="dxa"/>
              <w:left w:w="57" w:type="dxa"/>
              <w:bottom w:w="28" w:type="dxa"/>
              <w:right w:w="57" w:type="dxa"/>
            </w:tcMar>
            <w:vAlign w:val="center"/>
          </w:tcPr>
          <w:p w14:paraId="6B72F274">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流式点阵仪</w:t>
            </w:r>
          </w:p>
        </w:tc>
        <w:tc>
          <w:tcPr>
            <w:tcW w:w="1123" w:type="dxa"/>
            <w:noWrap w:val="0"/>
            <w:tcMar>
              <w:top w:w="28" w:type="dxa"/>
              <w:left w:w="57" w:type="dxa"/>
              <w:bottom w:w="28" w:type="dxa"/>
              <w:right w:w="57" w:type="dxa"/>
            </w:tcMar>
            <w:vAlign w:val="center"/>
          </w:tcPr>
          <w:p w14:paraId="6A0450E4">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3E7F8EF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5400930F">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流式点阵仪的要求、标识、标签和使用说明、包装、运输和贮存，描述了相应的试验方法。本文件适用于医学实验室使用的流式点阵仪（以下简称点阵仪）。点阵仪为基于流式荧光技术，对人体样品中核酸、蛋白质、多肽、小分子物质等各种被分析物进行定性和/或定量检测。</w:t>
            </w:r>
          </w:p>
        </w:tc>
        <w:tc>
          <w:tcPr>
            <w:tcW w:w="1637" w:type="dxa"/>
            <w:noWrap w:val="0"/>
            <w:tcMar>
              <w:top w:w="28" w:type="dxa"/>
              <w:left w:w="57" w:type="dxa"/>
              <w:bottom w:w="28" w:type="dxa"/>
              <w:right w:w="57" w:type="dxa"/>
            </w:tcMar>
            <w:vAlign w:val="center"/>
          </w:tcPr>
          <w:p w14:paraId="3BE27D6C">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6808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31528A1D">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2</w:t>
            </w:r>
            <w:r>
              <w:rPr>
                <w:rFonts w:hint="eastAsia" w:ascii="Times New Roman" w:hAnsi="Times New Roman" w:eastAsia="仿宋_GB2312"/>
                <w:color w:val="000000"/>
                <w:sz w:val="28"/>
                <w:szCs w:val="28"/>
                <w:lang w:val="en-US" w:eastAsia="zh-CN"/>
              </w:rPr>
              <w:t>5</w:t>
            </w:r>
          </w:p>
        </w:tc>
        <w:tc>
          <w:tcPr>
            <w:tcW w:w="1569" w:type="dxa"/>
            <w:noWrap w:val="0"/>
            <w:tcMar>
              <w:top w:w="28" w:type="dxa"/>
              <w:left w:w="57" w:type="dxa"/>
              <w:bottom w:w="28" w:type="dxa"/>
              <w:right w:w="57" w:type="dxa"/>
            </w:tcMar>
            <w:vAlign w:val="center"/>
          </w:tcPr>
          <w:p w14:paraId="5A7A42B6">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1968—2025</w:t>
            </w:r>
          </w:p>
        </w:tc>
        <w:tc>
          <w:tcPr>
            <w:tcW w:w="1742" w:type="dxa"/>
            <w:noWrap w:val="0"/>
            <w:tcMar>
              <w:top w:w="28" w:type="dxa"/>
              <w:left w:w="57" w:type="dxa"/>
              <w:bottom w:w="28" w:type="dxa"/>
              <w:right w:w="57" w:type="dxa"/>
            </w:tcMar>
            <w:vAlign w:val="center"/>
          </w:tcPr>
          <w:p w14:paraId="56282BA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胚胎植入前染色体非整倍体分析软件</w:t>
            </w:r>
          </w:p>
        </w:tc>
        <w:tc>
          <w:tcPr>
            <w:tcW w:w="1123" w:type="dxa"/>
            <w:noWrap w:val="0"/>
            <w:tcMar>
              <w:top w:w="28" w:type="dxa"/>
              <w:left w:w="57" w:type="dxa"/>
              <w:bottom w:w="28" w:type="dxa"/>
              <w:right w:w="57" w:type="dxa"/>
            </w:tcMar>
            <w:vAlign w:val="center"/>
          </w:tcPr>
          <w:p w14:paraId="132716F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39132CC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797B4159">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胚胎植入前染色体非整倍体分析软件的要求，描述了相应的试验方法。本文件适用于对适配的检测试剂盒及基因测序仪测序产生的胚胎植入前低深度高通量基因测序数据进行分析，以达到判断胚胎是否存在染色体非整倍体以及大片段缺失、重复异常的目的。</w:t>
            </w:r>
          </w:p>
        </w:tc>
        <w:tc>
          <w:tcPr>
            <w:tcW w:w="1637" w:type="dxa"/>
            <w:noWrap w:val="0"/>
            <w:tcMar>
              <w:top w:w="28" w:type="dxa"/>
              <w:left w:w="57" w:type="dxa"/>
              <w:bottom w:w="28" w:type="dxa"/>
              <w:right w:w="57" w:type="dxa"/>
            </w:tcMar>
            <w:vAlign w:val="center"/>
          </w:tcPr>
          <w:p w14:paraId="70557F81">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5B63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871" w:type="dxa"/>
            <w:noWrap w:val="0"/>
            <w:tcMar>
              <w:top w:w="28" w:type="dxa"/>
              <w:left w:w="57" w:type="dxa"/>
              <w:bottom w:w="28" w:type="dxa"/>
              <w:right w:w="57" w:type="dxa"/>
            </w:tcMar>
            <w:vAlign w:val="center"/>
          </w:tcPr>
          <w:p w14:paraId="1B10019B">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2</w:t>
            </w:r>
            <w:r>
              <w:rPr>
                <w:rFonts w:hint="eastAsia" w:ascii="Times New Roman" w:hAnsi="Times New Roman" w:eastAsia="仿宋_GB2312"/>
                <w:color w:val="000000"/>
                <w:sz w:val="28"/>
                <w:szCs w:val="28"/>
                <w:lang w:val="en-US" w:eastAsia="zh-CN"/>
              </w:rPr>
              <w:t>6</w:t>
            </w:r>
          </w:p>
        </w:tc>
        <w:tc>
          <w:tcPr>
            <w:tcW w:w="1569" w:type="dxa"/>
            <w:noWrap w:val="0"/>
            <w:tcMar>
              <w:top w:w="28" w:type="dxa"/>
              <w:left w:w="57" w:type="dxa"/>
              <w:bottom w:w="28" w:type="dxa"/>
              <w:right w:w="57" w:type="dxa"/>
            </w:tcMar>
            <w:vAlign w:val="center"/>
          </w:tcPr>
          <w:p w14:paraId="2B451B74">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1969—2025</w:t>
            </w:r>
          </w:p>
        </w:tc>
        <w:tc>
          <w:tcPr>
            <w:tcW w:w="1742" w:type="dxa"/>
            <w:noWrap w:val="0"/>
            <w:tcMar>
              <w:top w:w="28" w:type="dxa"/>
              <w:left w:w="57" w:type="dxa"/>
              <w:bottom w:w="28" w:type="dxa"/>
              <w:right w:w="57" w:type="dxa"/>
            </w:tcMar>
            <w:vAlign w:val="center"/>
          </w:tcPr>
          <w:p w14:paraId="2A464187">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微量白蛋白测定试剂盒（免疫比浊法）</w:t>
            </w:r>
          </w:p>
        </w:tc>
        <w:tc>
          <w:tcPr>
            <w:tcW w:w="1123" w:type="dxa"/>
            <w:noWrap w:val="0"/>
            <w:tcMar>
              <w:top w:w="28" w:type="dxa"/>
              <w:left w:w="57" w:type="dxa"/>
              <w:bottom w:w="28" w:type="dxa"/>
              <w:right w:w="57" w:type="dxa"/>
            </w:tcMar>
            <w:vAlign w:val="center"/>
          </w:tcPr>
          <w:p w14:paraId="6EC5B130">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1BA2E13A">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54673DFA">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本文件规定了微量白蛋白测定试剂盒（免疫比浊法）的要求、标识、标签和使用说明书、包装、运输和贮存，描述了相应的试验方法。本文件适用于免疫比浊法对人尿液样品中白蛋白进行定量检测的试剂盒。</w:t>
            </w:r>
          </w:p>
        </w:tc>
        <w:tc>
          <w:tcPr>
            <w:tcW w:w="1637" w:type="dxa"/>
            <w:noWrap w:val="0"/>
            <w:tcMar>
              <w:top w:w="28" w:type="dxa"/>
              <w:left w:w="57" w:type="dxa"/>
              <w:bottom w:w="28" w:type="dxa"/>
              <w:right w:w="57" w:type="dxa"/>
            </w:tcMar>
            <w:vAlign w:val="center"/>
          </w:tcPr>
          <w:p w14:paraId="3DDF642F">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4F77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6" w:hRule="atLeast"/>
          <w:jc w:val="center"/>
        </w:trPr>
        <w:tc>
          <w:tcPr>
            <w:tcW w:w="871" w:type="dxa"/>
            <w:noWrap w:val="0"/>
            <w:tcMar>
              <w:top w:w="28" w:type="dxa"/>
              <w:left w:w="57" w:type="dxa"/>
              <w:bottom w:w="28" w:type="dxa"/>
              <w:right w:w="57" w:type="dxa"/>
            </w:tcMar>
            <w:vAlign w:val="center"/>
          </w:tcPr>
          <w:p w14:paraId="3DEE0BAD">
            <w:pPr>
              <w:adjustRightInd w:val="0"/>
              <w:snapToGrid w:val="0"/>
              <w:spacing w:line="32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27</w:t>
            </w:r>
          </w:p>
        </w:tc>
        <w:tc>
          <w:tcPr>
            <w:tcW w:w="1569" w:type="dxa"/>
            <w:noWrap w:val="0"/>
            <w:tcMar>
              <w:top w:w="28" w:type="dxa"/>
              <w:left w:w="57" w:type="dxa"/>
              <w:bottom w:w="28" w:type="dxa"/>
              <w:right w:w="57" w:type="dxa"/>
            </w:tcMar>
            <w:vAlign w:val="center"/>
          </w:tcPr>
          <w:p w14:paraId="74B6E45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1970—2025</w:t>
            </w:r>
          </w:p>
        </w:tc>
        <w:tc>
          <w:tcPr>
            <w:tcW w:w="1742" w:type="dxa"/>
            <w:noWrap w:val="0"/>
            <w:tcMar>
              <w:top w:w="28" w:type="dxa"/>
              <w:left w:w="57" w:type="dxa"/>
              <w:bottom w:w="28" w:type="dxa"/>
              <w:right w:w="57" w:type="dxa"/>
            </w:tcMar>
            <w:vAlign w:val="center"/>
          </w:tcPr>
          <w:p w14:paraId="154F4342">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脂蛋白相关磷脂酶A2测定试剂盒（化学发光免疫分析法）</w:t>
            </w:r>
          </w:p>
        </w:tc>
        <w:tc>
          <w:tcPr>
            <w:tcW w:w="1123" w:type="dxa"/>
            <w:noWrap w:val="0"/>
            <w:tcMar>
              <w:top w:w="28" w:type="dxa"/>
              <w:left w:w="57" w:type="dxa"/>
              <w:bottom w:w="28" w:type="dxa"/>
              <w:right w:w="57" w:type="dxa"/>
            </w:tcMar>
            <w:vAlign w:val="center"/>
          </w:tcPr>
          <w:p w14:paraId="1C3F8FF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3287245F">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36229E20">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脂蛋白相关磷脂酶A2测定试剂盒（化学发光免疫分析法）的要求、标识、标签和使用说明、包装、运输和贮存，描述了相应的试验方法。本文件适用于以化学发光免疫分析法为原理定量测定人血清和血浆脂蛋白相关磷脂酶A2的试剂盒，包括以微孔板、管、磁颗粒、微珠和塑料珠等为载体的化学发光分析测定试剂盒。</w:t>
            </w:r>
          </w:p>
        </w:tc>
        <w:tc>
          <w:tcPr>
            <w:tcW w:w="1637" w:type="dxa"/>
            <w:noWrap w:val="0"/>
            <w:tcMar>
              <w:top w:w="28" w:type="dxa"/>
              <w:left w:w="57" w:type="dxa"/>
              <w:bottom w:w="28" w:type="dxa"/>
              <w:right w:w="57" w:type="dxa"/>
            </w:tcMar>
            <w:vAlign w:val="center"/>
          </w:tcPr>
          <w:p w14:paraId="0AE66A59">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4AA0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5E2D0F0A">
            <w:pPr>
              <w:adjustRightInd w:val="0"/>
              <w:snapToGrid w:val="0"/>
              <w:spacing w:line="32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28</w:t>
            </w:r>
          </w:p>
        </w:tc>
        <w:tc>
          <w:tcPr>
            <w:tcW w:w="1569" w:type="dxa"/>
            <w:noWrap w:val="0"/>
            <w:tcMar>
              <w:top w:w="28" w:type="dxa"/>
              <w:left w:w="57" w:type="dxa"/>
              <w:bottom w:w="28" w:type="dxa"/>
              <w:right w:w="57" w:type="dxa"/>
            </w:tcMar>
            <w:vAlign w:val="center"/>
          </w:tcPr>
          <w:p w14:paraId="313E4D8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1971.1—2025</w:t>
            </w:r>
          </w:p>
        </w:tc>
        <w:tc>
          <w:tcPr>
            <w:tcW w:w="1742" w:type="dxa"/>
            <w:noWrap w:val="0"/>
            <w:tcMar>
              <w:top w:w="28" w:type="dxa"/>
              <w:left w:w="57" w:type="dxa"/>
              <w:bottom w:w="28" w:type="dxa"/>
              <w:right w:w="57" w:type="dxa"/>
            </w:tcMar>
            <w:vAlign w:val="center"/>
          </w:tcPr>
          <w:p w14:paraId="39E54D36">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用于非永久性医疗环境的可携带的牙科设备 第1部分</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rPr>
              <w:t>通用要求</w:t>
            </w:r>
          </w:p>
        </w:tc>
        <w:tc>
          <w:tcPr>
            <w:tcW w:w="1123" w:type="dxa"/>
            <w:noWrap w:val="0"/>
            <w:tcMar>
              <w:top w:w="28" w:type="dxa"/>
              <w:left w:w="57" w:type="dxa"/>
              <w:bottom w:w="28" w:type="dxa"/>
              <w:right w:w="57" w:type="dxa"/>
            </w:tcMar>
            <w:vAlign w:val="center"/>
          </w:tcPr>
          <w:p w14:paraId="10E88C7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339E8FB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232AF586">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用于非永久性医疗环境的可携带的牙科设备的通用要求，描述了相应的试验方法。本文件适用于设计和制造用于非永久性医疗环境的可携带的牙科设备，包括可携带的牙科治疗机、可携带的牙科病人椅、可携带的医师椅、可携带的口腔灯、可携带的吸引源设备、可携带的空气压缩机和其他可携带的牙科设备。本文件不适用于预期不用于非永久性医疗环境或不被设计用于拆卸、折叠或包装以供非永久性医疗环境之间运输的非移动的牙科设备、可穿戴牙科设备</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rPr>
              <w:t>如大灯和放大镜</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rPr>
              <w:t>、移动的牙科设备或可携带的牙科设备。此外，本文件未考虑可安装在牙科移动医疗设施</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rPr>
              <w:t>如车载或集装箱式移动牙科诊所</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rPr>
              <w:t>的非移动的牙科设备的要求。</w:t>
            </w:r>
          </w:p>
        </w:tc>
        <w:tc>
          <w:tcPr>
            <w:tcW w:w="1637" w:type="dxa"/>
            <w:noWrap w:val="0"/>
            <w:tcMar>
              <w:top w:w="28" w:type="dxa"/>
              <w:left w:w="57" w:type="dxa"/>
              <w:bottom w:w="28" w:type="dxa"/>
              <w:right w:w="57" w:type="dxa"/>
            </w:tcMar>
            <w:vAlign w:val="center"/>
          </w:tcPr>
          <w:p w14:paraId="7C5D6408">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2027年1月1日</w:t>
            </w:r>
          </w:p>
        </w:tc>
      </w:tr>
      <w:tr w14:paraId="6B71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70BA2044">
            <w:pPr>
              <w:adjustRightInd w:val="0"/>
              <w:snapToGrid w:val="0"/>
              <w:spacing w:line="32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29</w:t>
            </w:r>
          </w:p>
        </w:tc>
        <w:tc>
          <w:tcPr>
            <w:tcW w:w="1569" w:type="dxa"/>
            <w:noWrap w:val="0"/>
            <w:tcMar>
              <w:top w:w="28" w:type="dxa"/>
              <w:left w:w="57" w:type="dxa"/>
              <w:bottom w:w="28" w:type="dxa"/>
              <w:right w:w="57" w:type="dxa"/>
            </w:tcMar>
            <w:vAlign w:val="center"/>
          </w:tcPr>
          <w:p w14:paraId="2A5DC62F">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1972—2025</w:t>
            </w:r>
          </w:p>
        </w:tc>
        <w:tc>
          <w:tcPr>
            <w:tcW w:w="1742" w:type="dxa"/>
            <w:noWrap w:val="0"/>
            <w:tcMar>
              <w:top w:w="28" w:type="dxa"/>
              <w:left w:w="57" w:type="dxa"/>
              <w:bottom w:w="28" w:type="dxa"/>
              <w:right w:w="57" w:type="dxa"/>
            </w:tcMar>
            <w:vAlign w:val="center"/>
          </w:tcPr>
          <w:p w14:paraId="0AA749A3">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软组织环切刀</w:t>
            </w:r>
          </w:p>
        </w:tc>
        <w:tc>
          <w:tcPr>
            <w:tcW w:w="1123" w:type="dxa"/>
            <w:noWrap w:val="0"/>
            <w:tcMar>
              <w:top w:w="28" w:type="dxa"/>
              <w:left w:w="57" w:type="dxa"/>
              <w:bottom w:w="28" w:type="dxa"/>
              <w:right w:w="57" w:type="dxa"/>
            </w:tcMar>
            <w:vAlign w:val="center"/>
          </w:tcPr>
          <w:p w14:paraId="75E1E56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0AA5DBA8">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49DA7F6B">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本文件规定了与牙科手机一起使用的软组织环切刀的性能要求、标记和标签信息，描述了相应的试验方法。本文件适用于口腔外科植入手术中，在牙龈组织中切孔或环切并移除牙龈组织用的软组织环切刀。</w:t>
            </w:r>
          </w:p>
        </w:tc>
        <w:tc>
          <w:tcPr>
            <w:tcW w:w="1637" w:type="dxa"/>
            <w:noWrap w:val="0"/>
            <w:tcMar>
              <w:top w:w="28" w:type="dxa"/>
              <w:left w:w="57" w:type="dxa"/>
              <w:bottom w:w="28" w:type="dxa"/>
              <w:right w:w="57" w:type="dxa"/>
            </w:tcMar>
            <w:vAlign w:val="center"/>
          </w:tcPr>
          <w:p w14:paraId="60489BC0">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5EB1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2AA37AF1">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3</w:t>
            </w:r>
            <w:r>
              <w:rPr>
                <w:rFonts w:hint="eastAsia" w:ascii="Times New Roman" w:hAnsi="Times New Roman" w:eastAsia="仿宋_GB2312"/>
                <w:color w:val="000000"/>
                <w:sz w:val="28"/>
                <w:szCs w:val="28"/>
                <w:lang w:val="en-US" w:eastAsia="zh-CN"/>
              </w:rPr>
              <w:t>0</w:t>
            </w:r>
          </w:p>
        </w:tc>
        <w:tc>
          <w:tcPr>
            <w:tcW w:w="1569" w:type="dxa"/>
            <w:noWrap w:val="0"/>
            <w:tcMar>
              <w:top w:w="28" w:type="dxa"/>
              <w:left w:w="57" w:type="dxa"/>
              <w:bottom w:w="28" w:type="dxa"/>
              <w:right w:w="57" w:type="dxa"/>
            </w:tcMar>
            <w:vAlign w:val="center"/>
          </w:tcPr>
          <w:p w14:paraId="0A3BC0E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1973—2025</w:t>
            </w:r>
          </w:p>
        </w:tc>
        <w:tc>
          <w:tcPr>
            <w:tcW w:w="1742" w:type="dxa"/>
            <w:noWrap w:val="0"/>
            <w:tcMar>
              <w:top w:w="28" w:type="dxa"/>
              <w:left w:w="57" w:type="dxa"/>
              <w:bottom w:w="28" w:type="dxa"/>
              <w:right w:w="57" w:type="dxa"/>
            </w:tcMar>
            <w:vAlign w:val="center"/>
          </w:tcPr>
          <w:p w14:paraId="2E25E47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医用下肢外骨骼机器人</w:t>
            </w:r>
          </w:p>
        </w:tc>
        <w:tc>
          <w:tcPr>
            <w:tcW w:w="1123" w:type="dxa"/>
            <w:noWrap w:val="0"/>
            <w:tcMar>
              <w:top w:w="28" w:type="dxa"/>
              <w:left w:w="57" w:type="dxa"/>
              <w:bottom w:w="28" w:type="dxa"/>
              <w:right w:w="57" w:type="dxa"/>
            </w:tcMar>
            <w:vAlign w:val="center"/>
          </w:tcPr>
          <w:p w14:paraId="2330243A">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5DA76E8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0B3638ED">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本文件规定了医用下肢外骨骼机器人的要求，描述了相应的试验方法。本文件适用于医用下肢外骨骼机器人。</w:t>
            </w:r>
          </w:p>
        </w:tc>
        <w:tc>
          <w:tcPr>
            <w:tcW w:w="1637" w:type="dxa"/>
            <w:noWrap w:val="0"/>
            <w:tcMar>
              <w:top w:w="28" w:type="dxa"/>
              <w:left w:w="57" w:type="dxa"/>
              <w:bottom w:w="28" w:type="dxa"/>
              <w:right w:w="57" w:type="dxa"/>
            </w:tcMar>
            <w:vAlign w:val="center"/>
          </w:tcPr>
          <w:p w14:paraId="6784BDE9">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2503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5A5CB8F6">
            <w:pPr>
              <w:adjustRightInd w:val="0"/>
              <w:snapToGrid w:val="0"/>
              <w:spacing w:line="320" w:lineRule="exact"/>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rPr>
              <w:t>3</w:t>
            </w:r>
            <w:r>
              <w:rPr>
                <w:rFonts w:hint="eastAsia" w:ascii="Times New Roman" w:hAnsi="Times New Roman" w:eastAsia="仿宋_GB2312"/>
                <w:color w:val="000000"/>
                <w:sz w:val="28"/>
                <w:szCs w:val="28"/>
                <w:lang w:val="en-US" w:eastAsia="zh-CN"/>
              </w:rPr>
              <w:t>1</w:t>
            </w:r>
          </w:p>
        </w:tc>
        <w:tc>
          <w:tcPr>
            <w:tcW w:w="1569" w:type="dxa"/>
            <w:noWrap w:val="0"/>
            <w:tcMar>
              <w:top w:w="28" w:type="dxa"/>
              <w:left w:w="57" w:type="dxa"/>
              <w:bottom w:w="28" w:type="dxa"/>
              <w:right w:w="57" w:type="dxa"/>
            </w:tcMar>
            <w:vAlign w:val="center"/>
          </w:tcPr>
          <w:p w14:paraId="483DF553">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1974—2025</w:t>
            </w:r>
          </w:p>
        </w:tc>
        <w:tc>
          <w:tcPr>
            <w:tcW w:w="1742" w:type="dxa"/>
            <w:noWrap w:val="0"/>
            <w:tcMar>
              <w:top w:w="28" w:type="dxa"/>
              <w:left w:w="57" w:type="dxa"/>
              <w:bottom w:w="28" w:type="dxa"/>
              <w:right w:w="57" w:type="dxa"/>
            </w:tcMar>
            <w:vAlign w:val="center"/>
          </w:tcPr>
          <w:p w14:paraId="6435B3C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多功能喷枪</w:t>
            </w:r>
          </w:p>
        </w:tc>
        <w:tc>
          <w:tcPr>
            <w:tcW w:w="1123" w:type="dxa"/>
            <w:noWrap w:val="0"/>
            <w:tcMar>
              <w:top w:w="28" w:type="dxa"/>
              <w:left w:w="57" w:type="dxa"/>
              <w:bottom w:w="28" w:type="dxa"/>
              <w:right w:w="57" w:type="dxa"/>
            </w:tcMar>
            <w:vAlign w:val="center"/>
          </w:tcPr>
          <w:p w14:paraId="3979E3D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4632F684">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5622E0BA">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预期用于患者口腔的多功能喷枪的分类、要求、抽样、使用说明、技术说明、标记、标签和包装，描述了相应的试验方法。本文件适用于用于患者口腔的多功能喷枪。本文件不适用于牙科手机和马达、口腔数字观察仪、牙科光固化机、有源洁牙机、喷砂手机、抛光手机、吸引套管和吸唾器。</w:t>
            </w:r>
          </w:p>
        </w:tc>
        <w:tc>
          <w:tcPr>
            <w:tcW w:w="1637" w:type="dxa"/>
            <w:noWrap w:val="0"/>
            <w:tcMar>
              <w:top w:w="28" w:type="dxa"/>
              <w:left w:w="57" w:type="dxa"/>
              <w:bottom w:w="28" w:type="dxa"/>
              <w:right w:w="57" w:type="dxa"/>
            </w:tcMar>
            <w:vAlign w:val="center"/>
          </w:tcPr>
          <w:p w14:paraId="1DC60755">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2027年7月1日</w:t>
            </w:r>
          </w:p>
        </w:tc>
      </w:tr>
      <w:tr w14:paraId="6C4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871" w:type="dxa"/>
            <w:noWrap w:val="0"/>
            <w:tcMar>
              <w:top w:w="28" w:type="dxa"/>
              <w:left w:w="57" w:type="dxa"/>
              <w:bottom w:w="28" w:type="dxa"/>
              <w:right w:w="57" w:type="dxa"/>
            </w:tcMar>
            <w:vAlign w:val="center"/>
          </w:tcPr>
          <w:p w14:paraId="715FCC55">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3</w:t>
            </w:r>
            <w:r>
              <w:rPr>
                <w:rFonts w:hint="eastAsia" w:ascii="Times New Roman" w:hAnsi="Times New Roman" w:eastAsia="仿宋_GB2312"/>
                <w:color w:val="000000"/>
                <w:sz w:val="28"/>
                <w:szCs w:val="28"/>
                <w:lang w:val="en-US" w:eastAsia="zh-CN"/>
              </w:rPr>
              <w:t>2</w:t>
            </w:r>
          </w:p>
        </w:tc>
        <w:tc>
          <w:tcPr>
            <w:tcW w:w="1569" w:type="dxa"/>
            <w:noWrap w:val="0"/>
            <w:tcMar>
              <w:top w:w="28" w:type="dxa"/>
              <w:left w:w="57" w:type="dxa"/>
              <w:bottom w:w="28" w:type="dxa"/>
              <w:right w:w="57" w:type="dxa"/>
            </w:tcMar>
            <w:vAlign w:val="center"/>
          </w:tcPr>
          <w:p w14:paraId="3908AB9D">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1975—2025</w:t>
            </w:r>
          </w:p>
        </w:tc>
        <w:tc>
          <w:tcPr>
            <w:tcW w:w="1742" w:type="dxa"/>
            <w:noWrap w:val="0"/>
            <w:tcMar>
              <w:top w:w="28" w:type="dxa"/>
              <w:left w:w="57" w:type="dxa"/>
              <w:bottom w:w="28" w:type="dxa"/>
              <w:right w:w="57" w:type="dxa"/>
            </w:tcMar>
            <w:vAlign w:val="center"/>
          </w:tcPr>
          <w:p w14:paraId="18A5AB5F">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远红外磁疗贴（袋）</w:t>
            </w:r>
          </w:p>
        </w:tc>
        <w:tc>
          <w:tcPr>
            <w:tcW w:w="1123" w:type="dxa"/>
            <w:noWrap w:val="0"/>
            <w:tcMar>
              <w:top w:w="28" w:type="dxa"/>
              <w:left w:w="57" w:type="dxa"/>
              <w:bottom w:w="28" w:type="dxa"/>
              <w:right w:w="57" w:type="dxa"/>
            </w:tcMar>
            <w:vAlign w:val="center"/>
          </w:tcPr>
          <w:p w14:paraId="78DEEE3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4AC88CA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1ADEF03E">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远红外磁疗贴（袋）的分类、要求，描述了相应的试验方法。本文件适用于含有远红外材料和磁性材料的贴敷类产品。本文件不适用于：含有化学成分、中药材（或天然植物）及其提取物等，所含成分发挥药理学、免疫学或者代谢作用的贴敷类产品；含有化学成分、中药材（或天然植物）及其提取物等，不能证明不发挥药理学、免疫学或者代谢作用的贴敷类产品。</w:t>
            </w:r>
          </w:p>
        </w:tc>
        <w:tc>
          <w:tcPr>
            <w:tcW w:w="1637" w:type="dxa"/>
            <w:noWrap w:val="0"/>
            <w:tcMar>
              <w:top w:w="28" w:type="dxa"/>
              <w:left w:w="57" w:type="dxa"/>
              <w:bottom w:w="28" w:type="dxa"/>
              <w:right w:w="57" w:type="dxa"/>
            </w:tcMar>
            <w:vAlign w:val="center"/>
          </w:tcPr>
          <w:p w14:paraId="75E473BA">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52F0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871" w:type="dxa"/>
            <w:noWrap w:val="0"/>
            <w:tcMar>
              <w:top w:w="28" w:type="dxa"/>
              <w:left w:w="57" w:type="dxa"/>
              <w:bottom w:w="28" w:type="dxa"/>
              <w:right w:w="57" w:type="dxa"/>
            </w:tcMar>
            <w:vAlign w:val="center"/>
          </w:tcPr>
          <w:p w14:paraId="3033017C">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3</w:t>
            </w:r>
            <w:r>
              <w:rPr>
                <w:rFonts w:hint="eastAsia" w:ascii="Times New Roman" w:hAnsi="Times New Roman" w:eastAsia="仿宋_GB2312"/>
                <w:color w:val="000000"/>
                <w:sz w:val="28"/>
                <w:szCs w:val="28"/>
                <w:lang w:val="en-US" w:eastAsia="zh-CN"/>
              </w:rPr>
              <w:t>3</w:t>
            </w:r>
          </w:p>
        </w:tc>
        <w:tc>
          <w:tcPr>
            <w:tcW w:w="1569" w:type="dxa"/>
            <w:noWrap w:val="0"/>
            <w:tcMar>
              <w:top w:w="28" w:type="dxa"/>
              <w:left w:w="57" w:type="dxa"/>
              <w:bottom w:w="28" w:type="dxa"/>
              <w:right w:w="57" w:type="dxa"/>
            </w:tcMar>
            <w:vAlign w:val="center"/>
          </w:tcPr>
          <w:p w14:paraId="1069DE5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1976—2025</w:t>
            </w:r>
          </w:p>
        </w:tc>
        <w:tc>
          <w:tcPr>
            <w:tcW w:w="1742" w:type="dxa"/>
            <w:noWrap w:val="0"/>
            <w:tcMar>
              <w:top w:w="28" w:type="dxa"/>
              <w:left w:w="57" w:type="dxa"/>
              <w:bottom w:w="28" w:type="dxa"/>
              <w:right w:w="57" w:type="dxa"/>
            </w:tcMar>
            <w:vAlign w:val="center"/>
          </w:tcPr>
          <w:p w14:paraId="2514216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中医器械 玻璃拔罐器</w:t>
            </w:r>
          </w:p>
        </w:tc>
        <w:tc>
          <w:tcPr>
            <w:tcW w:w="1123" w:type="dxa"/>
            <w:noWrap w:val="0"/>
            <w:tcMar>
              <w:top w:w="28" w:type="dxa"/>
              <w:left w:w="57" w:type="dxa"/>
              <w:bottom w:w="28" w:type="dxa"/>
              <w:right w:w="57" w:type="dxa"/>
            </w:tcMar>
            <w:vAlign w:val="center"/>
          </w:tcPr>
          <w:p w14:paraId="1A0C2AB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504DD3AE">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30F9088D">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本文件规定了玻璃拔罐器的规格、要求，描述了相应的试验方法。本文件适用于玻璃拔罐器。本文件不适用手动或电动负压拔罐器。</w:t>
            </w:r>
          </w:p>
        </w:tc>
        <w:tc>
          <w:tcPr>
            <w:tcW w:w="1637" w:type="dxa"/>
            <w:noWrap w:val="0"/>
            <w:tcMar>
              <w:top w:w="28" w:type="dxa"/>
              <w:left w:w="57" w:type="dxa"/>
              <w:bottom w:w="28" w:type="dxa"/>
              <w:right w:w="57" w:type="dxa"/>
            </w:tcMar>
            <w:vAlign w:val="center"/>
          </w:tcPr>
          <w:p w14:paraId="261C6B81">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1C43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871" w:type="dxa"/>
            <w:noWrap w:val="0"/>
            <w:tcMar>
              <w:top w:w="28" w:type="dxa"/>
              <w:left w:w="57" w:type="dxa"/>
              <w:bottom w:w="28" w:type="dxa"/>
              <w:right w:w="57" w:type="dxa"/>
            </w:tcMar>
            <w:vAlign w:val="center"/>
          </w:tcPr>
          <w:p w14:paraId="203EF845">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3</w:t>
            </w:r>
            <w:r>
              <w:rPr>
                <w:rFonts w:hint="eastAsia" w:ascii="Times New Roman" w:hAnsi="Times New Roman" w:eastAsia="仿宋_GB2312"/>
                <w:color w:val="000000"/>
                <w:sz w:val="28"/>
                <w:szCs w:val="28"/>
                <w:lang w:val="en-US" w:eastAsia="zh-CN"/>
              </w:rPr>
              <w:t>4</w:t>
            </w:r>
          </w:p>
        </w:tc>
        <w:tc>
          <w:tcPr>
            <w:tcW w:w="1569" w:type="dxa"/>
            <w:noWrap w:val="0"/>
            <w:tcMar>
              <w:top w:w="28" w:type="dxa"/>
              <w:left w:w="57" w:type="dxa"/>
              <w:bottom w:w="28" w:type="dxa"/>
              <w:right w:w="57" w:type="dxa"/>
            </w:tcMar>
            <w:vAlign w:val="center"/>
          </w:tcPr>
          <w:p w14:paraId="7B08D891">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1978—2025</w:t>
            </w:r>
          </w:p>
        </w:tc>
        <w:tc>
          <w:tcPr>
            <w:tcW w:w="1742" w:type="dxa"/>
            <w:noWrap w:val="0"/>
            <w:tcMar>
              <w:top w:w="28" w:type="dxa"/>
              <w:left w:w="57" w:type="dxa"/>
              <w:bottom w:w="28" w:type="dxa"/>
              <w:right w:w="57" w:type="dxa"/>
            </w:tcMar>
            <w:vAlign w:val="center"/>
          </w:tcPr>
          <w:p w14:paraId="10DA6FC9">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牙科学 环钻</w:t>
            </w:r>
          </w:p>
        </w:tc>
        <w:tc>
          <w:tcPr>
            <w:tcW w:w="1123" w:type="dxa"/>
            <w:noWrap w:val="0"/>
            <w:tcMar>
              <w:top w:w="28" w:type="dxa"/>
              <w:left w:w="57" w:type="dxa"/>
              <w:bottom w:w="28" w:type="dxa"/>
              <w:right w:w="57" w:type="dxa"/>
            </w:tcMar>
            <w:vAlign w:val="center"/>
          </w:tcPr>
          <w:p w14:paraId="3FCD77E5">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40CF3A1C">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72CAFFBF">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本文件规定了用于口腔种植手术（如取骨组织或移除种植体）的牙科用环钻的要求，给出了分类，描述了相应的试验方法，还规定了标记、标签和使用说明书的要求。本文件适用于口腔种植手术用牙科环钻。</w:t>
            </w:r>
          </w:p>
        </w:tc>
        <w:tc>
          <w:tcPr>
            <w:tcW w:w="1637" w:type="dxa"/>
            <w:noWrap w:val="0"/>
            <w:tcMar>
              <w:top w:w="28" w:type="dxa"/>
              <w:left w:w="57" w:type="dxa"/>
              <w:bottom w:w="28" w:type="dxa"/>
              <w:right w:w="57" w:type="dxa"/>
            </w:tcMar>
            <w:vAlign w:val="center"/>
          </w:tcPr>
          <w:p w14:paraId="34E11E88">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2338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871" w:type="dxa"/>
            <w:noWrap w:val="0"/>
            <w:tcMar>
              <w:top w:w="28" w:type="dxa"/>
              <w:left w:w="57" w:type="dxa"/>
              <w:bottom w:w="28" w:type="dxa"/>
              <w:right w:w="57" w:type="dxa"/>
            </w:tcMar>
            <w:vAlign w:val="center"/>
          </w:tcPr>
          <w:p w14:paraId="7F71CA40">
            <w:pPr>
              <w:adjustRightInd w:val="0"/>
              <w:snapToGrid w:val="0"/>
              <w:spacing w:line="320" w:lineRule="exact"/>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rPr>
              <w:t>3</w:t>
            </w:r>
            <w:r>
              <w:rPr>
                <w:rFonts w:hint="eastAsia" w:ascii="Times New Roman" w:hAnsi="Times New Roman" w:eastAsia="仿宋_GB2312"/>
                <w:color w:val="000000"/>
                <w:sz w:val="28"/>
                <w:szCs w:val="28"/>
                <w:lang w:val="en-US" w:eastAsia="zh-CN"/>
              </w:rPr>
              <w:t>5</w:t>
            </w:r>
          </w:p>
        </w:tc>
        <w:tc>
          <w:tcPr>
            <w:tcW w:w="1569" w:type="dxa"/>
            <w:noWrap w:val="0"/>
            <w:tcMar>
              <w:top w:w="28" w:type="dxa"/>
              <w:left w:w="57" w:type="dxa"/>
              <w:bottom w:w="28" w:type="dxa"/>
              <w:right w:w="57" w:type="dxa"/>
            </w:tcMar>
            <w:vAlign w:val="center"/>
          </w:tcPr>
          <w:p w14:paraId="09FF0CB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1979—2025</w:t>
            </w:r>
          </w:p>
        </w:tc>
        <w:tc>
          <w:tcPr>
            <w:tcW w:w="1742" w:type="dxa"/>
            <w:noWrap w:val="0"/>
            <w:tcMar>
              <w:top w:w="28" w:type="dxa"/>
              <w:left w:w="57" w:type="dxa"/>
              <w:bottom w:w="28" w:type="dxa"/>
              <w:right w:w="57" w:type="dxa"/>
            </w:tcMar>
            <w:vAlign w:val="center"/>
          </w:tcPr>
          <w:p w14:paraId="5FF26460">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中医器械 刮痧器具</w:t>
            </w:r>
          </w:p>
        </w:tc>
        <w:tc>
          <w:tcPr>
            <w:tcW w:w="1123" w:type="dxa"/>
            <w:noWrap w:val="0"/>
            <w:tcMar>
              <w:top w:w="28" w:type="dxa"/>
              <w:left w:w="57" w:type="dxa"/>
              <w:bottom w:w="28" w:type="dxa"/>
              <w:right w:w="57" w:type="dxa"/>
            </w:tcMar>
            <w:vAlign w:val="center"/>
          </w:tcPr>
          <w:p w14:paraId="5B6C3F5B">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23AAB174">
            <w:pPr>
              <w:adjustRightInd w:val="0"/>
              <w:snapToGrid w:val="0"/>
              <w:spacing w:line="32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2E0EB6A1">
            <w:pPr>
              <w:adjustRightInd w:val="0"/>
              <w:snapToGrid w:val="0"/>
              <w:spacing w:line="32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本文件规定了刮痧器具的要求，描述了相应的试验方法。本文件适用于刮痧器具。本文件不适用于电子刮痧器具。</w:t>
            </w:r>
          </w:p>
        </w:tc>
        <w:tc>
          <w:tcPr>
            <w:tcW w:w="1637" w:type="dxa"/>
            <w:noWrap w:val="0"/>
            <w:tcMar>
              <w:top w:w="28" w:type="dxa"/>
              <w:left w:w="57" w:type="dxa"/>
              <w:bottom w:w="28" w:type="dxa"/>
              <w:right w:w="57" w:type="dxa"/>
            </w:tcMar>
            <w:vAlign w:val="center"/>
          </w:tcPr>
          <w:p w14:paraId="6B15ECE9">
            <w:pPr>
              <w:adjustRightInd w:val="0"/>
              <w:snapToGrid w:val="0"/>
              <w:spacing w:line="32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4001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8" w:hRule="atLeast"/>
          <w:jc w:val="center"/>
        </w:trPr>
        <w:tc>
          <w:tcPr>
            <w:tcW w:w="871" w:type="dxa"/>
            <w:noWrap w:val="0"/>
            <w:tcMar>
              <w:top w:w="28" w:type="dxa"/>
              <w:left w:w="57" w:type="dxa"/>
              <w:bottom w:w="28" w:type="dxa"/>
              <w:right w:w="57" w:type="dxa"/>
            </w:tcMar>
            <w:vAlign w:val="center"/>
          </w:tcPr>
          <w:p w14:paraId="0BF698D9">
            <w:pPr>
              <w:adjustRightInd w:val="0"/>
              <w:snapToGrid w:val="0"/>
              <w:spacing w:line="30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36</w:t>
            </w:r>
          </w:p>
        </w:tc>
        <w:tc>
          <w:tcPr>
            <w:tcW w:w="1569" w:type="dxa"/>
            <w:noWrap w:val="0"/>
            <w:tcMar>
              <w:top w:w="28" w:type="dxa"/>
              <w:left w:w="57" w:type="dxa"/>
              <w:bottom w:w="28" w:type="dxa"/>
              <w:right w:w="57" w:type="dxa"/>
            </w:tcMar>
            <w:vAlign w:val="center"/>
          </w:tcPr>
          <w:p w14:paraId="70364243">
            <w:pPr>
              <w:adjustRightInd w:val="0"/>
              <w:snapToGrid w:val="0"/>
              <w:spacing w:line="30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1980—2025</w:t>
            </w:r>
          </w:p>
        </w:tc>
        <w:tc>
          <w:tcPr>
            <w:tcW w:w="1742" w:type="dxa"/>
            <w:noWrap w:val="0"/>
            <w:tcMar>
              <w:top w:w="28" w:type="dxa"/>
              <w:left w:w="57" w:type="dxa"/>
              <w:bottom w:w="28" w:type="dxa"/>
              <w:right w:w="57" w:type="dxa"/>
            </w:tcMar>
            <w:vAlign w:val="center"/>
          </w:tcPr>
          <w:p w14:paraId="58D2044B">
            <w:pPr>
              <w:adjustRightInd w:val="0"/>
              <w:snapToGrid w:val="0"/>
              <w:spacing w:line="30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一次性使用无菌切口保护套</w:t>
            </w:r>
          </w:p>
        </w:tc>
        <w:tc>
          <w:tcPr>
            <w:tcW w:w="1123" w:type="dxa"/>
            <w:noWrap w:val="0"/>
            <w:tcMar>
              <w:top w:w="28" w:type="dxa"/>
              <w:left w:w="57" w:type="dxa"/>
              <w:bottom w:w="28" w:type="dxa"/>
              <w:right w:w="57" w:type="dxa"/>
            </w:tcMar>
            <w:vAlign w:val="center"/>
          </w:tcPr>
          <w:p w14:paraId="4C93D16F">
            <w:pPr>
              <w:adjustRightInd w:val="0"/>
              <w:snapToGrid w:val="0"/>
              <w:spacing w:line="30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1E67E432">
            <w:pPr>
              <w:adjustRightInd w:val="0"/>
              <w:snapToGrid w:val="0"/>
              <w:spacing w:line="30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1B39433A">
            <w:pPr>
              <w:adjustRightInd w:val="0"/>
              <w:snapToGrid w:val="0"/>
              <w:spacing w:line="30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一次性使用无菌切口保护套（以下简称切口保护套）的分类与标记、材料、要求、标签和说明书、包装、运输和贮存，描述了相应的试验方法。本文件适用于内窥镜手术或开放手术时，对窥镜洞口或手术切口起到固定、牵开、扩张和隔离污染作用的切口保护套。本文件不适用于一次性使用内窥镜保护套。</w:t>
            </w:r>
          </w:p>
        </w:tc>
        <w:tc>
          <w:tcPr>
            <w:tcW w:w="1637" w:type="dxa"/>
            <w:noWrap w:val="0"/>
            <w:tcMar>
              <w:top w:w="28" w:type="dxa"/>
              <w:left w:w="57" w:type="dxa"/>
              <w:bottom w:w="28" w:type="dxa"/>
              <w:right w:w="57" w:type="dxa"/>
            </w:tcMar>
            <w:vAlign w:val="center"/>
          </w:tcPr>
          <w:p w14:paraId="7114AF7B">
            <w:pPr>
              <w:adjustRightInd w:val="0"/>
              <w:snapToGrid w:val="0"/>
              <w:spacing w:line="30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2026年7月1日</w:t>
            </w:r>
          </w:p>
        </w:tc>
      </w:tr>
      <w:tr w14:paraId="09F5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4" w:hRule="atLeast"/>
          <w:jc w:val="center"/>
        </w:trPr>
        <w:tc>
          <w:tcPr>
            <w:tcW w:w="871" w:type="dxa"/>
            <w:noWrap w:val="0"/>
            <w:tcMar>
              <w:top w:w="28" w:type="dxa"/>
              <w:left w:w="57" w:type="dxa"/>
              <w:bottom w:w="28" w:type="dxa"/>
              <w:right w:w="57" w:type="dxa"/>
            </w:tcMar>
            <w:vAlign w:val="center"/>
          </w:tcPr>
          <w:p w14:paraId="31F56EDF">
            <w:pPr>
              <w:adjustRightInd w:val="0"/>
              <w:snapToGrid w:val="0"/>
              <w:spacing w:line="30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37</w:t>
            </w:r>
          </w:p>
        </w:tc>
        <w:tc>
          <w:tcPr>
            <w:tcW w:w="1569" w:type="dxa"/>
            <w:noWrap w:val="0"/>
            <w:tcMar>
              <w:top w:w="28" w:type="dxa"/>
              <w:left w:w="57" w:type="dxa"/>
              <w:bottom w:w="28" w:type="dxa"/>
              <w:right w:w="57" w:type="dxa"/>
            </w:tcMar>
            <w:vAlign w:val="center"/>
          </w:tcPr>
          <w:p w14:paraId="49830ED4">
            <w:pPr>
              <w:adjustRightInd w:val="0"/>
              <w:snapToGrid w:val="0"/>
              <w:spacing w:line="30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YY/T 1981—2025</w:t>
            </w:r>
          </w:p>
        </w:tc>
        <w:tc>
          <w:tcPr>
            <w:tcW w:w="1742" w:type="dxa"/>
            <w:noWrap w:val="0"/>
            <w:tcMar>
              <w:top w:w="28" w:type="dxa"/>
              <w:left w:w="57" w:type="dxa"/>
              <w:bottom w:w="28" w:type="dxa"/>
              <w:right w:w="57" w:type="dxa"/>
            </w:tcMar>
            <w:vAlign w:val="center"/>
          </w:tcPr>
          <w:p w14:paraId="61EBB80C">
            <w:pPr>
              <w:adjustRightInd w:val="0"/>
              <w:snapToGrid w:val="0"/>
              <w:spacing w:line="30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放射治疗计划软件 电子束剂量计算准确性要求和试验方法</w:t>
            </w:r>
          </w:p>
        </w:tc>
        <w:tc>
          <w:tcPr>
            <w:tcW w:w="1123" w:type="dxa"/>
            <w:noWrap w:val="0"/>
            <w:tcMar>
              <w:top w:w="28" w:type="dxa"/>
              <w:left w:w="57" w:type="dxa"/>
              <w:bottom w:w="28" w:type="dxa"/>
              <w:right w:w="57" w:type="dxa"/>
            </w:tcMar>
            <w:vAlign w:val="center"/>
          </w:tcPr>
          <w:p w14:paraId="15D3213E">
            <w:pPr>
              <w:adjustRightInd w:val="0"/>
              <w:snapToGrid w:val="0"/>
              <w:spacing w:line="300" w:lineRule="exact"/>
              <w:jc w:val="center"/>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1BFB5A9D">
            <w:pPr>
              <w:adjustRightInd w:val="0"/>
              <w:snapToGrid w:val="0"/>
              <w:spacing w:line="300" w:lineRule="exact"/>
              <w:jc w:val="center"/>
              <w:rPr>
                <w:rFonts w:ascii="Times New Roman" w:hAnsi="Times New Roman" w:eastAsia="仿宋_GB2312" w:cs="宋体"/>
                <w:color w:val="000000"/>
                <w:sz w:val="28"/>
                <w:szCs w:val="28"/>
              </w:rPr>
            </w:pPr>
            <w:r>
              <w:rPr>
                <w:rFonts w:hint="eastAsia" w:ascii="Times New Roman" w:hAnsi="Times New Roman" w:eastAsia="仿宋_GB2312" w:cs="宋体"/>
                <w:color w:val="000000"/>
                <w:sz w:val="28"/>
                <w:szCs w:val="28"/>
              </w:rPr>
              <w:t>/</w:t>
            </w:r>
          </w:p>
        </w:tc>
        <w:tc>
          <w:tcPr>
            <w:tcW w:w="6096" w:type="dxa"/>
            <w:noWrap w:val="0"/>
            <w:tcMar>
              <w:top w:w="28" w:type="dxa"/>
              <w:left w:w="57" w:type="dxa"/>
              <w:bottom w:w="28" w:type="dxa"/>
              <w:right w:w="57" w:type="dxa"/>
            </w:tcMar>
            <w:vAlign w:val="center"/>
          </w:tcPr>
          <w:p w14:paraId="3948B1ED">
            <w:pPr>
              <w:adjustRightInd w:val="0"/>
              <w:snapToGrid w:val="0"/>
              <w:spacing w:line="300" w:lineRule="exact"/>
              <w:rPr>
                <w:rFonts w:ascii="Times New Roman" w:hAnsi="Times New Roman" w:eastAsia="仿宋_GB2312" w:cs="宋体"/>
                <w:color w:val="000000"/>
                <w:sz w:val="28"/>
                <w:szCs w:val="28"/>
              </w:rPr>
            </w:pPr>
            <w:r>
              <w:rPr>
                <w:rFonts w:hint="eastAsia" w:ascii="Times New Roman" w:hAnsi="Times New Roman" w:eastAsia="仿宋_GB2312"/>
                <w:color w:val="000000"/>
                <w:sz w:val="28"/>
                <w:szCs w:val="28"/>
              </w:rPr>
              <w:t>本文件规定了放射治疗计划软件（RTPS）电子束剂量计算准确性的要求，描述了相应的试验方法。本文件适用于配合医用电子加速器使用的具有远距离放射治疗电子束剂量计算功能的放射治疗计划软件。本文件不适用于特殊应用的电子束放射治疗计划软件。</w:t>
            </w:r>
          </w:p>
        </w:tc>
        <w:tc>
          <w:tcPr>
            <w:tcW w:w="1637" w:type="dxa"/>
            <w:noWrap w:val="0"/>
            <w:tcMar>
              <w:top w:w="28" w:type="dxa"/>
              <w:left w:w="57" w:type="dxa"/>
              <w:bottom w:w="28" w:type="dxa"/>
              <w:right w:w="57" w:type="dxa"/>
            </w:tcMar>
            <w:vAlign w:val="center"/>
          </w:tcPr>
          <w:p w14:paraId="7EACBE85">
            <w:pPr>
              <w:adjustRightInd w:val="0"/>
              <w:snapToGrid w:val="0"/>
              <w:spacing w:line="300" w:lineRule="exact"/>
              <w:jc w:val="center"/>
              <w:rPr>
                <w:rFonts w:hint="default" w:ascii="Times New Roman" w:hAnsi="Times New Roman" w:eastAsia="仿宋_GB2312" w:cs="宋体"/>
                <w:color w:val="000000"/>
                <w:sz w:val="28"/>
                <w:szCs w:val="28"/>
                <w:lang w:val="en-US"/>
              </w:rPr>
            </w:pPr>
            <w:r>
              <w:rPr>
                <w:rFonts w:hint="default" w:ascii="Times New Roman" w:hAnsi="Times New Roman" w:eastAsia="仿宋_GB2312"/>
                <w:color w:val="000000"/>
                <w:sz w:val="28"/>
                <w:szCs w:val="28"/>
                <w:lang w:val="en-US"/>
              </w:rPr>
              <w:t>2027年1月1日</w:t>
            </w:r>
          </w:p>
        </w:tc>
      </w:tr>
      <w:tr w14:paraId="48CC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1" w:hRule="atLeast"/>
          <w:jc w:val="center"/>
        </w:trPr>
        <w:tc>
          <w:tcPr>
            <w:tcW w:w="871" w:type="dxa"/>
            <w:noWrap w:val="0"/>
            <w:tcMar>
              <w:top w:w="28" w:type="dxa"/>
              <w:left w:w="57" w:type="dxa"/>
              <w:bottom w:w="28" w:type="dxa"/>
              <w:right w:w="57" w:type="dxa"/>
            </w:tcMar>
            <w:vAlign w:val="center"/>
          </w:tcPr>
          <w:p w14:paraId="77C07D37">
            <w:pPr>
              <w:adjustRightInd w:val="0"/>
              <w:snapToGrid w:val="0"/>
              <w:spacing w:line="300" w:lineRule="exact"/>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38</w:t>
            </w:r>
          </w:p>
        </w:tc>
        <w:tc>
          <w:tcPr>
            <w:tcW w:w="1569" w:type="dxa"/>
            <w:noWrap w:val="0"/>
            <w:tcMar>
              <w:top w:w="28" w:type="dxa"/>
              <w:left w:w="57" w:type="dxa"/>
              <w:bottom w:w="28" w:type="dxa"/>
              <w:right w:w="57" w:type="dxa"/>
            </w:tcMar>
            <w:vAlign w:val="center"/>
          </w:tcPr>
          <w:p w14:paraId="5EC752F7">
            <w:pPr>
              <w:adjustRightInd w:val="0"/>
              <w:snapToGrid w:val="0"/>
              <w:spacing w:line="30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YY/T 1982—2025</w:t>
            </w:r>
          </w:p>
        </w:tc>
        <w:tc>
          <w:tcPr>
            <w:tcW w:w="1742" w:type="dxa"/>
            <w:noWrap w:val="0"/>
            <w:tcMar>
              <w:top w:w="28" w:type="dxa"/>
              <w:left w:w="57" w:type="dxa"/>
              <w:bottom w:w="28" w:type="dxa"/>
              <w:right w:w="57" w:type="dxa"/>
            </w:tcMar>
            <w:vAlign w:val="center"/>
          </w:tcPr>
          <w:p w14:paraId="12DC6E31">
            <w:pPr>
              <w:adjustRightInd w:val="0"/>
              <w:snapToGrid w:val="0"/>
              <w:spacing w:line="30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外科植入物 多孔结构形貌特征试验方法</w:t>
            </w:r>
          </w:p>
        </w:tc>
        <w:tc>
          <w:tcPr>
            <w:tcW w:w="1123" w:type="dxa"/>
            <w:noWrap w:val="0"/>
            <w:tcMar>
              <w:top w:w="28" w:type="dxa"/>
              <w:left w:w="57" w:type="dxa"/>
              <w:bottom w:w="28" w:type="dxa"/>
              <w:right w:w="57" w:type="dxa"/>
            </w:tcMar>
            <w:vAlign w:val="center"/>
          </w:tcPr>
          <w:p w14:paraId="72F75C28">
            <w:pPr>
              <w:adjustRightInd w:val="0"/>
              <w:snapToGrid w:val="0"/>
              <w:spacing w:line="30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制定</w:t>
            </w:r>
          </w:p>
        </w:tc>
        <w:tc>
          <w:tcPr>
            <w:tcW w:w="1543" w:type="dxa"/>
            <w:noWrap w:val="0"/>
            <w:tcMar>
              <w:top w:w="28" w:type="dxa"/>
              <w:left w:w="57" w:type="dxa"/>
              <w:bottom w:w="28" w:type="dxa"/>
              <w:right w:w="57" w:type="dxa"/>
            </w:tcMar>
            <w:vAlign w:val="center"/>
          </w:tcPr>
          <w:p w14:paraId="2D7C27BE">
            <w:pPr>
              <w:adjustRightInd w:val="0"/>
              <w:snapToGrid w:val="0"/>
              <w:spacing w:line="300" w:lineRule="exact"/>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w:t>
            </w:r>
          </w:p>
        </w:tc>
        <w:tc>
          <w:tcPr>
            <w:tcW w:w="6096" w:type="dxa"/>
            <w:noWrap w:val="0"/>
            <w:tcMar>
              <w:top w:w="28" w:type="dxa"/>
              <w:left w:w="57" w:type="dxa"/>
              <w:bottom w:w="28" w:type="dxa"/>
              <w:right w:w="57" w:type="dxa"/>
            </w:tcMar>
            <w:vAlign w:val="center"/>
          </w:tcPr>
          <w:p w14:paraId="5B5E80A4">
            <w:pPr>
              <w:adjustRightInd w:val="0"/>
              <w:snapToGrid w:val="0"/>
              <w:spacing w:line="300" w:lineRule="exact"/>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本文件描述了外科植入物多孔结构形貌特征的试验方法，形貌特征参数包括孔隙率、孔径、丝径、内部连通性、孔隙渐变梯度、多孔结构厚度和内部结构缺陷。本文件适用于外科植入物中的多孔结构。本文件适用的材料可包括：金属，例如钛、钽、镁等及其合金材料；陶瓷，例如羟基磷灰石、β—磷酸三钙等；高分子材料（可降解、不可降解），例如聚乙烯、聚醚醚酮、聚乳酸或聚己内酯等；复合材料。其制造技术可包括但不限于：增材制造、添加发泡剂法、模板法、气体造孔法、气相沉积法等。本文件不适用于YY/T 0988.14中规定的附着于无孔基体上的各种多孔涂层，例如等离子喷涂纯钛涂层、等离子喷涂羟基磷灰石涂层、由单个实体（粉末颗粒、金属丝、网、珠等）通过热聚合形成的烧结涂层等。</w:t>
            </w:r>
          </w:p>
        </w:tc>
        <w:tc>
          <w:tcPr>
            <w:tcW w:w="1637" w:type="dxa"/>
            <w:noWrap w:val="0"/>
            <w:tcMar>
              <w:top w:w="28" w:type="dxa"/>
              <w:left w:w="57" w:type="dxa"/>
              <w:bottom w:w="28" w:type="dxa"/>
              <w:right w:w="57" w:type="dxa"/>
            </w:tcMar>
            <w:vAlign w:val="center"/>
          </w:tcPr>
          <w:p w14:paraId="131AAA6A">
            <w:pPr>
              <w:adjustRightInd w:val="0"/>
              <w:snapToGrid w:val="0"/>
              <w:spacing w:line="300" w:lineRule="exact"/>
              <w:jc w:val="center"/>
              <w:rPr>
                <w:rFonts w:hint="default" w:ascii="Times New Roman" w:hAnsi="Times New Roman" w:eastAsia="仿宋_GB2312"/>
                <w:color w:val="000000"/>
                <w:sz w:val="28"/>
                <w:szCs w:val="28"/>
                <w:lang w:val="en-US"/>
              </w:rPr>
            </w:pPr>
            <w:r>
              <w:rPr>
                <w:rFonts w:hint="default" w:ascii="Times New Roman" w:hAnsi="Times New Roman" w:eastAsia="仿宋_GB2312"/>
                <w:color w:val="000000"/>
                <w:sz w:val="28"/>
                <w:szCs w:val="28"/>
                <w:lang w:val="en-US"/>
              </w:rPr>
              <w:t>2026年7月1日</w:t>
            </w:r>
          </w:p>
        </w:tc>
      </w:tr>
    </w:tbl>
    <w:p w14:paraId="246A0A1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461C0"/>
    <w:rsid w:val="7844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2025-06-25T07:16:00Z</dcterms:created>
  <dc:creator>糖糖</dc:creator>
  <cp:lastModifiedBy>糖糖</cp:lastModifiedBy>
  <dcterms:modified xsi:type="dcterms:W3CDTF">2025-06-25T07:16:39Z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CD8CF94F1ACB461F9DB94E41851135EC_11</vt:lpwstr>
  </property>
  <property fmtid="{D5CDD505-2E9C-101B-9397-08002B2CF9AE}" pid="4" name="KSOTemplateDocerSaveRecord">
    <vt:lpwstr>eyJoZGlkIjoiNzUzMjcxYjI3MDRjMDIwZmVmYTgzNGM3MjE3OGJkMDMiLCJ1c2VySWQiOiIzODA4OTcyNTkifQ==</vt:lpwstr>
  </property>
</Properties>
</file>