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column"/>
      </w:r>
      <w:r>
        <w:rPr>
          <w:rFonts w:hint="eastAsia" w:ascii="仿宋" w:hAnsi="仿宋" w:eastAsia="仿宋" w:cs="仿宋"/>
          <w:color w:val="auto"/>
          <w:sz w:val="32"/>
          <w:szCs w:val="32"/>
        </w:rPr>
        <w:t>附件3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  <w:sectPr>
          <w:footerReference r:id="rId3" w:type="default"/>
          <w:pgSz w:w="16840" w:h="11910" w:orient="landscape"/>
          <w:pgMar w:top="1060" w:right="640" w:bottom="620" w:left="340" w:header="0" w:footer="430" w:gutter="0"/>
          <w:lnNumType w:countBy="0" w:distance="360"/>
          <w:pgNumType w:fmt="decimal"/>
          <w:cols w:equalWidth="0" w:num="2">
            <w:col w:w="915" w:space="696"/>
            <w:col w:w="14249"/>
          </w:cols>
          <w:rtlGutter w:val="0"/>
          <w:docGrid w:type="lines" w:linePitch="319" w:charSpace="0"/>
        </w:sect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  <w:t>西藏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药品安全信用分级分类管理化妆品行政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eastAsia="zh-CN"/>
        </w:rPr>
        <w:t>处罚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</w:rPr>
        <w:t>行为记分标准</w:t>
      </w:r>
    </w:p>
    <w:tbl>
      <w:tblPr>
        <w:tblStyle w:val="5"/>
        <w:tblW w:w="15359" w:type="dxa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856"/>
        <w:gridCol w:w="3277"/>
        <w:gridCol w:w="704"/>
        <w:gridCol w:w="1015"/>
        <w:gridCol w:w="819"/>
        <w:gridCol w:w="854"/>
        <w:gridCol w:w="727"/>
        <w:gridCol w:w="669"/>
        <w:gridCol w:w="9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编码</w:t>
            </w:r>
          </w:p>
        </w:tc>
        <w:tc>
          <w:tcPr>
            <w:tcW w:w="58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违法行为模式</w:t>
            </w:r>
          </w:p>
        </w:tc>
        <w:tc>
          <w:tcPr>
            <w:tcW w:w="3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违反条款</w:t>
            </w:r>
          </w:p>
        </w:tc>
        <w:tc>
          <w:tcPr>
            <w:tcW w:w="5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记分标准（单位：分）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2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处警告（01）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处罚款或逾期不改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w w:val="95"/>
                <w:sz w:val="21"/>
                <w:szCs w:val="21"/>
              </w:rPr>
              <w:t>正处罚款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（02）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</w:rPr>
              <w:t>情节严重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处罚款（03）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责令停产停业（04）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吊销许可证件（05）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禁止从业单位（06）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禁止从业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个人（07）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1</w:t>
            </w:r>
          </w:p>
        </w:tc>
        <w:tc>
          <w:tcPr>
            <w:tcW w:w="5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（一）未经许可从事化妆品生产活动，或者化妆品注册人、备案人委托未取得相应化妆品生产许可的企业生产化妆品；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（二）生产经营或者进口未经注册的特殊化妆品；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（三）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95"/>
                <w:sz w:val="21"/>
                <w:szCs w:val="21"/>
              </w:rPr>
              <w:t>使用禁止用于化妆品生产的原料、应当注册但未经注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册的新原料生产化妆品，在化妆品中非法添加可能危害人体健康的物质，或者使用超过使用期限、废弃、回收的化妆品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或者原料生产化妆品。</w:t>
            </w:r>
          </w:p>
        </w:tc>
        <w:tc>
          <w:tcPr>
            <w:tcW w:w="3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《化妆品监督管理条例》第五十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九条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40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情节严重的，禁止从业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2</w:t>
            </w:r>
          </w:p>
        </w:tc>
        <w:tc>
          <w:tcPr>
            <w:tcW w:w="5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（一）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95"/>
                <w:sz w:val="21"/>
                <w:szCs w:val="21"/>
              </w:rPr>
              <w:t>使用不符合强制性国家标准、技术规范的原料、直接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接触化妆品的包装材料，应当备案但未备案的新原料生产化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95"/>
                <w:sz w:val="21"/>
                <w:szCs w:val="21"/>
              </w:rPr>
              <w:t>妆品，或者不按照强制性国家标准或者技术规范使用原料；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（二）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w w:val="95"/>
                <w:sz w:val="21"/>
                <w:szCs w:val="21"/>
              </w:rPr>
              <w:t>生产经营不符合强制性国家标准、技术规范或者不符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合化妆品注册、备案资料载明的技术要求的化妆品；（三）更改化妆品使用期限；（四）化妆品经营者擅自配制化妆品，或者经营变质、超过使用期限的化妆品。</w:t>
            </w:r>
          </w:p>
        </w:tc>
        <w:tc>
          <w:tcPr>
            <w:tcW w:w="3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条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40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节严重的，禁止从业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3</w:t>
            </w:r>
          </w:p>
        </w:tc>
        <w:tc>
          <w:tcPr>
            <w:tcW w:w="5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（一）未按照化妆品生产质量管理规范的要求组织生产；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（二）在负责药品监督管理的部门责令其实施召回后拒不召回，或者在负责药品监督管理的部门责令停止或者暂停生产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、经营后拒不停止或者暂停生产、经营。</w:t>
            </w:r>
          </w:p>
        </w:tc>
        <w:tc>
          <w:tcPr>
            <w:tcW w:w="3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条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4</w:t>
            </w:r>
          </w:p>
        </w:tc>
        <w:tc>
          <w:tcPr>
            <w:tcW w:w="5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（一）上市销售、经营或者进口未备案的普通化妆品；（二）未依照本条例规定设质量安全负责人；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（三）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化妆品注册人、备案人未对受托生产企业的生产活动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进行监督；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（四）未依照本条例规定建立并执行从业人员健康管理制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度；（五）生产经营标签不符合本条例规定的化妆品。</w:t>
            </w:r>
          </w:p>
        </w:tc>
        <w:tc>
          <w:tcPr>
            <w:tcW w:w="3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一条第一款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情节严重的，禁止从业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5</w:t>
            </w:r>
          </w:p>
        </w:tc>
        <w:tc>
          <w:tcPr>
            <w:tcW w:w="5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生产经营的化妆品的标签存在瑕疵但不影响质量安全且不会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对消费者造成误导的</w:t>
            </w:r>
          </w:p>
        </w:tc>
        <w:tc>
          <w:tcPr>
            <w:tcW w:w="3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一条第二款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3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2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  <w:sectPr>
          <w:type w:val="continuous"/>
          <w:pgSz w:w="16840" w:h="11910" w:orient="landscape"/>
          <w:pgMar w:top="1060" w:right="640" w:bottom="620" w:left="340" w:header="720" w:footer="720" w:gutter="0"/>
          <w:lnNumType w:countBy="0" w:distance="360"/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5"/>
        <w:tblW w:w="15359" w:type="dxa"/>
        <w:jc w:val="center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285"/>
        <w:gridCol w:w="3860"/>
        <w:gridCol w:w="703"/>
        <w:gridCol w:w="1004"/>
        <w:gridCol w:w="819"/>
        <w:gridCol w:w="854"/>
        <w:gridCol w:w="739"/>
        <w:gridCol w:w="657"/>
        <w:gridCol w:w="9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编码</w:t>
            </w:r>
          </w:p>
        </w:tc>
        <w:tc>
          <w:tcPr>
            <w:tcW w:w="5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违法行为模式</w:t>
            </w:r>
          </w:p>
        </w:tc>
        <w:tc>
          <w:tcPr>
            <w:tcW w:w="3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违反条款</w:t>
            </w:r>
          </w:p>
        </w:tc>
        <w:tc>
          <w:tcPr>
            <w:tcW w:w="56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记分标准（单位：分）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2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处警告（01）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处罚款或逾期不改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w w:val="95"/>
                <w:sz w:val="21"/>
                <w:szCs w:val="21"/>
              </w:rPr>
              <w:t>正处罚款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（02）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</w:rPr>
              <w:t>情节严重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处罚款（03）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责令停产停业（04）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吊销许可证件（05）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禁止从业单位（06）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</w:rPr>
              <w:t>禁止从业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个人（07）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6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（一）未依照本条例规定公布化妆品功效宣称依据的摘要；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（二）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95"/>
                <w:sz w:val="21"/>
                <w:szCs w:val="21"/>
              </w:rPr>
              <w:t>未依照本条例规定建立并执行进货查验记录制度、产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品销售记录制度；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（三）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w w:val="95"/>
                <w:sz w:val="21"/>
                <w:szCs w:val="21"/>
              </w:rPr>
              <w:t>未依照本条例规定对化妆品生产质量管理规范的执行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情况进行自查；（四）未依照本条例规定贮存、运输化妆品；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（五）未依照本条例规定监测、报告化妆品不良反应，或者对化妆品不良反应监测机构、负责药品监督管理的部门开展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的化妆品不良反应调查不予配合。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二条第一款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3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5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7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在申请化妆品行政许可时提供虚假资料或者采取其他欺骗手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段的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四条第一款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撤销许可40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8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伪造、变造、出租、出借或者转让化妆品许可证件的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四条第二款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收缴或吊销40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9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备案时提供虚假资料的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五条第一款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情节严重的，禁止从业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备案部门取消备案后，仍然使用该化妆品新原料生产化妆品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五条第三款、第六十条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备案部门取消备案后，仍然上市销售、进口该普通化妆品的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《化妆品监督管理条例》第六十五条第三款、第六十一条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化妆品集中交易市场开办者、展销会举办者未依照本条例规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定履行审查、检查、制止、报告等管理义务的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《化妆品监督管理条例》第六十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六条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13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电子商务平台经营者未依照本条例规定履行实名登记、制止、报告、停止提供电子商务平台服务等管理义务的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4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《化妆品监督管理条例》第六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十七条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《电子商务法》第八十条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14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境外化妆品注册人、备案人指定的在我国境内的企业法人未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协助开展化妆品不良反应监测、实施产品召回的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《化妆品监督管理条例》第七十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条第一款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3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情节严重的，禁止从业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境外化妆品注册人、备案人拒不履行依据本条例作出的行政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处罚决定的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《化妆品监督管理条例》第七十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条第二款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16</w:t>
            </w:r>
          </w:p>
        </w:tc>
        <w:tc>
          <w:tcPr>
            <w:tcW w:w="5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95"/>
                <w:sz w:val="21"/>
                <w:szCs w:val="21"/>
              </w:rPr>
              <w:t>化妆品生产经营者招用、聘用不得从事化妆品生产经营活动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的人员从事化妆品生产经营的</w:t>
            </w:r>
          </w:p>
        </w:tc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《化妆品监督管理条例》第七十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三条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9"/>
                <w:sz w:val="21"/>
                <w:szCs w:val="21"/>
              </w:rPr>
              <w:t>3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jc w:val="center"/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 w:line="14" w:lineRule="auto"/>
      <w:rPr>
        <w:rFonts w:hint="eastAsia" w:eastAsia="宋体"/>
        <w:sz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B44D"/>
    <w:multiLevelType w:val="multilevel"/>
    <w:tmpl w:val="6058B44D"/>
    <w:lvl w:ilvl="0" w:tentative="0">
      <w:start w:val="1"/>
      <w:numFmt w:val="decimal"/>
      <w:lvlText w:val="%1."/>
      <w:lvlJc w:val="left"/>
      <w:pPr>
        <w:ind w:left="40" w:hanging="201"/>
      </w:pPr>
      <w:rPr>
        <w:rFonts w:hint="eastAsia" w:ascii="宋体" w:hAnsi="宋体" w:eastAsia="宋体"/>
        <w:w w:val="99"/>
        <w:sz w:val="18"/>
        <w:u w:val="none" w:color="auto"/>
        <w:lang w:val="zh-CN" w:eastAsia="zh-CN"/>
      </w:rPr>
    </w:lvl>
    <w:lvl w:ilvl="1" w:tentative="0">
      <w:start w:val="0"/>
      <w:numFmt w:val="bullet"/>
      <w:lvlText w:val="•"/>
      <w:lvlJc w:val="left"/>
      <w:pPr>
        <w:ind w:left="322" w:hanging="201"/>
      </w:pPr>
      <w:rPr>
        <w:rFonts w:hint="default"/>
        <w:u w:val="none" w:color="auto"/>
        <w:lang w:val="zh-CN" w:eastAsia="zh-CN"/>
      </w:rPr>
    </w:lvl>
    <w:lvl w:ilvl="2" w:tentative="0">
      <w:start w:val="0"/>
      <w:numFmt w:val="bullet"/>
      <w:lvlText w:val="•"/>
      <w:lvlJc w:val="left"/>
      <w:pPr>
        <w:ind w:left="605" w:hanging="201"/>
      </w:pPr>
      <w:rPr>
        <w:rFonts w:hint="default"/>
        <w:u w:val="none" w:color="auto"/>
        <w:lang w:val="zh-CN" w:eastAsia="zh-CN"/>
      </w:rPr>
    </w:lvl>
    <w:lvl w:ilvl="3" w:tentative="0">
      <w:start w:val="0"/>
      <w:numFmt w:val="bullet"/>
      <w:lvlText w:val="•"/>
      <w:lvlJc w:val="left"/>
      <w:pPr>
        <w:ind w:left="887" w:hanging="201"/>
      </w:pPr>
      <w:rPr>
        <w:rFonts w:hint="default"/>
        <w:u w:val="none" w:color="auto"/>
        <w:lang w:val="zh-CN" w:eastAsia="zh-CN"/>
      </w:rPr>
    </w:lvl>
    <w:lvl w:ilvl="4" w:tentative="0">
      <w:start w:val="0"/>
      <w:numFmt w:val="bullet"/>
      <w:lvlText w:val="•"/>
      <w:lvlJc w:val="left"/>
      <w:pPr>
        <w:ind w:left="1170" w:hanging="201"/>
      </w:pPr>
      <w:rPr>
        <w:rFonts w:hint="default"/>
        <w:u w:val="none" w:color="auto"/>
        <w:lang w:val="zh-CN" w:eastAsia="zh-CN"/>
      </w:rPr>
    </w:lvl>
    <w:lvl w:ilvl="5" w:tentative="0">
      <w:start w:val="0"/>
      <w:numFmt w:val="bullet"/>
      <w:lvlText w:val="•"/>
      <w:lvlJc w:val="left"/>
      <w:pPr>
        <w:ind w:left="1452" w:hanging="201"/>
      </w:pPr>
      <w:rPr>
        <w:rFonts w:hint="default"/>
        <w:u w:val="none" w:color="auto"/>
        <w:lang w:val="zh-CN" w:eastAsia="zh-CN"/>
      </w:rPr>
    </w:lvl>
    <w:lvl w:ilvl="6" w:tentative="0">
      <w:start w:val="0"/>
      <w:numFmt w:val="bullet"/>
      <w:lvlText w:val="•"/>
      <w:lvlJc w:val="left"/>
      <w:pPr>
        <w:ind w:left="1735" w:hanging="201"/>
      </w:pPr>
      <w:rPr>
        <w:rFonts w:hint="default"/>
        <w:u w:val="none" w:color="auto"/>
        <w:lang w:val="zh-CN" w:eastAsia="zh-CN"/>
      </w:rPr>
    </w:lvl>
    <w:lvl w:ilvl="7" w:tentative="0">
      <w:start w:val="0"/>
      <w:numFmt w:val="bullet"/>
      <w:lvlText w:val="•"/>
      <w:lvlJc w:val="left"/>
      <w:pPr>
        <w:ind w:left="2017" w:hanging="201"/>
      </w:pPr>
      <w:rPr>
        <w:rFonts w:hint="default"/>
        <w:u w:val="none" w:color="auto"/>
        <w:lang w:val="zh-CN" w:eastAsia="zh-CN"/>
      </w:rPr>
    </w:lvl>
    <w:lvl w:ilvl="8" w:tentative="0">
      <w:start w:val="0"/>
      <w:numFmt w:val="bullet"/>
      <w:lvlText w:val="•"/>
      <w:lvlJc w:val="left"/>
      <w:pPr>
        <w:ind w:left="2300" w:hanging="201"/>
      </w:pPr>
      <w:rPr>
        <w:rFonts w:hint="default"/>
        <w:u w:val="none" w:color="auto"/>
        <w:lang w:val="zh-CN"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1D7A"/>
    <w:rsid w:val="6C1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/>
    </w:pPr>
    <w:rPr>
      <w:rFonts w:hint="eastAsia" w:ascii="PMingLiU" w:hAnsi="PMingLiU" w:eastAsia="PMingLiU"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</w:style>
  <w:style w:type="paragraph" w:customStyle="1" w:styleId="7">
    <w:name w:val="Body Text Indent1"/>
    <w:basedOn w:val="1"/>
    <w:qFormat/>
    <w:uiPriority w:val="0"/>
    <w:pPr>
      <w:ind w:left="420" w:leftChars="200"/>
    </w:pPr>
  </w:style>
  <w:style w:type="paragraph" w:customStyle="1" w:styleId="8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2023-06-25T08:13:00Z</dcterms:created>
  <dc:creator>Administrator</dc:creator>
  <cp:lastModifiedBy>Administrator</cp:lastModifiedBy>
  <dcterms:modified xsi:type="dcterms:W3CDTF">2023-06-25T08:14:25Z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