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E5AAC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4E5AAC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4E5AAC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甲氨蝶呤口服制剂</w:t>
      </w:r>
      <w:r>
        <w:rPr>
          <w:rFonts w:ascii="方正小标宋简体" w:eastAsia="方正小标宋简体" w:hAnsi="仿宋" w:hint="eastAsia"/>
          <w:sz w:val="44"/>
          <w:szCs w:val="44"/>
        </w:rPr>
        <w:t>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4E5AAC">
      <w:pPr>
        <w:spacing w:line="560" w:lineRule="exact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4E5AAC">
      <w:pPr>
        <w:numPr>
          <w:ilvl w:val="0"/>
          <w:numId w:val="1"/>
        </w:numPr>
        <w:spacing w:after="240" w:line="480" w:lineRule="exact"/>
        <w:ind w:firstLineChars="177" w:firstLine="566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【</w:t>
      </w:r>
      <w:r>
        <w:rPr>
          <w:rFonts w:eastAsia="黑体"/>
          <w:sz w:val="32"/>
          <w:szCs w:val="32"/>
        </w:rPr>
        <w:t>黑框警告</w:t>
      </w:r>
      <w:r>
        <w:rPr>
          <w:rFonts w:eastAsia="黑体" w:hint="eastAsia"/>
          <w:sz w:val="32"/>
          <w:szCs w:val="32"/>
        </w:rPr>
        <w:t>】</w:t>
      </w:r>
      <w:r>
        <w:rPr>
          <w:rFonts w:eastAsia="黑体" w:hint="eastAsia"/>
          <w:sz w:val="32"/>
          <w:szCs w:val="32"/>
        </w:rPr>
        <w:t>项下应包含以下内容</w:t>
      </w:r>
    </w:p>
    <w:p w:rsidR="00000000" w:rsidRDefault="004E5AAC">
      <w:pPr>
        <w:spacing w:after="240" w:line="480" w:lineRule="exact"/>
        <w:outlineLvl w:val="0"/>
        <w:rPr>
          <w:rFonts w:eastAsia="黑体"/>
          <w:sz w:val="32"/>
          <w:szCs w:val="32"/>
        </w:rPr>
      </w:pPr>
    </w:p>
    <w:p w:rsidR="00000000" w:rsidRDefault="0046615B">
      <w:pPr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1340" cy="1701800"/>
                <wp:effectExtent l="19685" t="17780" r="15875" b="13970"/>
                <wp:wrapSquare wrapText="bothSides"/>
                <wp:docPr id="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1701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4E5AA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本品用于非肿瘤疾病的治疗时，常规用法为每周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32"/>
                                <w:szCs w:val="32"/>
                              </w:rPr>
                              <w:t>次。患者须严格按照医生处方使用本品，不可自行改变用法用量。用法用量错误可能导致严重不良反应甚至危及生命（见【注意事项】）。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0;margin-top:0;width:444.2pt;height:13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" filled="f" strokeweight="2pt">
                <v:stroke joinstyle="round"/>
                <v:textbox style="mso-fit-shape-to-text:t">
                  <w:txbxContent>
                    <w:p w:rsidR="00000000" w:rsidRDefault="004E5AAC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本品用于非肿瘤疾病的治疗时，常规用法为每周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32"/>
                          <w:szCs w:val="32"/>
                        </w:rPr>
                        <w:t>次。患者须严格按照医生处方使用本品，不可自行改变用法用量。用法用量错误可能导致严重不良反应甚至危及生命（见【注意事项】）。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AAC">
        <w:rPr>
          <w:rFonts w:eastAsia="黑体" w:hint="eastAsia"/>
          <w:sz w:val="32"/>
          <w:szCs w:val="32"/>
        </w:rPr>
        <w:t>二、【不良反应】</w:t>
      </w:r>
      <w:r w:rsidR="004E5AAC">
        <w:rPr>
          <w:rFonts w:eastAsia="黑体" w:hint="eastAsia"/>
          <w:sz w:val="32"/>
          <w:szCs w:val="32"/>
        </w:rPr>
        <w:t>项下应包含以下内容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上市后经验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甲氨蝶呤片国内上市后主要收到了以下药品不良反应报告（按报告数量排序）。这些报告多来自于自发报告和文献检索，无法准确估计用药人数，难以计算发生率。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胃肠系</w:t>
      </w:r>
      <w:r>
        <w:rPr>
          <w:rFonts w:eastAsia="仿宋_GB2312"/>
          <w:sz w:val="32"/>
          <w:szCs w:val="32"/>
        </w:rPr>
        <w:t>统：恶心、呕吐、口腔溃疡、腹痛、腹泻、口腔黏膜炎、口咽疼痛、腹胀、反酸、胃肠出血、嘴唇溃疡、消化不良、便血、肠胃气胀、口干、口腔出血、嗳气、舌溃疡、吞咽困难、牙龈出血、消化性溃疡、黑便、肛门溃疡、舌痛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肝胆系统：肝功能异常、肝细胞损伤、肝损伤、肝炎、黄疸、</w:t>
      </w:r>
      <w:r>
        <w:rPr>
          <w:rFonts w:eastAsia="仿宋_GB2312"/>
          <w:sz w:val="32"/>
          <w:szCs w:val="32"/>
        </w:rPr>
        <w:lastRenderedPageBreak/>
        <w:t>肝衰竭。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皮肤及皮下组织：皮疹、瘙痒、脱发、红斑、皮肤溃疡、瘀癍、多形性红斑、斑丘疹、水泡疹、丘疹、红斑性发疹、荨麻疹、脱皮、皮炎、瘙痒性皮疹、紫癜、瘀点、剥脱性皮炎、皮肤糜烂。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血液及淋巴系统：骨髓抑制、全血细胞减少症、粒细胞缺乏症、粒细胞减少症、贫血</w:t>
      </w:r>
      <w:r>
        <w:rPr>
          <w:rFonts w:eastAsia="仿宋_GB2312"/>
          <w:sz w:val="32"/>
          <w:szCs w:val="32"/>
        </w:rPr>
        <w:t>、白细胞减少症、再生障碍贫血、中性粒细胞减少症、血小板减少症、淋巴细胞减少症。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全身性反应：乏力、发热、粘膜溃疡、胸闷、疼痛、寒战、粘膜糜烂、畏寒、面部水肿、高热、外周水肿、疲乏。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神经系统：头晕、头痛、感觉减退、震颤。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免疫系统：超敏反应、过敏样反应、移植物抗宿主病。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呼吸系统：咳嗽、呼吸困难、肺炎、咽喉炎、间质性肺疾病、肺纤维化、呼吸衰竭。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感染及侵染：感染性肺炎、巨细胞病毒感染、真菌感染、疱疹病毒感染、脓毒症、带状疱疹、</w:t>
      </w:r>
      <w:r>
        <w:rPr>
          <w:rFonts w:eastAsia="仿宋_GB2312"/>
          <w:sz w:val="32"/>
          <w:szCs w:val="32"/>
        </w:rPr>
        <w:t>EB</w:t>
      </w:r>
      <w:r>
        <w:rPr>
          <w:rFonts w:eastAsia="仿宋_GB2312"/>
          <w:sz w:val="32"/>
          <w:szCs w:val="32"/>
        </w:rPr>
        <w:t>病毒感染。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肾脏及泌尿系统：肾功能损害、血尿症、出血性膀胱炎。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心血管系统：心</w:t>
      </w:r>
      <w:r>
        <w:rPr>
          <w:rFonts w:eastAsia="仿宋_GB2312"/>
          <w:sz w:val="32"/>
          <w:szCs w:val="32"/>
        </w:rPr>
        <w:t>悸、心动过速、血压升高。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其他：食欲减退、食欲障碍、关节痛、月经不调、视物模糊、视觉损害、潮红、耳鸣。</w:t>
      </w:r>
    </w:p>
    <w:p w:rsidR="00000000" w:rsidRDefault="004E5AAC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实验室检查异常：白细胞计数降低、血小板计数降低、丙氨酸氨基转移酶升高、血红蛋白降低、中性粒细胞计数降低、天门冬氨酸氨基转移酶升高、</w:t>
      </w:r>
      <w:r>
        <w:rPr>
          <w:rFonts w:eastAsia="仿宋_GB2312"/>
          <w:sz w:val="32"/>
          <w:szCs w:val="32"/>
        </w:rPr>
        <w:t>γ-</w:t>
      </w:r>
      <w:r>
        <w:rPr>
          <w:rFonts w:eastAsia="仿宋_GB2312"/>
          <w:sz w:val="32"/>
          <w:szCs w:val="32"/>
        </w:rPr>
        <w:t>谷氨酰转移酶升高、红细胞计数下降、血尿酸升高、血碱性磷酸酶升高。</w:t>
      </w:r>
    </w:p>
    <w:p w:rsidR="00000000" w:rsidRDefault="004E5AAC">
      <w:pPr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三、【注意事项】</w:t>
      </w:r>
      <w:r>
        <w:rPr>
          <w:rFonts w:eastAsia="黑体" w:hint="eastAsia"/>
          <w:sz w:val="32"/>
          <w:szCs w:val="32"/>
        </w:rPr>
        <w:t>项下应包含以下内容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本品使用期间应定期监测血常规和肝肾功能，发现异常可采取减量、停药等适当的处置措施。小剂量叶酸可以预防本品的不良反应，但应在甲氨蝶呤用药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小时后使用。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对于肝肾功能不全的患</w:t>
      </w:r>
      <w:r>
        <w:rPr>
          <w:rFonts w:eastAsia="仿宋_GB2312"/>
          <w:sz w:val="32"/>
          <w:szCs w:val="32"/>
        </w:rPr>
        <w:t>者，使用时建议酌情减量。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国内外均有甲氨蝶呤片用药错误导致严重不良反应甚至死亡的报告，主要发生在服药频率错误（多为将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每周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误为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每日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的老年患者中。这些患者最常报告的不良反应为胃肠系统反应和血液系统反应，包括：口腔溃疡、口腔黏膜炎、咽痛、恶心、呕吐、腹痛、腹泻、黑便、便潜血阳性、白细胞减少、粒细胞减少、血小板减少、贫血、全血细胞减少、骨髓抑制等，也有皮疹、瘙痒、瘀</w:t>
      </w:r>
      <w:r>
        <w:rPr>
          <w:rFonts w:eastAsia="仿宋_GB2312" w:hint="eastAsia"/>
          <w:sz w:val="32"/>
          <w:szCs w:val="32"/>
        </w:rPr>
        <w:t>癍</w:t>
      </w:r>
      <w:r>
        <w:rPr>
          <w:rFonts w:eastAsia="仿宋_GB2312"/>
          <w:sz w:val="32"/>
          <w:szCs w:val="32"/>
        </w:rPr>
        <w:t>、发热、乏力、咳嗽、呼吸困难、转氨酶升高、肾功能异常等报告。医生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药师应充分告知患者及其家属甲氨蝶呤片的用药错误风险，指导患者严格按</w:t>
      </w:r>
      <w:r>
        <w:rPr>
          <w:rFonts w:eastAsia="仿宋_GB2312"/>
          <w:sz w:val="32"/>
          <w:szCs w:val="32"/>
        </w:rPr>
        <w:t>照医嘱服药，不可自行改变用法用量。如不慎过量服用本品，应尽快就医。亚叶酸（亚叶酸钙）和左亚叶酸是甲氨蝶呤的解毒剂，详见【药物过量】。</w:t>
      </w:r>
    </w:p>
    <w:p w:rsidR="00000000" w:rsidRDefault="004E5AAC">
      <w:pPr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四、【药物过量】</w:t>
      </w:r>
      <w:r>
        <w:rPr>
          <w:rFonts w:eastAsia="黑体" w:hint="eastAsia"/>
          <w:sz w:val="32"/>
          <w:szCs w:val="32"/>
        </w:rPr>
        <w:t>项下应包含以下内容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甲氨蝶呤过量的常见症状为胃肠系统反应和血液系统反应（参见【注意事项】）。国内外均有甲氨蝶呤片用药错误而引起过量，导致严重不良反应甚至死亡的报告，主要发生在服药频率错误（多为将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每周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误为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每日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）的老年患者中。</w:t>
      </w: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亚叶酸（亚叶酸钙）和左亚叶酸是甲氨蝶呤的解毒剂。发生甲氨蝶呤过量后应尽快给予解毒剂，并进行水化治疗和碱化尿</w:t>
      </w:r>
      <w:r>
        <w:rPr>
          <w:rFonts w:eastAsia="仿宋_GB2312"/>
          <w:sz w:val="32"/>
          <w:szCs w:val="32"/>
        </w:rPr>
        <w:lastRenderedPageBreak/>
        <w:t>液。甲氨蝶呤与解</w:t>
      </w:r>
      <w:r>
        <w:rPr>
          <w:rFonts w:eastAsia="仿宋_GB2312"/>
          <w:sz w:val="32"/>
          <w:szCs w:val="32"/>
        </w:rPr>
        <w:t>毒剂的给药间隔越长，解毒剂的效果越差。亚叶酸（亚叶酸钙）和左亚叶酸的具体使用方式参见相应的药品说明书。</w:t>
      </w:r>
    </w:p>
    <w:p w:rsidR="00000000" w:rsidRDefault="004E5AAC">
      <w:pPr>
        <w:tabs>
          <w:tab w:val="left" w:pos="1470"/>
          <w:tab w:val="left" w:pos="168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4E5A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eastAsia="仿宋_GB2312"/>
          <w:sz w:val="32"/>
          <w:szCs w:val="32"/>
        </w:rPr>
        <w:t>）</w:t>
      </w:r>
    </w:p>
    <w:p w:rsidR="004E5AAC" w:rsidRDefault="004E5AAC" w:rsidP="0046615B">
      <w:pPr>
        <w:spacing w:line="560" w:lineRule="exact"/>
        <w:ind w:firstLineChars="200" w:firstLine="420"/>
      </w:pPr>
      <w:bookmarkStart w:id="0" w:name="_GoBack"/>
      <w:bookmarkEnd w:id="0"/>
    </w:p>
    <w:sectPr w:rsidR="004E5AAC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AC" w:rsidRDefault="004E5AAC">
      <w:r>
        <w:separator/>
      </w:r>
    </w:p>
  </w:endnote>
  <w:endnote w:type="continuationSeparator" w:id="0">
    <w:p w:rsidR="004E5AAC" w:rsidRDefault="004E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615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E5AAC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bttg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" filled="f" stroked="f">
              <v:textbox style="mso-fit-shape-to-text:t" inset="0,0,0,0">
                <w:txbxContent>
                  <w:p w:rsidR="00000000" w:rsidRDefault="004E5AAC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615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E5AAC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615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" filled="f" stroked="f">
              <v:textbox style="mso-fit-shape-to-text:t" inset="0,0,0,0">
                <w:txbxContent>
                  <w:p w:rsidR="00000000" w:rsidRDefault="004E5AAC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6615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AC" w:rsidRDefault="004E5AAC">
      <w:r>
        <w:separator/>
      </w:r>
    </w:p>
  </w:footnote>
  <w:footnote w:type="continuationSeparator" w:id="0">
    <w:p w:rsidR="004E5AAC" w:rsidRDefault="004E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BC82A2"/>
    <w:multiLevelType w:val="singleLevel"/>
    <w:tmpl w:val="BFBC82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7592C28"/>
    <w:multiLevelType w:val="multilevel"/>
    <w:tmpl w:val="27592C2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58A40"/>
    <w:rsid w:val="0046615B"/>
    <w:rsid w:val="004E5AAC"/>
    <w:rsid w:val="00CE2B85"/>
    <w:rsid w:val="00E465D5"/>
    <w:rsid w:val="6DF58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6D6691-2EEE-401B-84ED-BADCCAA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2022-11-04T07:13:00Z</dcterms:created>
  <dcterms:modified xsi:type="dcterms:W3CDTF">2022-11-04T07:13:00Z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