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EA3F0">
      <w:pPr>
        <w:spacing w:beforeLines="0" w:afterLines="0" w:line="560" w:lineRule="exact"/>
        <w:ind w:firstLine="0" w:firstLineChars="0"/>
        <w:rPr>
          <w:rFonts w:hint="eastAsia" w:ascii="黑体" w:hAnsi="华文仿宋" w:eastAsia="黑体"/>
          <w:sz w:val="32"/>
          <w:szCs w:val="32"/>
        </w:rPr>
      </w:pPr>
      <w:r>
        <w:rPr>
          <w:rFonts w:hint="eastAsia" w:ascii="黑体" w:hAnsi="华文仿宋" w:eastAsia="黑体"/>
          <w:sz w:val="32"/>
          <w:szCs w:val="32"/>
        </w:rPr>
        <w:t>附件</w:t>
      </w:r>
    </w:p>
    <w:p w14:paraId="0785426F">
      <w:pPr>
        <w:spacing w:beforeLines="0" w:afterLines="0" w:line="560" w:lineRule="exact"/>
        <w:ind w:firstLine="640" w:firstLineChars="200"/>
        <w:rPr>
          <w:rFonts w:hint="eastAsia" w:ascii="黑体" w:hAnsi="华文仿宋" w:eastAsia="黑体"/>
          <w:sz w:val="32"/>
          <w:szCs w:val="32"/>
        </w:rPr>
      </w:pPr>
    </w:p>
    <w:p w14:paraId="0109DF45">
      <w:pPr>
        <w:spacing w:before="0" w:beforeLines="0" w:afterLines="0"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Toc12244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复方甘草酸单铵S注射剂药品说明书</w:t>
      </w:r>
    </w:p>
    <w:bookmarkEnd w:id="0"/>
    <w:p w14:paraId="45462935">
      <w:pPr>
        <w:spacing w:beforeLines="0" w:after="0" w:afterLines="0"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修订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要求</w:t>
      </w:r>
    </w:p>
    <w:p w14:paraId="06E379D0">
      <w:pPr>
        <w:spacing w:beforeLines="0" w:after="0" w:afterLines="0" w:line="560" w:lineRule="exact"/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9EDFAD9">
      <w:p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注：本次修订包括注射用复方甘草酸单铵S、复方甘草酸单铵S氯化钠注射液和复方甘草酸单铵S注射液。</w:t>
      </w:r>
      <w:bookmarkStart w:id="1" w:name="OLE_LINK5"/>
      <w:bookmarkStart w:id="2" w:name="OLE_LINK4"/>
      <w:bookmarkStart w:id="3" w:name="OLE_LINK3"/>
    </w:p>
    <w:bookmarkEnd w:id="1"/>
    <w:p w14:paraId="5B7291FA">
      <w:p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28"/>
        </w:rPr>
        <w:t>一、【不良反应】项下删除：</w:t>
      </w:r>
      <w:r>
        <w:rPr>
          <w:rFonts w:hint="default" w:ascii="Times New Roman" w:hAnsi="Times New Roman" w:eastAsia="仿宋_GB2312" w:cs="Times New Roman"/>
          <w:bCs w:val="0"/>
          <w:color w:val="000000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以上症状一般较轻，不影响治疗</w:t>
      </w:r>
      <w:r>
        <w:rPr>
          <w:rFonts w:hint="default" w:ascii="Times New Roman" w:hAnsi="Times New Roman" w:eastAsia="仿宋_GB2312" w:cs="Times New Roman"/>
          <w:bCs w:val="0"/>
          <w:color w:val="000000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。</w:t>
      </w:r>
    </w:p>
    <w:p w14:paraId="043C2CCD">
      <w:pPr>
        <w:widowControl/>
        <w:suppressAutoHyphens w:val="0"/>
        <w:spacing w:beforeLines="0" w:afterLines="0" w:line="56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28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28"/>
          <w:lang w:eastAsia="zh-CN"/>
        </w:rPr>
        <w:t>二、【不良反应】项下应包括以下内容：</w:t>
      </w:r>
    </w:p>
    <w:bookmarkEnd w:id="2"/>
    <w:bookmarkEnd w:id="3"/>
    <w:p w14:paraId="10D5153F">
      <w:p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上市后监测到复方甘草酸单铵S注射剂以下药品不良反应/事件（这些不良反应/事件来自于无法确定样本量的自发报告，难以准确估计其发生频率）：</w:t>
      </w:r>
    </w:p>
    <w:p w14:paraId="47C5DF99">
      <w:p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bookmarkStart w:id="4" w:name="OLE_LINK27"/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皮肤及皮下组织：瘙痒、皮疹、荨麻疹、皮肤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红斑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。</w:t>
      </w:r>
    </w:p>
    <w:p w14:paraId="5460DA14">
      <w:p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全身及给药部位反应：寒战、发热、水肿、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乏力、疼痛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。</w:t>
      </w:r>
    </w:p>
    <w:p w14:paraId="5F0EEAC3">
      <w:p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胃肠系统：恶心、呕吐、口干、腹胀、腹痛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、腹部不适、腹泻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。</w:t>
      </w:r>
    </w:p>
    <w:p w14:paraId="3944058E">
      <w:p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神经系统：头痛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头晕、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感觉减退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震颤。</w:t>
      </w:r>
    </w:p>
    <w:p w14:paraId="47EDC225">
      <w:p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代谢及营养类：低钾血症、假性醛固酮增多症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、食欲减退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。</w:t>
      </w:r>
    </w:p>
    <w:p w14:paraId="0B79243D">
      <w:p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心脏器官：心悸。</w:t>
      </w:r>
    </w:p>
    <w:p w14:paraId="06689D8C">
      <w:p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血管与淋巴管：水钠潴留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血压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升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高、潮红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、静脉炎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。</w:t>
      </w:r>
    </w:p>
    <w:p w14:paraId="1AD671E1">
      <w:p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免疫系统：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过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敏反应、类过敏反应、过敏性休克。</w:t>
      </w:r>
    </w:p>
    <w:p w14:paraId="50D005DC">
      <w:p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呼吸系统、胸及纵隔：胸闷、呼吸困难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、呼吸急促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。</w:t>
      </w:r>
    </w:p>
    <w:bookmarkEnd w:id="4"/>
    <w:p w14:paraId="2614185C">
      <w:pPr>
        <w:spacing w:beforeLines="0" w:afterLines="0" w:line="560" w:lineRule="exact"/>
        <w:ind w:firstLine="600" w:firstLineChars="200"/>
        <w:rPr>
          <w:rFonts w:hint="eastAsia" w:ascii="黑体" w:hAnsi="黑体" w:eastAsia="黑体" w:cs="黑体"/>
          <w:bCs/>
          <w:color w:val="000000"/>
          <w:sz w:val="30"/>
          <w:lang w:eastAsia="zh-CN"/>
        </w:rPr>
      </w:pPr>
      <w:bookmarkStart w:id="5" w:name="_Toc20054"/>
      <w:bookmarkStart w:id="6" w:name="_Toc2913"/>
      <w:bookmarkStart w:id="7" w:name="_Toc8502"/>
      <w:r>
        <w:rPr>
          <w:rFonts w:hint="eastAsia" w:ascii="黑体" w:hAnsi="黑体" w:eastAsia="黑体" w:cs="黑体"/>
          <w:bCs/>
          <w:color w:val="000000"/>
          <w:sz w:val="30"/>
          <w:lang w:eastAsia="zh-CN"/>
        </w:rPr>
        <w:t>三、【注意事项】</w:t>
      </w:r>
      <w:bookmarkEnd w:id="5"/>
      <w:bookmarkEnd w:id="6"/>
      <w:bookmarkEnd w:id="7"/>
      <w:r>
        <w:rPr>
          <w:rFonts w:hint="eastAsia" w:ascii="黑体" w:hAnsi="黑体" w:eastAsia="黑体" w:cs="黑体"/>
          <w:bCs/>
          <w:color w:val="000000"/>
          <w:sz w:val="30"/>
          <w:lang w:eastAsia="zh-CN"/>
        </w:rPr>
        <w:t>项应包括：</w:t>
      </w:r>
    </w:p>
    <w:p w14:paraId="49968AD6">
      <w:p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1.本品为甘草提取物，用药后有出现假性醛固酮</w:t>
      </w:r>
      <w:bookmarkStart w:id="8" w:name="OLE_LINK21"/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增多症</w:t>
      </w:r>
      <w:bookmarkEnd w:id="8"/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表现的可能，包括低钾血症、水钠潴留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血压升高、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水肿、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乏力等症状，治疗过程中需定期监测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bidi="ar"/>
        </w:rPr>
        <w:t>血压和血清钾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，如发现异常，应及时处理。  </w:t>
      </w:r>
    </w:p>
    <w:p w14:paraId="7A92D872">
      <w:p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2. 上市后监测到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本品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有过敏性休克的病例报告，多数发生在用药30分钟内。用药前应仔细询问患者用药史和过敏史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用药中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意观察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一旦出现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呼吸困难、血压下降等症状和体征，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应立即停药并及时救治。</w:t>
      </w:r>
    </w:p>
    <w:p w14:paraId="42988BF3">
      <w:pPr>
        <w:tabs>
          <w:tab w:val="left" w:pos="312"/>
        </w:tabs>
        <w:spacing w:beforeLines="0" w:afterLines="0" w:line="560" w:lineRule="exact"/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四、【老年用药】项应包括以下内容：</w:t>
      </w:r>
    </w:p>
    <w:p w14:paraId="067C554B">
      <w:pPr>
        <w:spacing w:beforeLines="0"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老年患者发生低钾血症的风险较高，应密切观察，慎重给药。</w:t>
      </w:r>
    </w:p>
    <w:p w14:paraId="6649C877">
      <w:pPr>
        <w:tabs>
          <w:tab w:val="left" w:pos="312"/>
        </w:tabs>
        <w:spacing w:beforeLines="0" w:afterLines="0" w:line="560" w:lineRule="exact"/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、【相互作用】项应包括以下内容：</w:t>
      </w:r>
    </w:p>
    <w:p w14:paraId="0C34AA6C">
      <w:p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与排钾利尿剂（如呋塞米、氢氯噻嗪等）合用时，可增加低钾血症的风险，应注意监测血清钾。</w:t>
      </w:r>
    </w:p>
    <w:p w14:paraId="3ABD1369">
      <w:p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</w:p>
    <w:p w14:paraId="51CADDBF">
      <w:pPr>
        <w:suppressAutoHyphens/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de-DE" w:eastAsia="zh-CN"/>
        </w:rPr>
        <w:t>（注：如原批准说明书的安全性内容较本修订要求内容更全面或更严格的，应保留原批准内容。说明书其他内容如与上述修订要求不一致的，应当一并进行修订。）</w:t>
      </w:r>
    </w:p>
    <w:p w14:paraId="219946CA">
      <w:pPr>
        <w:ind w:left="1876" w:leftChars="284" w:hanging="1280" w:hangingChars="400"/>
        <w:rPr>
          <w:rFonts w:hint="eastAsia" w:ascii="仿宋_GB2312" w:hAnsi="华文仿宋" w:eastAsia="仿宋_GB2312"/>
          <w:sz w:val="32"/>
          <w:szCs w:val="32"/>
        </w:rPr>
      </w:pPr>
    </w:p>
    <w:p w14:paraId="76177FB3">
      <w:pPr>
        <w:rPr>
          <w:rFonts w:hint="eastAsia" w:ascii="仿宋_GB2312" w:hAnsi="华文仿宋" w:eastAsia="仿宋_GB2312"/>
          <w:sz w:val="18"/>
          <w:szCs w:val="18"/>
        </w:rPr>
      </w:pPr>
    </w:p>
    <w:p w14:paraId="728C0FBD"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FA6969"/>
    <w:rsid w:val="23FA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2025-07-21T07:23:00Z</dcterms:created>
  <dc:creator>新祺</dc:creator>
  <cp:lastModifiedBy>新祺</cp:lastModifiedBy>
  <dcterms:modified xsi:type="dcterms:W3CDTF">2025-07-21T07:23:44Z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4FA58AD324984166B1D3AAE229E8088F_11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