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pPr>
        <w:spacing w:line="640" w:lineRule="exact"/>
        <w:jc w:val="center"/>
        <w:rPr>
          <w:rFonts w:eastAsia="方正小标宋简体"/>
          <w:bCs/>
          <w:spacing w:val="-6"/>
          <w:sz w:val="44"/>
          <w:szCs w:val="44"/>
        </w:rPr>
      </w:pPr>
      <w:r>
        <w:rPr>
          <w:rFonts w:eastAsia="方正小标宋简体"/>
          <w:bCs/>
          <w:spacing w:val="-6"/>
          <w:sz w:val="44"/>
          <w:szCs w:val="44"/>
        </w:rPr>
        <w:t>山东省驻济省（部）属和军队公立医疗机构部分医疗服务项目价格修订表</w:t>
      </w:r>
    </w:p>
    <w:p>
      <w:pPr>
        <w:pStyle w:val="3"/>
        <w:spacing w:line="560" w:lineRule="exact"/>
        <w:ind w:firstLine="0" w:firstLineChars="0"/>
      </w:pPr>
    </w:p>
    <w:tbl>
      <w:tblPr>
        <w:tblStyle w:val="4"/>
        <w:tblW w:w="140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600"/>
        <w:gridCol w:w="2660"/>
        <w:gridCol w:w="1818"/>
        <w:gridCol w:w="1400"/>
        <w:gridCol w:w="1380"/>
        <w:gridCol w:w="1960"/>
        <w:gridCol w:w="2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项目内涵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除外内容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311100006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睾丸阴茎海绵体活检术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包括穿刺、切开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00000000"/>
    <w:rsid w:val="3D9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2024-03-15T01:38:01Z</dcterms:created>
  <dc:creator>Administrator</dc:creator>
  <cp:lastModifiedBy>星邪影月</cp:lastModifiedBy>
  <dcterms:modified xsi:type="dcterms:W3CDTF">2024-03-15T01:38:16Z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20774D265B4B4DC984E7E35B292D7434_12</vt:lpwstr>
  </property>
</Properties>
</file>