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9D" w:rsidRPr="00651EC7" w:rsidRDefault="00390F9D" w:rsidP="00390F9D">
      <w:pPr>
        <w:spacing w:afterLines="100" w:after="312" w:line="360" w:lineRule="auto"/>
        <w:rPr>
          <w:rFonts w:ascii="黑体" w:eastAsia="黑体" w:hAnsi="黑体" w:cs="Times New Roman"/>
          <w:sz w:val="32"/>
          <w:szCs w:val="32"/>
        </w:rPr>
      </w:pPr>
      <w:r w:rsidRPr="00651EC7">
        <w:rPr>
          <w:rFonts w:ascii="黑体" w:eastAsia="黑体" w:hAnsi="黑体" w:cs="Times New Roman" w:hint="eastAsia"/>
          <w:sz w:val="32"/>
          <w:szCs w:val="32"/>
        </w:rPr>
        <w:t>附件</w:t>
      </w:r>
      <w:r w:rsidR="00C11710">
        <w:rPr>
          <w:rFonts w:ascii="黑体" w:eastAsia="黑体" w:hAnsi="黑体" w:cs="Times New Roman"/>
          <w:sz w:val="32"/>
          <w:szCs w:val="32"/>
        </w:rPr>
        <w:t>2</w:t>
      </w:r>
    </w:p>
    <w:p w:rsidR="00390F9D" w:rsidRPr="002519DC" w:rsidRDefault="00390F9D" w:rsidP="00390F9D">
      <w:pPr>
        <w:spacing w:line="360" w:lineRule="auto"/>
        <w:jc w:val="center"/>
        <w:rPr>
          <w:rFonts w:ascii="方正小标宋简体" w:eastAsia="方正小标宋简体" w:hAnsi="Calibri" w:cs="Times New Roman"/>
          <w:sz w:val="36"/>
          <w:szCs w:val="36"/>
        </w:rPr>
      </w:pPr>
      <w:r w:rsidRPr="002519DC">
        <w:rPr>
          <w:rFonts w:ascii="方正小标宋简体" w:eastAsia="方正小标宋简体" w:hAnsi="Calibri" w:cs="Times New Roman" w:hint="eastAsia"/>
          <w:sz w:val="36"/>
          <w:szCs w:val="36"/>
        </w:rPr>
        <w:t>《注射用两性霉素</w:t>
      </w:r>
      <w:r w:rsidRPr="002519DC">
        <w:rPr>
          <w:rFonts w:ascii="方正小标宋简体" w:eastAsia="方正小标宋简体" w:hAnsi="Calibri" w:cs="Times New Roman"/>
          <w:sz w:val="36"/>
          <w:szCs w:val="36"/>
        </w:rPr>
        <w:t>B脂质体</w:t>
      </w:r>
      <w:r w:rsidRPr="002519DC">
        <w:rPr>
          <w:rFonts w:ascii="方正小标宋简体" w:eastAsia="方正小标宋简体" w:hAnsi="Calibri" w:cs="Times New Roman" w:hint="eastAsia"/>
          <w:sz w:val="36"/>
          <w:szCs w:val="36"/>
        </w:rPr>
        <w:t>生物等效性研究技术</w:t>
      </w:r>
    </w:p>
    <w:p w:rsidR="00390F9D" w:rsidRPr="002519DC" w:rsidRDefault="00390F9D" w:rsidP="00390F9D">
      <w:pPr>
        <w:spacing w:line="360" w:lineRule="auto"/>
        <w:jc w:val="center"/>
        <w:rPr>
          <w:rFonts w:ascii="方正小标宋简体" w:eastAsia="方正小标宋简体" w:hAnsi="Calibri" w:cs="Times New Roman"/>
          <w:sz w:val="36"/>
          <w:szCs w:val="36"/>
        </w:rPr>
      </w:pPr>
      <w:r w:rsidRPr="002519DC">
        <w:rPr>
          <w:rFonts w:ascii="方正小标宋简体" w:eastAsia="方正小标宋简体" w:hAnsi="Calibri" w:cs="Times New Roman" w:hint="eastAsia"/>
          <w:sz w:val="36"/>
          <w:szCs w:val="36"/>
        </w:rPr>
        <w:t>指导原则》</w:t>
      </w:r>
      <w:r w:rsidRPr="002519DC">
        <w:rPr>
          <w:rFonts w:ascii="方正小标宋简体" w:eastAsia="方正小标宋简体" w:hint="eastAsia"/>
          <w:sz w:val="36"/>
          <w:szCs w:val="36"/>
        </w:rPr>
        <w:t>起草说明</w:t>
      </w:r>
    </w:p>
    <w:p w:rsidR="00390F9D" w:rsidRPr="002519DC" w:rsidRDefault="00390F9D" w:rsidP="00390F9D">
      <w:pPr>
        <w:spacing w:line="360" w:lineRule="auto"/>
        <w:jc w:val="center"/>
        <w:rPr>
          <w:rFonts w:ascii="方正小标宋简体" w:eastAsia="方正小标宋简体" w:hAnsi="Calibri" w:cs="Times New Roman"/>
          <w:sz w:val="36"/>
          <w:szCs w:val="36"/>
        </w:rPr>
      </w:pPr>
    </w:p>
    <w:p w:rsidR="00390F9D" w:rsidRPr="002519DC" w:rsidRDefault="00390F9D" w:rsidP="00390F9D">
      <w:pPr>
        <w:spacing w:line="360" w:lineRule="auto"/>
        <w:ind w:firstLineChars="200" w:firstLine="640"/>
        <w:rPr>
          <w:rFonts w:ascii="Times New Roman" w:eastAsia="仿宋_GB2312" w:hAnsi="Times New Roman" w:cs="Times New Roman"/>
          <w:sz w:val="32"/>
        </w:rPr>
      </w:pPr>
      <w:r w:rsidRPr="002519DC">
        <w:rPr>
          <w:rFonts w:ascii="Times New Roman" w:eastAsia="仿宋_GB2312" w:hAnsi="Times New Roman" w:cs="Times New Roman" w:hint="eastAsia"/>
          <w:sz w:val="32"/>
        </w:rPr>
        <w:t>为构建以指导原则为核心的审评标准体系，进一步规范注射用两性霉素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脂质体</w:t>
      </w:r>
      <w:r w:rsidRPr="002519DC">
        <w:rPr>
          <w:rFonts w:ascii="Times New Roman" w:eastAsia="仿宋_GB2312" w:hAnsi="Times New Roman" w:cs="Times New Roman" w:hint="eastAsia"/>
          <w:sz w:val="32"/>
        </w:rPr>
        <w:t>的生物等效性研究，药品审评中心组织起草了</w:t>
      </w:r>
      <w:r w:rsidRPr="002519DC">
        <w:rPr>
          <w:rFonts w:ascii="Times New Roman" w:eastAsia="仿宋_GB2312" w:hAnsi="Times New Roman" w:cs="Times New Roman"/>
          <w:sz w:val="32"/>
        </w:rPr>
        <w:t>《</w:t>
      </w:r>
      <w:r w:rsidRPr="002519DC">
        <w:rPr>
          <w:rFonts w:ascii="Times New Roman" w:eastAsia="仿宋_GB2312" w:hAnsi="Times New Roman" w:cs="Times New Roman" w:hint="eastAsia"/>
          <w:sz w:val="32"/>
        </w:rPr>
        <w:t>注射用两性霉素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脂质体生物等效性研究技术指导原则》</w:t>
      </w:r>
      <w:r w:rsidRPr="002519DC">
        <w:rPr>
          <w:rFonts w:ascii="Times New Roman" w:eastAsia="仿宋_GB2312" w:hAnsi="Times New Roman" w:cs="Times New Roman" w:hint="eastAsia"/>
          <w:sz w:val="32"/>
        </w:rPr>
        <w:t>，经中心内部讨论并征求专家意见</w:t>
      </w:r>
      <w:bookmarkStart w:id="0" w:name="_GoBack"/>
      <w:bookmarkEnd w:id="0"/>
      <w:r w:rsidRPr="002519DC">
        <w:rPr>
          <w:rFonts w:ascii="Times New Roman" w:eastAsia="仿宋_GB2312" w:hAnsi="Times New Roman" w:cs="Times New Roman" w:hint="eastAsia"/>
          <w:sz w:val="32"/>
        </w:rPr>
        <w:t>，形成征求意见稿。现将有关情况说明如下：</w:t>
      </w:r>
    </w:p>
    <w:p w:rsidR="00390F9D" w:rsidRPr="002519DC" w:rsidRDefault="00390F9D" w:rsidP="00390F9D">
      <w:pPr>
        <w:spacing w:line="360" w:lineRule="auto"/>
        <w:ind w:firstLineChars="200" w:firstLine="640"/>
        <w:rPr>
          <w:rFonts w:ascii="黑体" w:eastAsia="黑体" w:hAnsi="黑体"/>
          <w:sz w:val="32"/>
        </w:rPr>
      </w:pPr>
      <w:r w:rsidRPr="002519DC">
        <w:rPr>
          <w:rFonts w:ascii="黑体" w:eastAsia="黑体" w:hAnsi="黑体"/>
          <w:sz w:val="32"/>
        </w:rPr>
        <w:t>一、背景和目的</w:t>
      </w:r>
    </w:p>
    <w:p w:rsidR="00390F9D" w:rsidRPr="002519DC" w:rsidRDefault="00390F9D" w:rsidP="00390F9D">
      <w:pPr>
        <w:spacing w:line="360" w:lineRule="auto"/>
        <w:ind w:firstLineChars="200" w:firstLine="640"/>
        <w:rPr>
          <w:rFonts w:ascii="Times New Roman" w:eastAsia="仿宋_GB2312" w:hAnsi="Times New Roman" w:cs="Times New Roman"/>
          <w:sz w:val="32"/>
        </w:rPr>
      </w:pPr>
      <w:r w:rsidRPr="002519DC">
        <w:rPr>
          <w:rFonts w:ascii="Times New Roman" w:eastAsia="仿宋_GB2312" w:hAnsi="Times New Roman" w:cs="Times New Roman" w:hint="eastAsia"/>
          <w:sz w:val="32"/>
        </w:rPr>
        <w:t>注射用两性霉素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脂质体（</w:t>
      </w:r>
      <w:r w:rsidRPr="002519DC">
        <w:rPr>
          <w:rFonts w:ascii="Times New Roman" w:eastAsia="仿宋_GB2312" w:hAnsi="Times New Roman" w:cs="Times New Roman"/>
          <w:sz w:val="32"/>
        </w:rPr>
        <w:t>Amphotericin B Liposome for Injection</w:t>
      </w:r>
      <w:r w:rsidRPr="002519DC">
        <w:rPr>
          <w:rFonts w:ascii="Times New Roman" w:eastAsia="仿宋_GB2312" w:hAnsi="Times New Roman" w:cs="Times New Roman"/>
          <w:sz w:val="32"/>
        </w:rPr>
        <w:t>）是将两性霉素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包裹于脂质体内形成的特殊注射剂，在体循环中存在脂质体包封的两性霉素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和游离（非包封的）的两性霉素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两种形式。</w:t>
      </w:r>
    </w:p>
    <w:p w:rsidR="00390F9D" w:rsidRPr="002519DC" w:rsidRDefault="00390F9D" w:rsidP="00390F9D">
      <w:pPr>
        <w:spacing w:line="360" w:lineRule="auto"/>
        <w:ind w:firstLineChars="200" w:firstLine="640"/>
        <w:rPr>
          <w:rFonts w:ascii="Times New Roman" w:eastAsia="仿宋_GB2312" w:hAnsi="Times New Roman" w:cs="Times New Roman"/>
          <w:sz w:val="32"/>
        </w:rPr>
      </w:pPr>
      <w:r w:rsidRPr="002519DC">
        <w:rPr>
          <w:rFonts w:ascii="Times New Roman" w:eastAsia="仿宋_GB2312" w:hAnsi="Times New Roman" w:cs="Times New Roman"/>
          <w:sz w:val="32"/>
        </w:rPr>
        <w:t>目前，我国尚无本品生物等效性研究技术指导原则。为进一步规范</w:t>
      </w:r>
      <w:r w:rsidRPr="002519DC">
        <w:rPr>
          <w:rFonts w:ascii="Times New Roman" w:eastAsia="仿宋_GB2312" w:hAnsi="Times New Roman" w:cs="Times New Roman" w:hint="eastAsia"/>
          <w:sz w:val="32"/>
        </w:rPr>
        <w:t>注射用两性霉素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脂质体</w:t>
      </w:r>
      <w:r w:rsidRPr="002519DC">
        <w:rPr>
          <w:rFonts w:ascii="Times New Roman" w:eastAsia="仿宋_GB2312" w:hAnsi="Times New Roman" w:cs="Times New Roman" w:hint="eastAsia"/>
          <w:sz w:val="32"/>
        </w:rPr>
        <w:t>的</w:t>
      </w:r>
      <w:r w:rsidRPr="002519DC">
        <w:rPr>
          <w:rFonts w:ascii="Times New Roman" w:eastAsia="仿宋_GB2312" w:hAnsi="Times New Roman" w:cs="Times New Roman"/>
          <w:sz w:val="32"/>
        </w:rPr>
        <w:t>生物等效性研究，药审中心组织起草了本指导原则，以期为</w:t>
      </w:r>
      <w:r w:rsidRPr="002519DC">
        <w:rPr>
          <w:rFonts w:ascii="Times New Roman" w:eastAsia="仿宋_GB2312" w:hAnsi="Times New Roman" w:cs="Times New Roman" w:hint="eastAsia"/>
          <w:sz w:val="32"/>
        </w:rPr>
        <w:t>该品种</w:t>
      </w:r>
      <w:r w:rsidRPr="002519DC">
        <w:rPr>
          <w:rFonts w:ascii="Times New Roman" w:eastAsia="仿宋_GB2312" w:hAnsi="Times New Roman" w:cs="Times New Roman"/>
          <w:sz w:val="32"/>
        </w:rPr>
        <w:t>的生物等效性研究提供技术指导。</w:t>
      </w:r>
    </w:p>
    <w:p w:rsidR="00390F9D" w:rsidRPr="002519DC" w:rsidRDefault="00390F9D" w:rsidP="00390F9D">
      <w:pPr>
        <w:spacing w:line="360" w:lineRule="auto"/>
        <w:ind w:firstLineChars="200" w:firstLine="640"/>
        <w:rPr>
          <w:rFonts w:ascii="Times New Roman" w:eastAsia="黑体" w:hAnsi="Times New Roman" w:cs="Times New Roman"/>
          <w:sz w:val="32"/>
        </w:rPr>
      </w:pPr>
      <w:r w:rsidRPr="002519DC">
        <w:rPr>
          <w:rFonts w:ascii="Times New Roman" w:eastAsia="黑体" w:hAnsi="Times New Roman" w:cs="Times New Roman"/>
          <w:sz w:val="32"/>
        </w:rPr>
        <w:t>二、起草过程</w:t>
      </w:r>
    </w:p>
    <w:p w:rsidR="00390F9D" w:rsidRPr="002519DC" w:rsidRDefault="00390F9D" w:rsidP="00390F9D">
      <w:pPr>
        <w:spacing w:line="360" w:lineRule="auto"/>
        <w:ind w:firstLineChars="200" w:firstLine="640"/>
        <w:rPr>
          <w:rFonts w:ascii="Times New Roman" w:eastAsia="仿宋_GB2312" w:hAnsi="Times New Roman" w:cs="Times New Roman"/>
          <w:color w:val="000000"/>
          <w:sz w:val="32"/>
          <w:szCs w:val="32"/>
        </w:rPr>
      </w:pPr>
      <w:r w:rsidRPr="002519DC">
        <w:rPr>
          <w:rFonts w:ascii="Times New Roman" w:eastAsia="仿宋_GB2312" w:hAnsi="Times New Roman" w:cs="Times New Roman" w:hint="eastAsia"/>
          <w:sz w:val="32"/>
        </w:rPr>
        <w:t>本指导原则由统计与临床药理学部牵头，纳入了中心</w:t>
      </w:r>
      <w:r w:rsidRPr="002519DC">
        <w:rPr>
          <w:rFonts w:ascii="Times New Roman" w:eastAsia="仿宋_GB2312" w:hAnsi="Times New Roman" w:cs="Times New Roman"/>
          <w:sz w:val="32"/>
        </w:rPr>
        <w:t>2022</w:t>
      </w:r>
      <w:r w:rsidRPr="002519DC">
        <w:rPr>
          <w:rFonts w:ascii="Times New Roman" w:eastAsia="仿宋_GB2312" w:hAnsi="Times New Roman" w:cs="Times New Roman"/>
          <w:sz w:val="32"/>
        </w:rPr>
        <w:t>年指导原则制修订计划。</w:t>
      </w:r>
      <w:r w:rsidRPr="002519DC">
        <w:rPr>
          <w:rFonts w:ascii="Times New Roman" w:eastAsia="仿宋_GB2312" w:hAnsi="Times New Roman" w:cs="Times New Roman" w:hint="eastAsia"/>
          <w:color w:val="000000"/>
          <w:sz w:val="32"/>
          <w:szCs w:val="32"/>
        </w:rPr>
        <w:t>核心工作组成员经充分研究</w:t>
      </w:r>
      <w:r w:rsidR="00526EAD">
        <w:rPr>
          <w:rFonts w:ascii="Times New Roman" w:eastAsia="仿宋_GB2312" w:hAnsi="Times New Roman" w:cs="Times New Roman" w:hint="eastAsia"/>
          <w:color w:val="000000"/>
          <w:sz w:val="32"/>
          <w:szCs w:val="32"/>
        </w:rPr>
        <w:t>其他</w:t>
      </w:r>
      <w:r w:rsidRPr="002519DC">
        <w:rPr>
          <w:rFonts w:ascii="Times New Roman" w:eastAsia="仿宋_GB2312" w:hAnsi="Times New Roman" w:cs="Times New Roman"/>
          <w:color w:val="000000"/>
          <w:sz w:val="32"/>
          <w:szCs w:val="32"/>
        </w:rPr>
        <w:t>监管机构相关信息后形成初稿。</w:t>
      </w:r>
      <w:r w:rsidRPr="002519DC">
        <w:rPr>
          <w:rFonts w:ascii="Times New Roman" w:eastAsia="仿宋_GB2312" w:hAnsi="Times New Roman" w:cs="Times New Roman" w:hint="eastAsia"/>
          <w:color w:val="000000"/>
          <w:sz w:val="32"/>
          <w:szCs w:val="32"/>
        </w:rPr>
        <w:t>于</w:t>
      </w:r>
      <w:r w:rsidRPr="002519DC">
        <w:rPr>
          <w:rFonts w:ascii="Times New Roman" w:eastAsia="仿宋_GB2312" w:hAnsi="Times New Roman" w:cs="Times New Roman"/>
          <w:color w:val="000000"/>
          <w:sz w:val="32"/>
          <w:szCs w:val="32"/>
        </w:rPr>
        <w:t>202</w:t>
      </w:r>
      <w:r w:rsidRPr="002519DC">
        <w:rPr>
          <w:rFonts w:ascii="Times New Roman" w:eastAsia="仿宋_GB2312" w:hAnsi="Times New Roman" w:cs="Times New Roman" w:hint="eastAsia"/>
          <w:color w:val="000000"/>
          <w:sz w:val="32"/>
          <w:szCs w:val="32"/>
        </w:rPr>
        <w:t>1</w:t>
      </w:r>
      <w:r w:rsidRPr="002519DC">
        <w:rPr>
          <w:rFonts w:ascii="Times New Roman" w:eastAsia="仿宋_GB2312" w:hAnsi="Times New Roman" w:cs="Times New Roman" w:hint="eastAsia"/>
          <w:color w:val="000000"/>
          <w:sz w:val="32"/>
          <w:szCs w:val="32"/>
        </w:rPr>
        <w:t>年</w:t>
      </w:r>
      <w:r w:rsidRPr="002519DC">
        <w:rPr>
          <w:rFonts w:ascii="Times New Roman" w:eastAsia="仿宋_GB2312" w:hAnsi="Times New Roman" w:cs="Times New Roman"/>
          <w:color w:val="000000"/>
          <w:sz w:val="32"/>
          <w:szCs w:val="32"/>
        </w:rPr>
        <w:t>5</w:t>
      </w:r>
      <w:r w:rsidRPr="002519DC">
        <w:rPr>
          <w:rFonts w:ascii="Times New Roman" w:eastAsia="仿宋_GB2312" w:hAnsi="Times New Roman" w:cs="Times New Roman" w:hint="eastAsia"/>
          <w:color w:val="000000"/>
          <w:sz w:val="32"/>
          <w:szCs w:val="32"/>
        </w:rPr>
        <w:t>月组织召开</w:t>
      </w:r>
      <w:r>
        <w:rPr>
          <w:rFonts w:ascii="Times New Roman" w:eastAsia="仿宋_GB2312" w:hAnsi="Times New Roman" w:cs="Times New Roman" w:hint="eastAsia"/>
          <w:color w:val="000000"/>
          <w:sz w:val="32"/>
          <w:szCs w:val="32"/>
        </w:rPr>
        <w:lastRenderedPageBreak/>
        <w:t>专家</w:t>
      </w:r>
      <w:r w:rsidRPr="002519DC">
        <w:rPr>
          <w:rFonts w:ascii="Times New Roman" w:eastAsia="仿宋_GB2312" w:hAnsi="Times New Roman" w:cs="Times New Roman" w:hint="eastAsia"/>
          <w:color w:val="000000"/>
          <w:sz w:val="32"/>
          <w:szCs w:val="32"/>
        </w:rPr>
        <w:t>改稿会，重点</w:t>
      </w:r>
      <w:r w:rsidRPr="002519DC">
        <w:rPr>
          <w:rFonts w:ascii="Times New Roman" w:eastAsia="仿宋_GB2312" w:hAnsi="Times New Roman" w:cs="Times New Roman"/>
          <w:color w:val="000000"/>
          <w:sz w:val="32"/>
          <w:szCs w:val="32"/>
        </w:rPr>
        <w:t>讨论了本品</w:t>
      </w:r>
      <w:r w:rsidRPr="002519DC">
        <w:rPr>
          <w:rFonts w:ascii="Times New Roman" w:eastAsia="仿宋_GB2312" w:hAnsi="Times New Roman" w:cs="Times New Roman" w:hint="eastAsia"/>
          <w:color w:val="000000"/>
          <w:sz w:val="32"/>
          <w:szCs w:val="32"/>
        </w:rPr>
        <w:t>的生物</w:t>
      </w:r>
      <w:r w:rsidRPr="002519DC">
        <w:rPr>
          <w:rFonts w:ascii="Times New Roman" w:eastAsia="仿宋_GB2312" w:hAnsi="Times New Roman" w:cs="Times New Roman"/>
          <w:color w:val="000000"/>
          <w:sz w:val="32"/>
          <w:szCs w:val="32"/>
        </w:rPr>
        <w:t>等效</w:t>
      </w:r>
      <w:r w:rsidRPr="002519DC">
        <w:rPr>
          <w:rFonts w:ascii="Times New Roman" w:eastAsia="仿宋_GB2312" w:hAnsi="Times New Roman" w:cs="Times New Roman" w:hint="eastAsia"/>
          <w:color w:val="000000"/>
          <w:sz w:val="32"/>
          <w:szCs w:val="32"/>
        </w:rPr>
        <w:t>性</w:t>
      </w:r>
      <w:r w:rsidRPr="002519DC">
        <w:rPr>
          <w:rFonts w:ascii="Times New Roman" w:eastAsia="仿宋_GB2312" w:hAnsi="Times New Roman" w:cs="Times New Roman"/>
          <w:color w:val="000000"/>
          <w:sz w:val="32"/>
          <w:szCs w:val="32"/>
        </w:rPr>
        <w:t>研究的试验设计、给药剂量及</w:t>
      </w:r>
      <w:r w:rsidRPr="002519DC">
        <w:rPr>
          <w:rFonts w:ascii="Times New Roman" w:eastAsia="仿宋_GB2312" w:hAnsi="Times New Roman" w:cs="Times New Roman" w:hint="eastAsia"/>
          <w:color w:val="000000"/>
          <w:sz w:val="32"/>
          <w:szCs w:val="32"/>
        </w:rPr>
        <w:t>生物等效性</w:t>
      </w:r>
      <w:r w:rsidRPr="002519DC">
        <w:rPr>
          <w:rFonts w:ascii="Times New Roman" w:eastAsia="仿宋_GB2312" w:hAnsi="Times New Roman" w:cs="Times New Roman"/>
          <w:color w:val="000000"/>
          <w:sz w:val="32"/>
          <w:szCs w:val="32"/>
        </w:rPr>
        <w:t>评价指标</w:t>
      </w:r>
      <w:r w:rsidRPr="002519DC">
        <w:rPr>
          <w:rFonts w:ascii="Times New Roman" w:eastAsia="仿宋_GB2312" w:hAnsi="Times New Roman" w:cs="Times New Roman" w:hint="eastAsia"/>
          <w:color w:val="000000"/>
          <w:sz w:val="32"/>
          <w:szCs w:val="32"/>
        </w:rPr>
        <w:t>等</w:t>
      </w:r>
      <w:r w:rsidRPr="002519DC">
        <w:rPr>
          <w:rFonts w:ascii="Times New Roman" w:eastAsia="仿宋_GB2312" w:hAnsi="Times New Roman" w:cs="Times New Roman"/>
          <w:color w:val="000000"/>
          <w:sz w:val="32"/>
          <w:szCs w:val="32"/>
        </w:rPr>
        <w:t>问题。</w:t>
      </w:r>
      <w:r w:rsidRPr="002519DC">
        <w:rPr>
          <w:rFonts w:ascii="Times New Roman" w:eastAsia="仿宋_GB2312" w:hAnsi="Times New Roman" w:cs="Times New Roman" w:hint="eastAsia"/>
          <w:color w:val="000000"/>
          <w:sz w:val="32"/>
          <w:szCs w:val="32"/>
        </w:rPr>
        <w:t>经充分讨论后达成一致意见，形成征求意见稿。</w:t>
      </w:r>
    </w:p>
    <w:p w:rsidR="00390F9D" w:rsidRPr="002519DC" w:rsidRDefault="00390F9D" w:rsidP="00390F9D">
      <w:pPr>
        <w:spacing w:line="360" w:lineRule="auto"/>
        <w:ind w:firstLineChars="200" w:firstLine="640"/>
        <w:rPr>
          <w:rFonts w:ascii="黑体" w:eastAsia="黑体" w:hAnsi="黑体"/>
          <w:sz w:val="32"/>
        </w:rPr>
      </w:pPr>
      <w:r w:rsidRPr="002519DC">
        <w:rPr>
          <w:rFonts w:ascii="黑体" w:eastAsia="黑体" w:hAnsi="黑体"/>
          <w:sz w:val="32"/>
        </w:rPr>
        <w:t>三、主要内容与说明</w:t>
      </w:r>
    </w:p>
    <w:p w:rsidR="00390F9D" w:rsidRPr="002519DC" w:rsidRDefault="00390F9D" w:rsidP="00390F9D">
      <w:pPr>
        <w:spacing w:line="360" w:lineRule="auto"/>
        <w:ind w:firstLineChars="200" w:firstLine="640"/>
        <w:rPr>
          <w:rFonts w:ascii="Times New Roman" w:eastAsia="仿宋_GB2312" w:hAnsi="Times New Roman" w:cs="Times New Roman"/>
          <w:color w:val="000000"/>
          <w:sz w:val="32"/>
          <w:szCs w:val="32"/>
        </w:rPr>
      </w:pPr>
      <w:r w:rsidRPr="002519DC">
        <w:rPr>
          <w:rFonts w:ascii="Times New Roman" w:eastAsia="仿宋_GB2312" w:hAnsi="Times New Roman" w:cs="Times New Roman" w:hint="eastAsia"/>
          <w:color w:val="000000"/>
          <w:kern w:val="0"/>
          <w:sz w:val="32"/>
          <w:szCs w:val="32"/>
        </w:rPr>
        <w:t>本指导原则旨在</w:t>
      </w:r>
      <w:r w:rsidRPr="002519DC">
        <w:rPr>
          <w:rFonts w:ascii="Times New Roman" w:eastAsia="仿宋_GB2312" w:hAnsi="Times New Roman" w:cs="Times New Roman" w:hint="eastAsia"/>
          <w:color w:val="000000"/>
          <w:sz w:val="32"/>
          <w:szCs w:val="32"/>
        </w:rPr>
        <w:t>为</w:t>
      </w:r>
      <w:r w:rsidRPr="002519DC">
        <w:rPr>
          <w:rFonts w:ascii="Times New Roman" w:eastAsia="仿宋_GB2312" w:hAnsi="Times New Roman" w:cs="Times New Roman" w:hint="eastAsia"/>
          <w:sz w:val="32"/>
        </w:rPr>
        <w:t>注射用两性霉素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脂质体生物等效性研究提供技术指导</w:t>
      </w:r>
      <w:r w:rsidRPr="002519DC">
        <w:rPr>
          <w:rFonts w:ascii="Times New Roman" w:eastAsia="仿宋_GB2312" w:hAnsi="Times New Roman" w:cs="Times New Roman" w:hint="eastAsia"/>
          <w:sz w:val="32"/>
        </w:rPr>
        <w:t>。</w:t>
      </w:r>
      <w:r w:rsidRPr="002519DC">
        <w:rPr>
          <w:rFonts w:ascii="Times New Roman" w:eastAsia="仿宋_GB2312" w:hAnsi="Times New Roman" w:cs="Times New Roman"/>
          <w:sz w:val="32"/>
        </w:rPr>
        <w:t>主要内容包括研究类型、受试人群、给药剂量、给药方法、血样采集、检测物质、生物等效性评价以及生物等效性研究豁免等。</w:t>
      </w:r>
    </w:p>
    <w:p w:rsidR="00390F9D" w:rsidRPr="002519DC" w:rsidRDefault="00390F9D" w:rsidP="00390F9D">
      <w:pPr>
        <w:spacing w:line="360" w:lineRule="auto"/>
        <w:ind w:firstLineChars="200" w:firstLine="640"/>
        <w:rPr>
          <w:rFonts w:ascii="Times New Roman" w:eastAsia="仿宋_GB2312" w:hAnsi="Times New Roman" w:cs="Times New Roman"/>
          <w:sz w:val="32"/>
        </w:rPr>
      </w:pPr>
      <w:r w:rsidRPr="002519DC">
        <w:rPr>
          <w:rFonts w:ascii="Times New Roman" w:eastAsia="仿宋_GB2312" w:hAnsi="Times New Roman" w:cs="Times New Roman" w:hint="eastAsia"/>
          <w:sz w:val="32"/>
        </w:rPr>
        <w:t>注射用两性霉素</w:t>
      </w:r>
      <w:r w:rsidRPr="002519DC">
        <w:rPr>
          <w:rFonts w:ascii="Times New Roman" w:eastAsia="仿宋_GB2312" w:hAnsi="Times New Roman" w:cs="Times New Roman"/>
          <w:sz w:val="32"/>
        </w:rPr>
        <w:t>B</w:t>
      </w:r>
      <w:r w:rsidRPr="002519DC">
        <w:rPr>
          <w:rFonts w:ascii="Times New Roman" w:eastAsia="仿宋_GB2312" w:hAnsi="Times New Roman" w:cs="Times New Roman"/>
          <w:sz w:val="32"/>
        </w:rPr>
        <w:t>脂质体生物等效性研究应符合本指导原则，还应参照</w:t>
      </w:r>
      <w:r w:rsidRPr="002519DC">
        <w:rPr>
          <w:rFonts w:ascii="Times New Roman" w:eastAsia="仿宋_GB2312" w:hAnsi="Times New Roman" w:cs="Times New Roman" w:hint="eastAsia"/>
          <w:sz w:val="32"/>
        </w:rPr>
        <w:t>《以药动学参数为终点评价指标的化学药物仿制药人体生物等效性研究技术指导原则》、《化学药品注射剂仿制药（特殊注射剂）质量和疗效一致性评价技术要求》和《生物等效性研究的统计学指导原则》等相关法规和指导原则要求。</w:t>
      </w:r>
    </w:p>
    <w:p w:rsidR="00390F9D" w:rsidRPr="002519DC" w:rsidRDefault="00390F9D" w:rsidP="00390F9D">
      <w:pPr>
        <w:spacing w:line="360" w:lineRule="auto"/>
        <w:ind w:firstLineChars="200" w:firstLine="640"/>
        <w:rPr>
          <w:rFonts w:ascii="Times New Roman" w:eastAsia="仿宋_GB2312" w:hAnsi="Times New Roman" w:cs="Times New Roman"/>
          <w:sz w:val="32"/>
        </w:rPr>
      </w:pPr>
    </w:p>
    <w:p w:rsidR="00B6092D" w:rsidRPr="00390F9D" w:rsidRDefault="00B6092D"/>
    <w:sectPr w:rsidR="00B6092D" w:rsidRPr="00390F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B73" w:rsidRDefault="00924B73" w:rsidP="00390F9D">
      <w:r>
        <w:separator/>
      </w:r>
    </w:p>
  </w:endnote>
  <w:endnote w:type="continuationSeparator" w:id="0">
    <w:p w:rsidR="00924B73" w:rsidRDefault="00924B73" w:rsidP="0039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B73" w:rsidRDefault="00924B73" w:rsidP="00390F9D">
      <w:r>
        <w:separator/>
      </w:r>
    </w:p>
  </w:footnote>
  <w:footnote w:type="continuationSeparator" w:id="0">
    <w:p w:rsidR="00924B73" w:rsidRDefault="00924B73" w:rsidP="00390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86"/>
    <w:rsid w:val="00090059"/>
    <w:rsid w:val="000A6385"/>
    <w:rsid w:val="000D0FAB"/>
    <w:rsid w:val="000D4347"/>
    <w:rsid w:val="000D6995"/>
    <w:rsid w:val="000E7D5C"/>
    <w:rsid w:val="00117AC6"/>
    <w:rsid w:val="00135948"/>
    <w:rsid w:val="001774B6"/>
    <w:rsid w:val="002462B0"/>
    <w:rsid w:val="002574EE"/>
    <w:rsid w:val="002678F5"/>
    <w:rsid w:val="00274408"/>
    <w:rsid w:val="002E1911"/>
    <w:rsid w:val="002F20A9"/>
    <w:rsid w:val="00390F9D"/>
    <w:rsid w:val="00392541"/>
    <w:rsid w:val="00393B10"/>
    <w:rsid w:val="003B34C7"/>
    <w:rsid w:val="003C17E9"/>
    <w:rsid w:val="003C502C"/>
    <w:rsid w:val="003C786B"/>
    <w:rsid w:val="00400A87"/>
    <w:rsid w:val="00405771"/>
    <w:rsid w:val="00440FF2"/>
    <w:rsid w:val="0044669A"/>
    <w:rsid w:val="004622E0"/>
    <w:rsid w:val="004903EB"/>
    <w:rsid w:val="00490FCA"/>
    <w:rsid w:val="004C006B"/>
    <w:rsid w:val="00511E93"/>
    <w:rsid w:val="00526EAD"/>
    <w:rsid w:val="00537BA2"/>
    <w:rsid w:val="00556F49"/>
    <w:rsid w:val="005878C8"/>
    <w:rsid w:val="005A0B4A"/>
    <w:rsid w:val="005B0101"/>
    <w:rsid w:val="005F6AA9"/>
    <w:rsid w:val="0060049E"/>
    <w:rsid w:val="00603CEB"/>
    <w:rsid w:val="00680616"/>
    <w:rsid w:val="00680DCE"/>
    <w:rsid w:val="006A16AB"/>
    <w:rsid w:val="00746386"/>
    <w:rsid w:val="007B72CA"/>
    <w:rsid w:val="007E4999"/>
    <w:rsid w:val="007F0D5C"/>
    <w:rsid w:val="007F5A8C"/>
    <w:rsid w:val="00804B7E"/>
    <w:rsid w:val="008503B4"/>
    <w:rsid w:val="008C6181"/>
    <w:rsid w:val="008D2791"/>
    <w:rsid w:val="008D71F2"/>
    <w:rsid w:val="00924B73"/>
    <w:rsid w:val="00952676"/>
    <w:rsid w:val="00972E2E"/>
    <w:rsid w:val="00991834"/>
    <w:rsid w:val="00A1212B"/>
    <w:rsid w:val="00A16CE4"/>
    <w:rsid w:val="00A35D28"/>
    <w:rsid w:val="00A74D52"/>
    <w:rsid w:val="00AA249A"/>
    <w:rsid w:val="00AB4F7C"/>
    <w:rsid w:val="00AC6C58"/>
    <w:rsid w:val="00AE0CD4"/>
    <w:rsid w:val="00B356D5"/>
    <w:rsid w:val="00B6092D"/>
    <w:rsid w:val="00B64CAC"/>
    <w:rsid w:val="00BB11DD"/>
    <w:rsid w:val="00BB4039"/>
    <w:rsid w:val="00BB5F03"/>
    <w:rsid w:val="00BF595C"/>
    <w:rsid w:val="00C009FD"/>
    <w:rsid w:val="00C048A3"/>
    <w:rsid w:val="00C11710"/>
    <w:rsid w:val="00C75284"/>
    <w:rsid w:val="00CA0E1F"/>
    <w:rsid w:val="00CA70DD"/>
    <w:rsid w:val="00CC7B74"/>
    <w:rsid w:val="00CE49E6"/>
    <w:rsid w:val="00D04755"/>
    <w:rsid w:val="00D2595B"/>
    <w:rsid w:val="00D6192F"/>
    <w:rsid w:val="00D66AF6"/>
    <w:rsid w:val="00D66E35"/>
    <w:rsid w:val="00D732F1"/>
    <w:rsid w:val="00DA4C2A"/>
    <w:rsid w:val="00DD7F6E"/>
    <w:rsid w:val="00E5727D"/>
    <w:rsid w:val="00EB4602"/>
    <w:rsid w:val="00EB7945"/>
    <w:rsid w:val="00F156C5"/>
    <w:rsid w:val="00F458DF"/>
    <w:rsid w:val="00F546C9"/>
    <w:rsid w:val="00F931B1"/>
    <w:rsid w:val="00FC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6ABBB"/>
  <w15:chartTrackingRefBased/>
  <w15:docId w15:val="{5CBAB076-DC5A-4251-9DBE-18F5D8BD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F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F9D"/>
    <w:rPr>
      <w:sz w:val="18"/>
      <w:szCs w:val="18"/>
    </w:rPr>
  </w:style>
  <w:style w:type="paragraph" w:styleId="a5">
    <w:name w:val="footer"/>
    <w:basedOn w:val="a"/>
    <w:link w:val="a6"/>
    <w:uiPriority w:val="99"/>
    <w:unhideWhenUsed/>
    <w:rsid w:val="00390F9D"/>
    <w:pPr>
      <w:tabs>
        <w:tab w:val="center" w:pos="4153"/>
        <w:tab w:val="right" w:pos="8306"/>
      </w:tabs>
      <w:snapToGrid w:val="0"/>
      <w:jc w:val="left"/>
    </w:pPr>
    <w:rPr>
      <w:sz w:val="18"/>
      <w:szCs w:val="18"/>
    </w:rPr>
  </w:style>
  <w:style w:type="character" w:customStyle="1" w:styleId="a6">
    <w:name w:val="页脚 字符"/>
    <w:basedOn w:val="a0"/>
    <w:link w:val="a5"/>
    <w:uiPriority w:val="99"/>
    <w:rsid w:val="00390F9D"/>
    <w:rPr>
      <w:sz w:val="18"/>
      <w:szCs w:val="18"/>
    </w:rPr>
  </w:style>
  <w:style w:type="paragraph" w:styleId="a7">
    <w:name w:val="Balloon Text"/>
    <w:basedOn w:val="a"/>
    <w:link w:val="a8"/>
    <w:uiPriority w:val="99"/>
    <w:semiHidden/>
    <w:unhideWhenUsed/>
    <w:rsid w:val="00526EAD"/>
    <w:rPr>
      <w:sz w:val="18"/>
      <w:szCs w:val="18"/>
    </w:rPr>
  </w:style>
  <w:style w:type="character" w:customStyle="1" w:styleId="a8">
    <w:name w:val="批注框文本 字符"/>
    <w:basedOn w:val="a0"/>
    <w:link w:val="a7"/>
    <w:uiPriority w:val="99"/>
    <w:semiHidden/>
    <w:rsid w:val="00526E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111</Words>
  <Characters>638</Characters>
  <Application>Microsoft Office Word</Application>
  <DocSecurity>0</DocSecurity>
  <Lines>5</Lines>
  <Paragraphs>1</Paragraphs>
  <ScaleCrop>false</ScaleCrop>
  <Company>Microsoft</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刘美霞</dc:creator>
  <cp:keywords/>
  <dc:description/>
  <cp:lastModifiedBy>刘美霞</cp:lastModifiedBy>
  <cp:revision>5</cp:revision>
  <cp:lastPrinted>2022-07-06T07:42:00Z</cp:lastPrinted>
  <dcterms:created xsi:type="dcterms:W3CDTF">2022-07-06T06:26:00Z</dcterms:created>
  <dcterms:modified xsi:type="dcterms:W3CDTF">2022-07-06T07:59:00Z</dcterms:modified>
</cp:coreProperties>
</file>