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61ED5" w:rsidP="00674A94">
      <w:pPr>
        <w:widowControl/>
        <w:spacing w:line="560" w:lineRule="exact"/>
        <w:rPr>
          <w:rFonts w:ascii="黑体" w:eastAsia="黑体" w:hAnsi="黑体" w:cs="黑体" w:hint="eastAsia"/>
          <w:sz w:val="32"/>
          <w:szCs w:val="32"/>
        </w:rPr>
      </w:pPr>
      <w:r>
        <w:rPr>
          <w:rFonts w:ascii="黑体" w:eastAsia="黑体" w:hAnsi="黑体" w:cs="黑体" w:hint="eastAsia"/>
          <w:sz w:val="32"/>
          <w:szCs w:val="32"/>
        </w:rPr>
        <w:t>附件</w:t>
      </w:r>
    </w:p>
    <w:p w:rsidR="00000000" w:rsidRDefault="00961ED5" w:rsidP="00674A94">
      <w:pPr>
        <w:widowControl/>
        <w:spacing w:line="560" w:lineRule="exact"/>
        <w:jc w:val="center"/>
        <w:rPr>
          <w:rFonts w:ascii="黑体" w:eastAsia="黑体" w:hAnsi="黑体" w:cs="黑体" w:hint="eastAsia"/>
          <w:sz w:val="32"/>
          <w:szCs w:val="32"/>
        </w:rPr>
      </w:pPr>
    </w:p>
    <w:p w:rsidR="00000000" w:rsidRPr="00674A94" w:rsidRDefault="00961ED5" w:rsidP="00674A94">
      <w:pPr>
        <w:widowControl/>
        <w:spacing w:line="560" w:lineRule="exact"/>
        <w:jc w:val="center"/>
        <w:rPr>
          <w:rFonts w:eastAsia="方正小标宋简体"/>
          <w:sz w:val="44"/>
          <w:szCs w:val="44"/>
        </w:rPr>
      </w:pPr>
      <w:r w:rsidRPr="00674A94">
        <w:rPr>
          <w:rFonts w:eastAsia="方正小标宋简体"/>
          <w:sz w:val="44"/>
          <w:szCs w:val="44"/>
        </w:rPr>
        <w:t>体外诊断试剂分类规则</w:t>
      </w:r>
    </w:p>
    <w:p w:rsidR="00000000" w:rsidRDefault="00961ED5" w:rsidP="00674A94">
      <w:pPr>
        <w:widowControl/>
        <w:spacing w:line="560" w:lineRule="exact"/>
        <w:jc w:val="center"/>
        <w:rPr>
          <w:rFonts w:eastAsia="仿宋_GB2312"/>
          <w:sz w:val="32"/>
          <w:szCs w:val="32"/>
        </w:rPr>
      </w:pPr>
    </w:p>
    <w:p w:rsidR="00000000" w:rsidRDefault="00961ED5" w:rsidP="00674A94">
      <w:pPr>
        <w:widowControl/>
        <w:spacing w:line="560" w:lineRule="exact"/>
        <w:ind w:firstLineChars="200" w:firstLine="640"/>
        <w:rPr>
          <w:rFonts w:eastAsia="仿宋_GB2312"/>
          <w:sz w:val="32"/>
          <w:szCs w:val="32"/>
        </w:rPr>
      </w:pPr>
      <w:r>
        <w:rPr>
          <w:rFonts w:ascii="黑体" w:eastAsia="黑体" w:hAnsi="黑体" w:cs="黑体" w:hint="eastAsia"/>
          <w:sz w:val="32"/>
          <w:szCs w:val="32"/>
        </w:rPr>
        <w:t>第一条</w:t>
      </w:r>
      <w:r>
        <w:rPr>
          <w:rFonts w:eastAsia="仿宋_GB2312" w:hint="eastAsia"/>
          <w:sz w:val="32"/>
          <w:szCs w:val="32"/>
        </w:rPr>
        <w:t xml:space="preserve"> </w:t>
      </w:r>
      <w:r>
        <w:rPr>
          <w:rFonts w:eastAsia="仿宋_GB2312"/>
          <w:sz w:val="32"/>
          <w:szCs w:val="32"/>
          <w:lang w:val="en"/>
        </w:rPr>
        <w:t xml:space="preserve"> </w:t>
      </w:r>
      <w:r>
        <w:rPr>
          <w:rFonts w:eastAsia="仿宋_GB2312"/>
          <w:sz w:val="32"/>
          <w:szCs w:val="32"/>
        </w:rPr>
        <w:t>为规范</w:t>
      </w:r>
      <w:r>
        <w:rPr>
          <w:rFonts w:eastAsia="仿宋_GB2312"/>
          <w:sz w:val="32"/>
          <w:szCs w:val="32"/>
        </w:rPr>
        <w:t>体外诊断试剂分类管理，根据《医疗器械监督管理条例》，制定本规则。</w:t>
      </w:r>
    </w:p>
    <w:p w:rsidR="00000000" w:rsidRDefault="00961ED5" w:rsidP="00674A94">
      <w:pPr>
        <w:widowControl/>
        <w:spacing w:line="560" w:lineRule="exact"/>
        <w:ind w:firstLineChars="200" w:firstLine="640"/>
        <w:rPr>
          <w:rFonts w:eastAsia="仿宋_GB2312" w:hint="eastAsia"/>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ascii="黑体" w:eastAsia="黑体" w:hAnsi="黑体" w:cs="黑体"/>
          <w:sz w:val="32"/>
          <w:szCs w:val="32"/>
          <w:lang w:val="en"/>
        </w:rPr>
        <w:t xml:space="preserve"> </w:t>
      </w:r>
      <w:r>
        <w:rPr>
          <w:rFonts w:eastAsia="仿宋_GB2312"/>
          <w:sz w:val="32"/>
          <w:szCs w:val="32"/>
        </w:rPr>
        <w:t>本规则所述体外诊断试剂是指按照医疗器械管理的体外诊断试剂。</w:t>
      </w:r>
      <w:r>
        <w:rPr>
          <w:rFonts w:eastAsia="仿宋_GB2312" w:hint="eastAsia"/>
          <w:sz w:val="32"/>
          <w:szCs w:val="32"/>
        </w:rPr>
        <w:t>按照药品管理的用于血源筛查的体外诊断试剂和采用放射性核素标记的体外诊断试剂，不属于本规则规定的范围。</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用于细胞治疗、细胞回输、辅助生殖等的细胞培养基类产品，不属于本规则规定的范围。</w:t>
      </w:r>
    </w:p>
    <w:p w:rsidR="00000000" w:rsidRDefault="00961ED5" w:rsidP="00674A94">
      <w:pPr>
        <w:widowControl/>
        <w:spacing w:line="560" w:lineRule="exact"/>
        <w:ind w:firstLineChars="200" w:firstLine="640"/>
        <w:rPr>
          <w:rFonts w:eastAsia="仿宋_GB2312"/>
          <w:sz w:val="32"/>
          <w:szCs w:val="32"/>
        </w:rPr>
      </w:pPr>
      <w:r>
        <w:rPr>
          <w:rFonts w:ascii="黑体" w:eastAsia="黑体" w:hAnsi="黑体" w:cs="黑体" w:hint="eastAsia"/>
          <w:sz w:val="32"/>
          <w:szCs w:val="32"/>
        </w:rPr>
        <w:t>第三条</w:t>
      </w:r>
      <w:r>
        <w:rPr>
          <w:rFonts w:eastAsia="仿宋_GB2312"/>
          <w:sz w:val="32"/>
          <w:szCs w:val="32"/>
        </w:rPr>
        <w:t xml:space="preserve"> </w:t>
      </w:r>
      <w:r>
        <w:rPr>
          <w:rFonts w:eastAsia="仿宋_GB2312"/>
          <w:sz w:val="32"/>
          <w:szCs w:val="32"/>
          <w:lang w:val="en"/>
        </w:rPr>
        <w:t xml:space="preserve"> </w:t>
      </w:r>
      <w:r>
        <w:rPr>
          <w:rFonts w:eastAsia="仿宋_GB2312"/>
          <w:sz w:val="32"/>
          <w:szCs w:val="32"/>
        </w:rPr>
        <w:t>本规则用于指导体外诊断试剂分类目录的制定和调整，确定新的体外诊断试剂的管理类别。</w:t>
      </w:r>
    </w:p>
    <w:p w:rsidR="00000000" w:rsidRDefault="00961ED5" w:rsidP="00674A94">
      <w:pPr>
        <w:widowControl/>
        <w:spacing w:line="560" w:lineRule="exact"/>
        <w:ind w:firstLineChars="200" w:firstLine="640"/>
        <w:rPr>
          <w:rFonts w:eastAsia="仿宋_GB2312"/>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黑体" w:eastAsia="黑体" w:hAnsi="黑体" w:cs="黑体"/>
          <w:sz w:val="32"/>
          <w:szCs w:val="32"/>
          <w:lang w:val="en"/>
        </w:rPr>
        <w:t xml:space="preserve"> </w:t>
      </w:r>
      <w:r>
        <w:rPr>
          <w:rFonts w:eastAsia="仿宋_GB2312"/>
          <w:sz w:val="32"/>
          <w:szCs w:val="32"/>
        </w:rPr>
        <w:t>体外诊断试剂的管理类别应</w:t>
      </w:r>
      <w:r>
        <w:rPr>
          <w:rFonts w:eastAsia="仿宋_GB2312" w:hint="eastAsia"/>
          <w:sz w:val="32"/>
          <w:szCs w:val="32"/>
        </w:rPr>
        <w:t>当</w:t>
      </w:r>
      <w:r>
        <w:rPr>
          <w:rFonts w:eastAsia="仿宋_GB2312"/>
          <w:sz w:val="32"/>
          <w:szCs w:val="32"/>
        </w:rPr>
        <w:t>根据产品风险程度进行判定。影响体外诊断试剂风险程度的因素包括但不限于</w:t>
      </w:r>
      <w:r>
        <w:rPr>
          <w:rFonts w:eastAsia="仿宋_GB2312"/>
          <w:sz w:val="32"/>
          <w:szCs w:val="32"/>
        </w:rPr>
        <w:t>以下内容：</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（一）产品预期用途、适应症以及预期使用环境和使用者的专业知识；</w:t>
      </w:r>
      <w:r>
        <w:rPr>
          <w:rFonts w:eastAsia="仿宋_GB2312"/>
          <w:sz w:val="32"/>
          <w:szCs w:val="32"/>
        </w:rPr>
        <w:t xml:space="preserve"> </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（二）</w:t>
      </w:r>
      <w:r>
        <w:rPr>
          <w:rFonts w:eastAsia="仿宋_GB2312"/>
          <w:sz w:val="32"/>
          <w:szCs w:val="32"/>
        </w:rPr>
        <w:t>检验结果信息对医学诊断和治疗的影响程度；</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（三）</w:t>
      </w:r>
      <w:r>
        <w:rPr>
          <w:rFonts w:eastAsia="仿宋_GB2312"/>
          <w:sz w:val="32"/>
          <w:szCs w:val="32"/>
        </w:rPr>
        <w:t>检验结果对个人和</w:t>
      </w:r>
      <w:r>
        <w:rPr>
          <w:rFonts w:eastAsia="仿宋_GB2312"/>
          <w:sz w:val="32"/>
          <w:szCs w:val="32"/>
        </w:rPr>
        <w:t>/</w:t>
      </w:r>
      <w:r>
        <w:rPr>
          <w:rFonts w:eastAsia="仿宋_GB2312"/>
          <w:sz w:val="32"/>
          <w:szCs w:val="32"/>
        </w:rPr>
        <w:t>或公共健康的影响。</w:t>
      </w:r>
    </w:p>
    <w:p w:rsidR="00000000" w:rsidRDefault="00961ED5" w:rsidP="00674A94">
      <w:pPr>
        <w:widowControl/>
        <w:spacing w:line="560" w:lineRule="exact"/>
        <w:ind w:firstLineChars="200" w:firstLine="640"/>
        <w:rPr>
          <w:rFonts w:eastAsia="仿宋_GB2312"/>
          <w:sz w:val="32"/>
          <w:szCs w:val="32"/>
        </w:rPr>
      </w:pPr>
      <w:r>
        <w:rPr>
          <w:rFonts w:ascii="黑体" w:eastAsia="黑体" w:hAnsi="黑体" w:cs="黑体" w:hint="eastAsia"/>
          <w:sz w:val="32"/>
          <w:szCs w:val="32"/>
        </w:rPr>
        <w:t>第五条</w:t>
      </w:r>
      <w:r>
        <w:rPr>
          <w:rFonts w:eastAsia="仿宋_GB2312"/>
          <w:sz w:val="32"/>
          <w:szCs w:val="32"/>
        </w:rPr>
        <w:t xml:space="preserve"> </w:t>
      </w:r>
      <w:r>
        <w:rPr>
          <w:rFonts w:eastAsia="仿宋_GB2312"/>
          <w:sz w:val="32"/>
          <w:szCs w:val="32"/>
          <w:lang w:val="en"/>
        </w:rPr>
        <w:t xml:space="preserve"> </w:t>
      </w:r>
      <w:r>
        <w:rPr>
          <w:rFonts w:eastAsia="仿宋_GB2312" w:hint="eastAsia"/>
          <w:sz w:val="32"/>
          <w:szCs w:val="32"/>
        </w:rPr>
        <w:t>体外诊断试剂根据</w:t>
      </w:r>
      <w:r>
        <w:rPr>
          <w:rFonts w:eastAsia="仿宋_GB2312"/>
          <w:sz w:val="32"/>
          <w:szCs w:val="32"/>
        </w:rPr>
        <w:t>风险程度由</w:t>
      </w:r>
      <w:r>
        <w:rPr>
          <w:rFonts w:eastAsia="仿宋_GB2312" w:hint="eastAsia"/>
          <w:sz w:val="32"/>
          <w:szCs w:val="32"/>
        </w:rPr>
        <w:t>低</w:t>
      </w:r>
      <w:r>
        <w:rPr>
          <w:rFonts w:eastAsia="仿宋_GB2312"/>
          <w:sz w:val="32"/>
          <w:szCs w:val="32"/>
        </w:rPr>
        <w:t>到</w:t>
      </w:r>
      <w:r>
        <w:rPr>
          <w:rFonts w:eastAsia="仿宋_GB2312" w:hint="eastAsia"/>
          <w:sz w:val="32"/>
          <w:szCs w:val="32"/>
        </w:rPr>
        <w:t>高，管理类别依次</w:t>
      </w:r>
      <w:r>
        <w:rPr>
          <w:rFonts w:eastAsia="仿宋_GB2312"/>
          <w:sz w:val="32"/>
          <w:szCs w:val="32"/>
        </w:rPr>
        <w:t>分为</w:t>
      </w:r>
      <w:r>
        <w:rPr>
          <w:rFonts w:eastAsia="仿宋_GB2312" w:hint="eastAsia"/>
          <w:sz w:val="32"/>
          <w:szCs w:val="32"/>
        </w:rPr>
        <w:t>第一类、第二类和</w:t>
      </w:r>
      <w:r>
        <w:rPr>
          <w:rFonts w:eastAsia="仿宋_GB2312"/>
          <w:sz w:val="32"/>
          <w:szCs w:val="32"/>
        </w:rPr>
        <w:t>第三类。</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lastRenderedPageBreak/>
        <w:t>第一类</w:t>
      </w:r>
      <w:r>
        <w:rPr>
          <w:rFonts w:eastAsia="仿宋_GB2312" w:hint="eastAsia"/>
          <w:sz w:val="32"/>
          <w:szCs w:val="32"/>
        </w:rPr>
        <w:t>体外诊断试剂</w:t>
      </w:r>
      <w:r>
        <w:rPr>
          <w:rFonts w:eastAsia="仿宋_GB2312"/>
          <w:sz w:val="32"/>
          <w:szCs w:val="32"/>
        </w:rPr>
        <w:t>是指具有较低的个人风险，没有公共健康风险，实行常规管理可以保证其安全、有效的体外诊断试剂</w:t>
      </w:r>
      <w:r>
        <w:rPr>
          <w:rFonts w:eastAsia="仿宋_GB2312" w:hint="eastAsia"/>
          <w:sz w:val="32"/>
          <w:szCs w:val="32"/>
        </w:rPr>
        <w:t>，通常为检验辅助试剂</w:t>
      </w:r>
      <w:r>
        <w:rPr>
          <w:rFonts w:eastAsia="仿宋_GB2312"/>
          <w:sz w:val="32"/>
          <w:szCs w:val="32"/>
        </w:rPr>
        <w:t>。</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第二类</w:t>
      </w:r>
      <w:r>
        <w:rPr>
          <w:rFonts w:eastAsia="仿宋_GB2312" w:hint="eastAsia"/>
          <w:sz w:val="32"/>
          <w:szCs w:val="32"/>
        </w:rPr>
        <w:t>体外诊断试剂</w:t>
      </w:r>
      <w:r>
        <w:rPr>
          <w:rFonts w:eastAsia="仿宋_GB2312"/>
          <w:sz w:val="32"/>
          <w:szCs w:val="32"/>
        </w:rPr>
        <w:t>是指具有中等的个人风险和</w:t>
      </w:r>
      <w:r>
        <w:rPr>
          <w:rFonts w:eastAsia="仿宋_GB2312"/>
          <w:sz w:val="32"/>
          <w:szCs w:val="32"/>
        </w:rPr>
        <w:t>/</w:t>
      </w:r>
      <w:r>
        <w:rPr>
          <w:rFonts w:eastAsia="仿宋_GB2312"/>
          <w:sz w:val="32"/>
          <w:szCs w:val="32"/>
        </w:rPr>
        <w:t>或公共健康风险，</w:t>
      </w:r>
      <w:r>
        <w:rPr>
          <w:rFonts w:eastAsia="仿宋_GB2312" w:hint="eastAsia"/>
          <w:sz w:val="32"/>
          <w:szCs w:val="32"/>
        </w:rPr>
        <w:t>检验</w:t>
      </w:r>
      <w:r>
        <w:rPr>
          <w:rFonts w:eastAsia="仿宋_GB2312"/>
          <w:sz w:val="32"/>
          <w:szCs w:val="32"/>
        </w:rPr>
        <w:t>结果通常是几个决定因素之一，出现错误的结果不会危及生命或导</w:t>
      </w:r>
      <w:r>
        <w:rPr>
          <w:rFonts w:eastAsia="仿宋_GB2312"/>
          <w:sz w:val="32"/>
          <w:szCs w:val="32"/>
        </w:rPr>
        <w:t>致重大残疾，需要严格控制管理以保证其安全、有效的体外诊断试剂。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第三类</w:t>
      </w:r>
      <w:r>
        <w:rPr>
          <w:rFonts w:eastAsia="仿宋_GB2312" w:hint="eastAsia"/>
          <w:sz w:val="32"/>
          <w:szCs w:val="32"/>
        </w:rPr>
        <w:t>体外诊断试剂</w:t>
      </w:r>
      <w:r>
        <w:rPr>
          <w:rFonts w:eastAsia="仿宋_GB2312"/>
          <w:sz w:val="32"/>
          <w:szCs w:val="32"/>
        </w:rPr>
        <w:t>是指具有较高的个人风险和</w:t>
      </w:r>
      <w:r>
        <w:rPr>
          <w:rFonts w:eastAsia="仿宋_GB2312"/>
          <w:sz w:val="32"/>
          <w:szCs w:val="32"/>
        </w:rPr>
        <w:t>/</w:t>
      </w:r>
      <w:r>
        <w:rPr>
          <w:rFonts w:eastAsia="仿宋_GB2312"/>
          <w:sz w:val="32"/>
          <w:szCs w:val="32"/>
        </w:rPr>
        <w:t>或公共健康风险，为临床诊断提供关键的信息，出现错误的结果会对个人和</w:t>
      </w:r>
      <w:r>
        <w:rPr>
          <w:rFonts w:eastAsia="仿宋_GB2312"/>
          <w:sz w:val="32"/>
          <w:szCs w:val="32"/>
        </w:rPr>
        <w:t>/</w:t>
      </w:r>
      <w:r>
        <w:rPr>
          <w:rFonts w:eastAsia="仿宋_GB2312"/>
          <w:sz w:val="32"/>
          <w:szCs w:val="32"/>
        </w:rPr>
        <w:t>或公共健康安全造成严重威胁，需要采取特别措施严格控制管理以保证其安全、有效的体外诊断试剂。</w:t>
      </w:r>
    </w:p>
    <w:p w:rsidR="00000000" w:rsidRDefault="00961ED5" w:rsidP="00674A94">
      <w:pPr>
        <w:widowControl/>
        <w:spacing w:line="560" w:lineRule="exact"/>
        <w:ind w:firstLineChars="200" w:firstLine="640"/>
        <w:rPr>
          <w:rFonts w:eastAsia="仿宋_GB2312"/>
          <w:sz w:val="32"/>
          <w:szCs w:val="32"/>
        </w:rPr>
      </w:pPr>
      <w:r>
        <w:rPr>
          <w:rFonts w:ascii="黑体" w:eastAsia="黑体" w:hAnsi="黑体" w:cs="黑体" w:hint="eastAsia"/>
          <w:sz w:val="32"/>
          <w:szCs w:val="32"/>
        </w:rPr>
        <w:t>第六条</w:t>
      </w:r>
      <w:r>
        <w:rPr>
          <w:rFonts w:eastAsia="仿宋_GB2312"/>
          <w:sz w:val="32"/>
          <w:szCs w:val="32"/>
        </w:rPr>
        <w:t xml:space="preserve"> </w:t>
      </w:r>
      <w:r>
        <w:rPr>
          <w:rFonts w:eastAsia="仿宋_GB2312"/>
          <w:sz w:val="32"/>
          <w:szCs w:val="32"/>
          <w:lang w:val="en"/>
        </w:rPr>
        <w:t xml:space="preserve"> </w:t>
      </w:r>
      <w:r>
        <w:rPr>
          <w:rFonts w:eastAsia="仿宋_GB2312"/>
          <w:sz w:val="32"/>
          <w:szCs w:val="32"/>
        </w:rPr>
        <w:t>体外诊断试剂的分类应当根据如下规则进行判定：</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一</w:t>
      </w:r>
      <w:r>
        <w:rPr>
          <w:rFonts w:eastAsia="仿宋_GB2312"/>
          <w:sz w:val="32"/>
          <w:szCs w:val="32"/>
        </w:rPr>
        <w:t>）第一类</w:t>
      </w:r>
      <w:r>
        <w:rPr>
          <w:rFonts w:eastAsia="仿宋_GB2312" w:hint="eastAsia"/>
          <w:sz w:val="32"/>
          <w:szCs w:val="32"/>
        </w:rPr>
        <w:t>体外诊断试剂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不用于微生物鉴别</w:t>
      </w:r>
      <w:r>
        <w:rPr>
          <w:rFonts w:eastAsia="仿宋_GB2312" w:hint="eastAsia"/>
          <w:sz w:val="32"/>
          <w:szCs w:val="32"/>
        </w:rPr>
        <w:t>或</w:t>
      </w:r>
      <w:r>
        <w:rPr>
          <w:rFonts w:eastAsia="仿宋_GB2312"/>
          <w:sz w:val="32"/>
          <w:szCs w:val="32"/>
        </w:rPr>
        <w:t>药敏试验</w:t>
      </w:r>
      <w:r>
        <w:rPr>
          <w:rFonts w:eastAsia="仿宋_GB2312" w:hint="eastAsia"/>
          <w:sz w:val="32"/>
          <w:szCs w:val="32"/>
        </w:rPr>
        <w:t>的</w:t>
      </w:r>
      <w:r>
        <w:rPr>
          <w:rFonts w:eastAsia="仿宋_GB2312"/>
          <w:sz w:val="32"/>
          <w:szCs w:val="32"/>
        </w:rPr>
        <w:t>微生物培养基</w:t>
      </w:r>
      <w:r>
        <w:rPr>
          <w:rFonts w:eastAsia="仿宋_GB2312" w:hint="eastAsia"/>
          <w:sz w:val="32"/>
          <w:szCs w:val="32"/>
        </w:rPr>
        <w:t>，以及仅用于细胞增殖培养，</w:t>
      </w:r>
      <w:r>
        <w:rPr>
          <w:rFonts w:eastAsia="仿宋_GB2312"/>
          <w:sz w:val="32"/>
          <w:szCs w:val="32"/>
        </w:rPr>
        <w:t>不具备对细胞</w:t>
      </w:r>
      <w:r>
        <w:rPr>
          <w:rFonts w:eastAsia="仿宋_GB2312" w:hint="eastAsia"/>
          <w:sz w:val="32"/>
          <w:szCs w:val="32"/>
        </w:rPr>
        <w:t>的</w:t>
      </w:r>
      <w:r>
        <w:rPr>
          <w:rFonts w:eastAsia="仿宋_GB2312"/>
          <w:sz w:val="32"/>
          <w:szCs w:val="32"/>
        </w:rPr>
        <w:t>选择、诱导、分化功能</w:t>
      </w:r>
      <w:r>
        <w:rPr>
          <w:rFonts w:eastAsia="仿宋_GB2312" w:hint="eastAsia"/>
          <w:sz w:val="32"/>
          <w:szCs w:val="32"/>
        </w:rPr>
        <w:t>，且培养的细胞用于体外诊断的</w:t>
      </w:r>
      <w:r>
        <w:rPr>
          <w:rFonts w:eastAsia="仿宋_GB2312"/>
          <w:sz w:val="32"/>
          <w:szCs w:val="32"/>
        </w:rPr>
        <w:t>细胞培养基；</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样本处理用产</w:t>
      </w:r>
      <w:r>
        <w:rPr>
          <w:rFonts w:eastAsia="仿宋_GB2312"/>
          <w:sz w:val="32"/>
          <w:szCs w:val="32"/>
        </w:rPr>
        <w:t>品，如</w:t>
      </w:r>
      <w:r>
        <w:rPr>
          <w:rFonts w:eastAsia="仿宋_GB2312" w:hint="eastAsia"/>
          <w:sz w:val="32"/>
          <w:szCs w:val="32"/>
        </w:rPr>
        <w:t>溶血剂、</w:t>
      </w:r>
      <w:r>
        <w:rPr>
          <w:rFonts w:eastAsia="仿宋_GB2312"/>
          <w:sz w:val="32"/>
          <w:szCs w:val="32"/>
        </w:rPr>
        <w:t>稀释液、染色液、核酸提取试剂等；</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反应体系通用试剂，如缓冲液、底物液</w:t>
      </w:r>
      <w:r>
        <w:rPr>
          <w:rFonts w:eastAsia="仿宋_GB2312" w:hint="eastAsia"/>
          <w:sz w:val="32"/>
          <w:szCs w:val="32"/>
        </w:rPr>
        <w:t>、增强液</w:t>
      </w:r>
      <w:r>
        <w:rPr>
          <w:rFonts w:eastAsia="仿宋_GB2312"/>
          <w:sz w:val="32"/>
          <w:szCs w:val="32"/>
        </w:rPr>
        <w:t>等。</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（二）第二类</w:t>
      </w:r>
      <w:r>
        <w:rPr>
          <w:rFonts w:eastAsia="仿宋_GB2312" w:hint="eastAsia"/>
          <w:sz w:val="32"/>
          <w:szCs w:val="32"/>
        </w:rPr>
        <w:t>体外诊断试剂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除已明确为第一类、第三类的</w:t>
      </w:r>
      <w:r>
        <w:rPr>
          <w:rFonts w:eastAsia="仿宋_GB2312" w:hint="eastAsia"/>
          <w:sz w:val="32"/>
          <w:szCs w:val="32"/>
        </w:rPr>
        <w:t>体外诊断试剂</w:t>
      </w:r>
      <w:r>
        <w:rPr>
          <w:rFonts w:eastAsia="仿宋_GB2312"/>
          <w:sz w:val="32"/>
          <w:szCs w:val="32"/>
        </w:rPr>
        <w:t>，其他为第二类</w:t>
      </w:r>
      <w:r>
        <w:rPr>
          <w:rFonts w:eastAsia="仿宋_GB2312" w:hint="eastAsia"/>
          <w:sz w:val="32"/>
          <w:szCs w:val="32"/>
        </w:rPr>
        <w:t>体外诊断试剂</w:t>
      </w:r>
      <w:r>
        <w:rPr>
          <w:rFonts w:eastAsia="仿宋_GB2312"/>
          <w:sz w:val="32"/>
          <w:szCs w:val="32"/>
        </w:rPr>
        <w:t>，主要包括：</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用于蛋白质检测的试剂；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用于糖类检测的试剂；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用于激素检测的试剂；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用于酶类检测的试剂；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用于酯类检测的试剂；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用于维生素检测的试剂；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用于无机离子检测的试剂；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用于药物及药物代谢物检测的试剂；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9.</w:t>
      </w:r>
      <w:r>
        <w:rPr>
          <w:rFonts w:eastAsia="仿宋_GB2312"/>
          <w:sz w:val="32"/>
          <w:szCs w:val="32"/>
        </w:rPr>
        <w:t>用于自身抗体检测的试剂；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10.</w:t>
      </w:r>
      <w:r>
        <w:rPr>
          <w:rFonts w:eastAsia="仿宋_GB2312"/>
          <w:sz w:val="32"/>
          <w:szCs w:val="32"/>
        </w:rPr>
        <w:t>用于微生物鉴别或者药敏试验的试剂，</w:t>
      </w:r>
      <w:r>
        <w:rPr>
          <w:rFonts w:eastAsia="仿宋_GB2312" w:hint="eastAsia"/>
          <w:sz w:val="32"/>
          <w:szCs w:val="32"/>
        </w:rPr>
        <w:t>以及用于细</w:t>
      </w:r>
      <w:r>
        <w:rPr>
          <w:rFonts w:eastAsia="仿宋_GB2312" w:hint="eastAsia"/>
          <w:sz w:val="32"/>
          <w:szCs w:val="32"/>
        </w:rPr>
        <w:t>胞增殖培养，</w:t>
      </w:r>
      <w:r>
        <w:rPr>
          <w:rFonts w:eastAsia="仿宋_GB2312"/>
          <w:sz w:val="32"/>
          <w:szCs w:val="32"/>
        </w:rPr>
        <w:t>对细胞具有选择、诱导、分化功能</w:t>
      </w:r>
      <w:r>
        <w:rPr>
          <w:rFonts w:eastAsia="仿宋_GB2312" w:hint="eastAsia"/>
          <w:sz w:val="32"/>
          <w:szCs w:val="32"/>
        </w:rPr>
        <w:t>，且培养的细胞用于体外诊断</w:t>
      </w:r>
      <w:r>
        <w:rPr>
          <w:rFonts w:eastAsia="仿宋_GB2312"/>
          <w:sz w:val="32"/>
          <w:szCs w:val="32"/>
        </w:rPr>
        <w:t>的细胞培养基；</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11.</w:t>
      </w:r>
      <w:r>
        <w:rPr>
          <w:rFonts w:eastAsia="仿宋_GB2312"/>
          <w:sz w:val="32"/>
          <w:szCs w:val="32"/>
        </w:rPr>
        <w:t>用于变态反应（过敏原）检测的试剂；</w:t>
      </w:r>
    </w:p>
    <w:p w:rsidR="00000000" w:rsidRDefault="00961ED5" w:rsidP="00674A94">
      <w:pPr>
        <w:widowControl/>
        <w:spacing w:line="560" w:lineRule="exact"/>
        <w:ind w:firstLineChars="200" w:firstLine="640"/>
        <w:rPr>
          <w:rFonts w:eastAsia="仿宋_GB2312" w:hint="eastAsia"/>
          <w:sz w:val="32"/>
          <w:szCs w:val="32"/>
        </w:rPr>
      </w:pPr>
      <w:r>
        <w:rPr>
          <w:rFonts w:eastAsia="仿宋_GB2312"/>
          <w:sz w:val="32"/>
          <w:szCs w:val="32"/>
        </w:rPr>
        <w:t>12.</w:t>
      </w:r>
      <w:r>
        <w:rPr>
          <w:rFonts w:eastAsia="仿宋_GB2312"/>
          <w:sz w:val="32"/>
          <w:szCs w:val="32"/>
        </w:rPr>
        <w:t>用于其他生理、生化或者免疫功能指标检测的试剂。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w:t>
      </w:r>
      <w:r>
        <w:rPr>
          <w:rFonts w:eastAsia="仿宋_GB2312" w:hint="eastAsia"/>
          <w:sz w:val="32"/>
          <w:szCs w:val="32"/>
        </w:rPr>
        <w:t>三</w:t>
      </w:r>
      <w:r>
        <w:rPr>
          <w:rFonts w:eastAsia="仿宋_GB2312"/>
          <w:sz w:val="32"/>
          <w:szCs w:val="32"/>
        </w:rPr>
        <w:t>）第三类</w:t>
      </w:r>
      <w:r>
        <w:rPr>
          <w:rFonts w:eastAsia="仿宋_GB2312" w:hint="eastAsia"/>
          <w:sz w:val="32"/>
          <w:szCs w:val="32"/>
        </w:rPr>
        <w:t>体外诊断试剂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与致病性病原体</w:t>
      </w:r>
      <w:r>
        <w:rPr>
          <w:rFonts w:eastAsia="仿宋_GB2312" w:hint="eastAsia"/>
          <w:sz w:val="32"/>
          <w:szCs w:val="32"/>
        </w:rPr>
        <w:t>抗原、抗体以及核酸等</w:t>
      </w:r>
      <w:r>
        <w:rPr>
          <w:rFonts w:eastAsia="仿宋_GB2312"/>
          <w:sz w:val="32"/>
          <w:szCs w:val="32"/>
        </w:rPr>
        <w:t>检测相关的试剂；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与血型、组织配型相关的试剂；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与人类基因检测相关的试剂；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与</w:t>
      </w:r>
      <w:r>
        <w:rPr>
          <w:rFonts w:eastAsia="仿宋_GB2312"/>
          <w:sz w:val="32"/>
          <w:szCs w:val="32"/>
        </w:rPr>
        <w:t>遗传性疾病检测相关的试剂；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与麻醉药品、精神药品、医疗用毒性药品检测相关的试剂；</w:t>
      </w:r>
    </w:p>
    <w:p w:rsidR="00000000" w:rsidRDefault="00961ED5" w:rsidP="00674A94">
      <w:pPr>
        <w:widowControl/>
        <w:spacing w:line="560" w:lineRule="exact"/>
        <w:ind w:firstLineChars="200" w:firstLine="640"/>
        <w:rPr>
          <w:rFonts w:eastAsia="仿宋_GB2312" w:hint="eastAsia"/>
          <w:sz w:val="32"/>
          <w:szCs w:val="32"/>
        </w:rPr>
      </w:pPr>
      <w:r>
        <w:rPr>
          <w:rFonts w:eastAsia="仿宋_GB2312"/>
          <w:sz w:val="32"/>
          <w:szCs w:val="32"/>
        </w:rPr>
        <w:t>6.</w:t>
      </w:r>
      <w:r>
        <w:rPr>
          <w:rFonts w:eastAsia="仿宋_GB2312"/>
          <w:sz w:val="32"/>
          <w:szCs w:val="32"/>
        </w:rPr>
        <w:t>与治疗药物作用靶点检测相关的试剂和</w:t>
      </w:r>
      <w:r>
        <w:rPr>
          <w:rFonts w:eastAsia="仿宋_GB2312" w:hint="eastAsia"/>
          <w:sz w:val="32"/>
          <w:szCs w:val="32"/>
        </w:rPr>
        <w:t>伴随诊断用</w:t>
      </w:r>
      <w:r>
        <w:rPr>
          <w:rFonts w:eastAsia="仿宋_GB2312"/>
          <w:sz w:val="32"/>
          <w:szCs w:val="32"/>
        </w:rPr>
        <w:t>试剂；</w:t>
      </w:r>
    </w:p>
    <w:p w:rsidR="00000000" w:rsidRDefault="00961ED5" w:rsidP="00674A94">
      <w:pPr>
        <w:widowControl/>
        <w:spacing w:line="560" w:lineRule="exact"/>
        <w:ind w:firstLineChars="200" w:firstLine="640"/>
        <w:rPr>
          <w:rFonts w:eastAsia="仿宋_GB2312"/>
          <w:sz w:val="32"/>
          <w:szCs w:val="32"/>
        </w:rPr>
      </w:pPr>
      <w:r>
        <w:rPr>
          <w:rFonts w:eastAsia="仿宋_GB2312" w:hint="eastAsia"/>
          <w:sz w:val="32"/>
          <w:szCs w:val="32"/>
        </w:rPr>
        <w:t>伴随诊断用试剂是用于评价相关医疗产品</w:t>
      </w:r>
      <w:r>
        <w:rPr>
          <w:rFonts w:eastAsia="仿宋_GB2312" w:hint="eastAsia"/>
          <w:sz w:val="32"/>
          <w:szCs w:val="32"/>
        </w:rPr>
        <w:t>安全有效性的工具，主要用于在治疗前和</w:t>
      </w:r>
      <w:r>
        <w:rPr>
          <w:rFonts w:eastAsia="仿宋_GB2312" w:hint="eastAsia"/>
          <w:sz w:val="32"/>
          <w:szCs w:val="32"/>
        </w:rPr>
        <w:t>/</w:t>
      </w:r>
      <w:r>
        <w:rPr>
          <w:rFonts w:eastAsia="仿宋_GB2312" w:hint="eastAsia"/>
          <w:sz w:val="32"/>
          <w:szCs w:val="32"/>
        </w:rPr>
        <w:t>或治疗中识别出最有可能从相关医疗产品获益的患者和因治疗而可能导致严重不良反应风险增加的</w:t>
      </w:r>
      <w:r>
        <w:rPr>
          <w:rFonts w:eastAsia="仿宋_GB2312" w:hint="eastAsia"/>
          <w:sz w:val="32"/>
          <w:szCs w:val="32"/>
        </w:rPr>
        <w:lastRenderedPageBreak/>
        <w:t>患者。用于药物及药物代谢物检测的试剂不属于伴随诊断用试剂。</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与肿瘤筛查、诊断、辅助诊断、分期等相关的试剂。</w:t>
      </w:r>
    </w:p>
    <w:p w:rsidR="00000000" w:rsidRDefault="00961ED5" w:rsidP="00674A94">
      <w:pPr>
        <w:widowControl/>
        <w:spacing w:line="560" w:lineRule="exact"/>
        <w:ind w:firstLineChars="200" w:firstLine="640"/>
        <w:rPr>
          <w:rFonts w:eastAsia="仿宋_GB2312"/>
          <w:sz w:val="32"/>
          <w:szCs w:val="32"/>
        </w:rPr>
      </w:pPr>
      <w:r>
        <w:rPr>
          <w:rFonts w:ascii="黑体" w:eastAsia="黑体" w:hAnsi="黑体" w:cs="黑体" w:hint="eastAsia"/>
          <w:sz w:val="32"/>
          <w:szCs w:val="32"/>
        </w:rPr>
        <w:t>第七条</w:t>
      </w:r>
      <w:r>
        <w:rPr>
          <w:rFonts w:ascii="黑体" w:eastAsia="黑体" w:hAnsi="黑体" w:cs="黑体"/>
          <w:sz w:val="32"/>
          <w:szCs w:val="32"/>
          <w:lang w:val="en"/>
        </w:rPr>
        <w:t xml:space="preserve"> </w:t>
      </w:r>
      <w:r>
        <w:rPr>
          <w:rFonts w:eastAsia="仿宋_GB2312"/>
          <w:sz w:val="32"/>
          <w:szCs w:val="32"/>
        </w:rPr>
        <w:t xml:space="preserve"> </w:t>
      </w:r>
      <w:r>
        <w:rPr>
          <w:rFonts w:eastAsia="仿宋_GB2312"/>
          <w:sz w:val="32"/>
          <w:szCs w:val="32"/>
        </w:rPr>
        <w:t>体外诊断试剂分类时，还应</w:t>
      </w:r>
      <w:r>
        <w:rPr>
          <w:rFonts w:eastAsia="仿宋_GB2312" w:hint="eastAsia"/>
          <w:sz w:val="32"/>
          <w:szCs w:val="32"/>
        </w:rPr>
        <w:t>当</w:t>
      </w:r>
      <w:r>
        <w:rPr>
          <w:rFonts w:eastAsia="仿宋_GB2312"/>
          <w:sz w:val="32"/>
          <w:szCs w:val="32"/>
        </w:rPr>
        <w:t>结合以下情形综合判定：</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（一）第六条所列的第二类</w:t>
      </w:r>
      <w:r>
        <w:rPr>
          <w:rFonts w:eastAsia="仿宋_GB2312" w:hint="eastAsia"/>
          <w:sz w:val="32"/>
          <w:szCs w:val="32"/>
        </w:rPr>
        <w:t>体外诊断试剂</w:t>
      </w:r>
      <w:r>
        <w:rPr>
          <w:rFonts w:eastAsia="仿宋_GB2312"/>
          <w:sz w:val="32"/>
          <w:szCs w:val="32"/>
        </w:rPr>
        <w:t>如用于肿瘤筛查、诊断、辅助诊断、分期等，或者用于遗传性疾病检测的试剂等，按照第三类</w:t>
      </w:r>
      <w:r>
        <w:rPr>
          <w:rFonts w:eastAsia="仿宋_GB2312" w:hint="eastAsia"/>
          <w:sz w:val="32"/>
          <w:szCs w:val="32"/>
        </w:rPr>
        <w:t>体外诊断试剂</w:t>
      </w:r>
      <w:r>
        <w:rPr>
          <w:rFonts w:eastAsia="仿宋_GB2312"/>
          <w:sz w:val="32"/>
          <w:szCs w:val="32"/>
        </w:rPr>
        <w:t>管理。</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（二）用于药物及药物代谢物检测的试剂，如该药物属于麻醉药品、精神药品或者医疗用</w:t>
      </w:r>
      <w:r>
        <w:rPr>
          <w:rFonts w:eastAsia="仿宋_GB2312"/>
          <w:sz w:val="32"/>
          <w:szCs w:val="32"/>
        </w:rPr>
        <w:t>毒性药品范围的，按照第三类</w:t>
      </w:r>
      <w:r>
        <w:rPr>
          <w:rFonts w:eastAsia="仿宋_GB2312" w:hint="eastAsia"/>
          <w:sz w:val="32"/>
          <w:szCs w:val="32"/>
        </w:rPr>
        <w:t>体外诊断试剂</w:t>
      </w:r>
      <w:r>
        <w:rPr>
          <w:rFonts w:eastAsia="仿宋_GB2312"/>
          <w:sz w:val="32"/>
          <w:szCs w:val="32"/>
        </w:rPr>
        <w:t>管理。</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（三）与第一类体外诊断试剂配合使用的校准品、质控品，按照第二类</w:t>
      </w:r>
      <w:r>
        <w:rPr>
          <w:rFonts w:eastAsia="仿宋_GB2312" w:hint="eastAsia"/>
          <w:sz w:val="32"/>
          <w:szCs w:val="32"/>
        </w:rPr>
        <w:t>体外诊断试剂</w:t>
      </w:r>
      <w:r>
        <w:rPr>
          <w:rFonts w:eastAsia="仿宋_GB2312"/>
          <w:sz w:val="32"/>
          <w:szCs w:val="32"/>
        </w:rPr>
        <w:t>管理；与第二类、第三类体外诊断试剂配合使用的校准品、质控品按与试剂相同的类别管理；多项校准品、质控品，按照其中的高类别管理。</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t>（四）具有明确诊断价值的流式细胞仪用抗体试剂、免疫组化用抗体试剂和原位杂交用探针试剂，流式细胞仪用淋巴细胞亚群分析试剂盒，</w:t>
      </w:r>
      <w:r>
        <w:rPr>
          <w:rFonts w:eastAsia="仿宋_GB2312" w:hint="eastAsia"/>
          <w:sz w:val="32"/>
          <w:szCs w:val="32"/>
        </w:rPr>
        <w:t>依据</w:t>
      </w:r>
      <w:r>
        <w:rPr>
          <w:rFonts w:eastAsia="仿宋_GB2312"/>
          <w:sz w:val="32"/>
          <w:szCs w:val="32"/>
        </w:rPr>
        <w:t>其临床预期用途，根据第六条规定分别按照第二类或第三类</w:t>
      </w:r>
      <w:r>
        <w:rPr>
          <w:rFonts w:eastAsia="仿宋_GB2312" w:hint="eastAsia"/>
          <w:sz w:val="32"/>
          <w:szCs w:val="32"/>
        </w:rPr>
        <w:t>体外诊断试剂</w:t>
      </w:r>
      <w:r>
        <w:rPr>
          <w:rFonts w:eastAsia="仿宋_GB2312"/>
          <w:sz w:val="32"/>
          <w:szCs w:val="32"/>
        </w:rPr>
        <w:t>管理。</w:t>
      </w:r>
    </w:p>
    <w:p w:rsidR="00000000" w:rsidRDefault="00961ED5" w:rsidP="00674A94">
      <w:pPr>
        <w:widowControl/>
        <w:spacing w:line="560" w:lineRule="exact"/>
        <w:ind w:firstLineChars="200" w:firstLine="640"/>
        <w:rPr>
          <w:rFonts w:eastAsia="仿宋_GB2312" w:hint="eastAsia"/>
          <w:sz w:val="32"/>
          <w:szCs w:val="32"/>
        </w:rPr>
      </w:pPr>
      <w:r>
        <w:rPr>
          <w:rFonts w:eastAsia="仿宋_GB2312"/>
          <w:sz w:val="32"/>
          <w:szCs w:val="32"/>
        </w:rPr>
        <w:t>仅为专业医生提供辅助诊断信息的流式细胞仪用</w:t>
      </w:r>
      <w:r>
        <w:rPr>
          <w:rFonts w:eastAsia="仿宋_GB2312" w:hint="eastAsia"/>
          <w:sz w:val="32"/>
          <w:szCs w:val="32"/>
        </w:rPr>
        <w:t>单一</w:t>
      </w:r>
      <w:r>
        <w:rPr>
          <w:rFonts w:eastAsia="仿宋_GB2312"/>
          <w:sz w:val="32"/>
          <w:szCs w:val="32"/>
        </w:rPr>
        <w:t>抗体试剂、免疫组化用</w:t>
      </w:r>
      <w:r>
        <w:rPr>
          <w:rFonts w:eastAsia="仿宋_GB2312" w:hint="eastAsia"/>
          <w:sz w:val="32"/>
          <w:szCs w:val="32"/>
        </w:rPr>
        <w:t>单</w:t>
      </w:r>
      <w:r>
        <w:rPr>
          <w:rFonts w:eastAsia="仿宋_GB2312" w:hint="eastAsia"/>
          <w:sz w:val="32"/>
          <w:szCs w:val="32"/>
        </w:rPr>
        <w:t>一</w:t>
      </w:r>
      <w:r>
        <w:rPr>
          <w:rFonts w:eastAsia="仿宋_GB2312"/>
          <w:sz w:val="32"/>
          <w:szCs w:val="32"/>
        </w:rPr>
        <w:t>抗体试剂和原位杂交用</w:t>
      </w:r>
      <w:r>
        <w:rPr>
          <w:rFonts w:eastAsia="仿宋_GB2312" w:hint="eastAsia"/>
          <w:sz w:val="32"/>
          <w:szCs w:val="32"/>
        </w:rPr>
        <w:t>单一</w:t>
      </w:r>
      <w:r>
        <w:rPr>
          <w:rFonts w:eastAsia="仿宋_GB2312"/>
          <w:sz w:val="32"/>
          <w:szCs w:val="32"/>
        </w:rPr>
        <w:t>探针试剂，以及流式细胞仪用同型对照抗体试剂，按照第一类</w:t>
      </w:r>
      <w:r>
        <w:rPr>
          <w:rFonts w:eastAsia="仿宋_GB2312" w:hint="eastAsia"/>
          <w:sz w:val="32"/>
          <w:szCs w:val="32"/>
        </w:rPr>
        <w:t>体外诊断试剂</w:t>
      </w:r>
      <w:r>
        <w:rPr>
          <w:rFonts w:eastAsia="仿宋_GB2312"/>
          <w:sz w:val="32"/>
          <w:szCs w:val="32"/>
        </w:rPr>
        <w:t>管理。</w:t>
      </w:r>
    </w:p>
    <w:p w:rsidR="00000000" w:rsidRDefault="00961ED5" w:rsidP="00674A94">
      <w:pPr>
        <w:widowControl/>
        <w:spacing w:line="560" w:lineRule="exact"/>
        <w:ind w:firstLineChars="200" w:firstLine="640"/>
        <w:rPr>
          <w:rFonts w:eastAsia="仿宋_GB2312"/>
          <w:sz w:val="32"/>
          <w:szCs w:val="32"/>
        </w:rPr>
      </w:pPr>
      <w:r>
        <w:rPr>
          <w:rFonts w:eastAsia="仿宋_GB2312"/>
          <w:sz w:val="32"/>
          <w:szCs w:val="32"/>
        </w:rPr>
        <w:lastRenderedPageBreak/>
        <w:t>（五）第六条所列第一类</w:t>
      </w:r>
      <w:r>
        <w:rPr>
          <w:rFonts w:eastAsia="仿宋_GB2312" w:hint="eastAsia"/>
          <w:sz w:val="32"/>
          <w:szCs w:val="32"/>
        </w:rPr>
        <w:t>体外诊断试剂</w:t>
      </w:r>
      <w:r>
        <w:rPr>
          <w:rFonts w:eastAsia="仿宋_GB2312"/>
          <w:sz w:val="32"/>
          <w:szCs w:val="32"/>
        </w:rPr>
        <w:t>中的样本处理用产品，如</w:t>
      </w:r>
      <w:r>
        <w:rPr>
          <w:rFonts w:eastAsia="仿宋_GB2312" w:hint="eastAsia"/>
          <w:sz w:val="32"/>
          <w:szCs w:val="32"/>
        </w:rPr>
        <w:t>为非通用产品，或参与反应并影响检验结果</w:t>
      </w:r>
      <w:r>
        <w:rPr>
          <w:rFonts w:eastAsia="仿宋_GB2312"/>
          <w:sz w:val="32"/>
          <w:szCs w:val="32"/>
        </w:rPr>
        <w:t>，应当与相应检测试剂的管理类别一致。</w:t>
      </w:r>
    </w:p>
    <w:p w:rsidR="00000000" w:rsidRDefault="00961ED5" w:rsidP="00674A94">
      <w:pPr>
        <w:widowControl/>
        <w:spacing w:line="560" w:lineRule="exact"/>
        <w:ind w:firstLineChars="200" w:firstLine="640"/>
        <w:rPr>
          <w:rFonts w:eastAsia="仿宋_GB2312" w:hint="eastAsia"/>
          <w:sz w:val="32"/>
          <w:szCs w:val="32"/>
        </w:rPr>
      </w:pPr>
      <w:r>
        <w:rPr>
          <w:rFonts w:ascii="黑体" w:eastAsia="黑体" w:hAnsi="黑体" w:cs="黑体" w:hint="eastAsia"/>
          <w:sz w:val="32"/>
          <w:szCs w:val="32"/>
        </w:rPr>
        <w:t>第八条</w:t>
      </w:r>
      <w:r>
        <w:rPr>
          <w:rFonts w:eastAsia="仿宋_GB2312"/>
          <w:sz w:val="32"/>
          <w:szCs w:val="32"/>
        </w:rPr>
        <w:t xml:space="preserve">　体外诊断试剂分类目录由国家药品监督管理局制定并发布。国家药品监督管理局</w:t>
      </w:r>
      <w:r>
        <w:rPr>
          <w:rFonts w:eastAsia="仿宋_GB2312" w:hint="eastAsia"/>
          <w:sz w:val="32"/>
          <w:szCs w:val="32"/>
        </w:rPr>
        <w:t>根据体外诊断试剂生产、经营、使用情况，及时对体外诊断试剂的风险变化进行分析、评价，对体外诊断试剂分类目录进行调整。</w:t>
      </w:r>
    </w:p>
    <w:p w:rsidR="00000000" w:rsidRDefault="00961ED5" w:rsidP="00674A94">
      <w:pPr>
        <w:widowControl/>
        <w:spacing w:line="560" w:lineRule="exact"/>
        <w:ind w:firstLineChars="200" w:firstLine="640"/>
        <w:rPr>
          <w:rFonts w:eastAsia="仿宋_GB2312" w:hint="eastAsia"/>
          <w:sz w:val="32"/>
          <w:szCs w:val="32"/>
        </w:rPr>
      </w:pPr>
      <w:r>
        <w:rPr>
          <w:rFonts w:eastAsia="仿宋_GB2312"/>
          <w:sz w:val="32"/>
          <w:szCs w:val="32"/>
        </w:rPr>
        <w:t>新研制、尚未列入体外诊断试剂分类目录的体外诊断试剂，申请人可以直接申请第三类体外诊断试</w:t>
      </w:r>
      <w:r>
        <w:rPr>
          <w:rFonts w:eastAsia="仿宋_GB2312"/>
          <w:sz w:val="32"/>
          <w:szCs w:val="32"/>
        </w:rPr>
        <w:t>剂产品注册，也可以依据本分类规则判断产品类别</w:t>
      </w:r>
      <w:r>
        <w:rPr>
          <w:rFonts w:eastAsia="仿宋_GB2312" w:hint="eastAsia"/>
          <w:sz w:val="32"/>
          <w:szCs w:val="32"/>
        </w:rPr>
        <w:t>并按照医疗器械分类界定工作流程申请分类界定。</w:t>
      </w:r>
    </w:p>
    <w:p w:rsidR="00000000" w:rsidRDefault="00961ED5" w:rsidP="00674A94">
      <w:pPr>
        <w:widowControl/>
        <w:spacing w:line="560" w:lineRule="exact"/>
        <w:ind w:firstLineChars="200" w:firstLine="640"/>
        <w:rPr>
          <w:rFonts w:eastAsia="仿宋_GB2312"/>
          <w:sz w:val="32"/>
          <w:szCs w:val="32"/>
        </w:rPr>
      </w:pPr>
      <w:r>
        <w:rPr>
          <w:rFonts w:ascii="黑体" w:eastAsia="黑体" w:hAnsi="黑体" w:cs="黑体" w:hint="eastAsia"/>
          <w:sz w:val="32"/>
          <w:szCs w:val="32"/>
        </w:rPr>
        <w:t>第九条</w:t>
      </w:r>
      <w:r>
        <w:rPr>
          <w:rFonts w:eastAsia="仿宋_GB2312"/>
          <w:sz w:val="32"/>
          <w:szCs w:val="32"/>
        </w:rPr>
        <w:t xml:space="preserve">　国家药品监督管理局</w:t>
      </w:r>
      <w:r>
        <w:rPr>
          <w:rFonts w:eastAsia="仿宋_GB2312" w:hint="eastAsia"/>
          <w:sz w:val="32"/>
          <w:szCs w:val="32"/>
        </w:rPr>
        <w:t>可以组织</w:t>
      </w:r>
      <w:r>
        <w:rPr>
          <w:rFonts w:eastAsia="仿宋_GB2312"/>
          <w:sz w:val="32"/>
          <w:szCs w:val="32"/>
        </w:rPr>
        <w:t>医疗器械分类技术委员会制定</w:t>
      </w:r>
      <w:r>
        <w:rPr>
          <w:rFonts w:eastAsia="仿宋_GB2312" w:hint="eastAsia"/>
          <w:sz w:val="32"/>
          <w:szCs w:val="32"/>
        </w:rPr>
        <w:t>、</w:t>
      </w:r>
      <w:r>
        <w:rPr>
          <w:rFonts w:eastAsia="仿宋_GB2312"/>
          <w:sz w:val="32"/>
          <w:szCs w:val="32"/>
        </w:rPr>
        <w:t>调整体外诊断试剂分类目录。</w:t>
      </w:r>
    </w:p>
    <w:p w:rsidR="00961ED5" w:rsidRDefault="00961ED5" w:rsidP="00674A94">
      <w:pPr>
        <w:widowControl/>
        <w:spacing w:line="560" w:lineRule="exact"/>
        <w:ind w:firstLineChars="200" w:firstLine="640"/>
        <w:rPr>
          <w:rFonts w:eastAsia="仿宋_GB2312"/>
          <w:sz w:val="32"/>
          <w:szCs w:val="32"/>
        </w:rPr>
      </w:pPr>
      <w:r>
        <w:rPr>
          <w:rFonts w:ascii="黑体" w:eastAsia="黑体" w:hAnsi="黑体" w:cs="黑体" w:hint="eastAsia"/>
          <w:sz w:val="32"/>
          <w:szCs w:val="32"/>
        </w:rPr>
        <w:t>第十条</w:t>
      </w:r>
      <w:r>
        <w:rPr>
          <w:rFonts w:eastAsia="仿宋_GB2312"/>
          <w:sz w:val="32"/>
          <w:szCs w:val="32"/>
        </w:rPr>
        <w:t xml:space="preserve">　本规则自</w:t>
      </w:r>
      <w:r>
        <w:rPr>
          <w:rFonts w:eastAsia="仿宋_GB2312" w:hint="eastAsia"/>
          <w:sz w:val="32"/>
          <w:szCs w:val="32"/>
        </w:rPr>
        <w:t>发布之日</w:t>
      </w:r>
      <w:r>
        <w:rPr>
          <w:rFonts w:eastAsia="仿宋_GB2312"/>
          <w:sz w:val="32"/>
          <w:szCs w:val="32"/>
        </w:rPr>
        <w:t>起施行。</w:t>
      </w:r>
      <w:r>
        <w:rPr>
          <w:rFonts w:eastAsia="仿宋_GB2312" w:hint="eastAsia"/>
          <w:sz w:val="32"/>
          <w:szCs w:val="32"/>
        </w:rPr>
        <w:t>既往发布的文件中体外诊断试剂分类原则与本规则不一致的，以本规则为准。</w:t>
      </w:r>
      <w:bookmarkStart w:id="0" w:name="_GoBack"/>
      <w:bookmarkEnd w:id="0"/>
    </w:p>
    <w:sectPr w:rsidR="00961ED5">
      <w:footerReference w:type="even" r:id="rId6"/>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ED5" w:rsidRDefault="00961ED5">
      <w:r>
        <w:separator/>
      </w:r>
    </w:p>
  </w:endnote>
  <w:endnote w:type="continuationSeparator" w:id="0">
    <w:p w:rsidR="00961ED5" w:rsidRDefault="0096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E6754">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1905" t="2540" r="635"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961ED5">
                          <w:pPr>
                            <w:pStyle w:val="a5"/>
                            <w:rPr>
                              <w:rFonts w:hint="eastAsia"/>
                            </w:rPr>
                          </w:pPr>
                          <w:r w:rsidRPr="00674A94">
                            <w:rPr>
                              <w:rFonts w:hint="eastAsia"/>
                              <w:color w:val="FFFFFF"/>
                              <w:sz w:val="28"/>
                              <w:szCs w:val="28"/>
                            </w:rPr>
                            <w:t>—</w:t>
                          </w:r>
                          <w:r w:rsidRPr="00674A94">
                            <w:rPr>
                              <w:rFonts w:hint="eastAsia"/>
                              <w:sz w:val="28"/>
                              <w:szCs w:val="28"/>
                            </w:rPr>
                            <w:t>—</w:t>
                          </w:r>
                          <w:r w:rsidRPr="00674A94">
                            <w:rPr>
                              <w:rFonts w:hint="eastAsia"/>
                              <w:sz w:val="28"/>
                              <w:szCs w:val="28"/>
                            </w:rPr>
                            <w:t xml:space="preserve"> </w:t>
                          </w:r>
                          <w:r w:rsidRPr="00674A94">
                            <w:rPr>
                              <w:sz w:val="28"/>
                              <w:szCs w:val="28"/>
                            </w:rPr>
                            <w:fldChar w:fldCharType="begin"/>
                          </w:r>
                          <w:r w:rsidRPr="00674A94">
                            <w:rPr>
                              <w:sz w:val="28"/>
                              <w:szCs w:val="28"/>
                            </w:rPr>
                            <w:instrText xml:space="preserve"> PAGE  \* MERGEFORMAT </w:instrText>
                          </w:r>
                          <w:r w:rsidRPr="00674A94">
                            <w:rPr>
                              <w:sz w:val="28"/>
                              <w:szCs w:val="28"/>
                            </w:rPr>
                            <w:fldChar w:fldCharType="separate"/>
                          </w:r>
                          <w:r w:rsidR="002E6754">
                            <w:rPr>
                              <w:noProof/>
                              <w:sz w:val="28"/>
                              <w:szCs w:val="28"/>
                            </w:rPr>
                            <w:t>4</w:t>
                          </w:r>
                          <w:r w:rsidRPr="00674A94">
                            <w:rPr>
                              <w:sz w:val="28"/>
                              <w:szCs w:val="28"/>
                            </w:rPr>
                            <w:fldChar w:fldCharType="end"/>
                          </w:r>
                          <w:r w:rsidRPr="00674A94">
                            <w:rPr>
                              <w:rFonts w:hint="eastAsia"/>
                              <w:sz w:val="28"/>
                              <w:szCs w:val="28"/>
                            </w:rPr>
                            <w:t xml:space="preserve"> </w:t>
                          </w:r>
                          <w:r w:rsidRPr="00674A94">
                            <w:rPr>
                              <w:rFonts w:hint="eastAsia"/>
                              <w:sz w:val="28"/>
                              <w:szCs w:val="28"/>
                            </w:rPr>
                            <w:t>—</w:t>
                          </w:r>
                          <w:r w:rsidRPr="00674A94">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5.85pt;margin-top:0;width:77.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oDwAIAALI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BVjkoD&#10;wAIAALIFAAAOAAAAAAAAAAAAAAAAAC4CAABkcnMvZTJvRG9jLnhtbFBLAQItABQABgAIAAAAIQCS&#10;2quB2QAAAAQBAAAPAAAAAAAAAAAAAAAAABoFAABkcnMvZG93bnJldi54bWxQSwUGAAAAAAQABADz&#10;AAAAIAYAAAAA&#10;" filled="f" stroked="f">
              <v:textbox style="mso-fit-shape-to-text:t" inset="0,0,0,0">
                <w:txbxContent>
                  <w:p w:rsidR="00000000" w:rsidRDefault="00961ED5">
                    <w:pPr>
                      <w:pStyle w:val="a5"/>
                      <w:rPr>
                        <w:rFonts w:hint="eastAsia"/>
                      </w:rPr>
                    </w:pPr>
                    <w:r w:rsidRPr="00674A94">
                      <w:rPr>
                        <w:rFonts w:hint="eastAsia"/>
                        <w:color w:val="FFFFFF"/>
                        <w:sz w:val="28"/>
                        <w:szCs w:val="28"/>
                      </w:rPr>
                      <w:t>—</w:t>
                    </w:r>
                    <w:r w:rsidRPr="00674A94">
                      <w:rPr>
                        <w:rFonts w:hint="eastAsia"/>
                        <w:sz w:val="28"/>
                        <w:szCs w:val="28"/>
                      </w:rPr>
                      <w:t>—</w:t>
                    </w:r>
                    <w:r w:rsidRPr="00674A94">
                      <w:rPr>
                        <w:rFonts w:hint="eastAsia"/>
                        <w:sz w:val="28"/>
                        <w:szCs w:val="28"/>
                      </w:rPr>
                      <w:t xml:space="preserve"> </w:t>
                    </w:r>
                    <w:r w:rsidRPr="00674A94">
                      <w:rPr>
                        <w:sz w:val="28"/>
                        <w:szCs w:val="28"/>
                      </w:rPr>
                      <w:fldChar w:fldCharType="begin"/>
                    </w:r>
                    <w:r w:rsidRPr="00674A94">
                      <w:rPr>
                        <w:sz w:val="28"/>
                        <w:szCs w:val="28"/>
                      </w:rPr>
                      <w:instrText xml:space="preserve"> PAGE  \* MERGEFORMAT </w:instrText>
                    </w:r>
                    <w:r w:rsidRPr="00674A94">
                      <w:rPr>
                        <w:sz w:val="28"/>
                        <w:szCs w:val="28"/>
                      </w:rPr>
                      <w:fldChar w:fldCharType="separate"/>
                    </w:r>
                    <w:r w:rsidR="002E6754">
                      <w:rPr>
                        <w:noProof/>
                        <w:sz w:val="28"/>
                        <w:szCs w:val="28"/>
                      </w:rPr>
                      <w:t>4</w:t>
                    </w:r>
                    <w:r w:rsidRPr="00674A94">
                      <w:rPr>
                        <w:sz w:val="28"/>
                        <w:szCs w:val="28"/>
                      </w:rPr>
                      <w:fldChar w:fldCharType="end"/>
                    </w:r>
                    <w:r w:rsidRPr="00674A94">
                      <w:rPr>
                        <w:rFonts w:hint="eastAsia"/>
                        <w:sz w:val="28"/>
                        <w:szCs w:val="28"/>
                      </w:rPr>
                      <w:t xml:space="preserve"> </w:t>
                    </w:r>
                    <w:r w:rsidRPr="00674A94">
                      <w:rPr>
                        <w:rFonts w:hint="eastAsia"/>
                        <w:sz w:val="28"/>
                        <w:szCs w:val="28"/>
                      </w:rPr>
                      <w:t>—</w:t>
                    </w:r>
                    <w:r w:rsidRPr="00674A94">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E6754">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Pr="00674A94" w:rsidRDefault="00961ED5">
                          <w:pPr>
                            <w:pStyle w:val="a5"/>
                            <w:rPr>
                              <w:rFonts w:hint="eastAsia"/>
                              <w:sz w:val="28"/>
                              <w:szCs w:val="28"/>
                            </w:rPr>
                          </w:pPr>
                          <w:r w:rsidRPr="00674A94">
                            <w:rPr>
                              <w:rFonts w:hint="eastAsia"/>
                              <w:color w:val="FFFFFF"/>
                              <w:sz w:val="28"/>
                              <w:szCs w:val="28"/>
                            </w:rPr>
                            <w:t>—</w:t>
                          </w:r>
                          <w:r w:rsidRPr="00674A94">
                            <w:rPr>
                              <w:rFonts w:hint="eastAsia"/>
                              <w:sz w:val="28"/>
                              <w:szCs w:val="28"/>
                            </w:rPr>
                            <w:t>—</w:t>
                          </w:r>
                          <w:r w:rsidRPr="00674A94">
                            <w:rPr>
                              <w:rFonts w:hint="eastAsia"/>
                              <w:sz w:val="28"/>
                              <w:szCs w:val="28"/>
                            </w:rPr>
                            <w:t xml:space="preserve"> </w:t>
                          </w:r>
                          <w:r w:rsidRPr="00674A94">
                            <w:rPr>
                              <w:sz w:val="28"/>
                              <w:szCs w:val="28"/>
                            </w:rPr>
                            <w:fldChar w:fldCharType="begin"/>
                          </w:r>
                          <w:r w:rsidRPr="00674A94">
                            <w:rPr>
                              <w:sz w:val="28"/>
                              <w:szCs w:val="28"/>
                            </w:rPr>
                            <w:instrText xml:space="preserve"> PAGE  \* MERGEFORMA</w:instrText>
                          </w:r>
                          <w:r w:rsidRPr="00674A94">
                            <w:rPr>
                              <w:sz w:val="28"/>
                              <w:szCs w:val="28"/>
                            </w:rPr>
                            <w:instrText xml:space="preserve">T </w:instrText>
                          </w:r>
                          <w:r w:rsidRPr="00674A94">
                            <w:rPr>
                              <w:sz w:val="28"/>
                              <w:szCs w:val="28"/>
                            </w:rPr>
                            <w:fldChar w:fldCharType="separate"/>
                          </w:r>
                          <w:r w:rsidR="002E6754">
                            <w:rPr>
                              <w:noProof/>
                              <w:sz w:val="28"/>
                              <w:szCs w:val="28"/>
                            </w:rPr>
                            <w:t>5</w:t>
                          </w:r>
                          <w:r w:rsidRPr="00674A94">
                            <w:rPr>
                              <w:sz w:val="28"/>
                              <w:szCs w:val="28"/>
                            </w:rPr>
                            <w:fldChar w:fldCharType="end"/>
                          </w:r>
                          <w:r w:rsidRPr="00674A94">
                            <w:rPr>
                              <w:rFonts w:hint="eastAsia"/>
                              <w:sz w:val="28"/>
                              <w:szCs w:val="28"/>
                            </w:rPr>
                            <w:t xml:space="preserve"> </w:t>
                          </w:r>
                          <w:r w:rsidRPr="00674A94">
                            <w:rPr>
                              <w:rFonts w:hint="eastAsia"/>
                              <w:sz w:val="28"/>
                              <w:szCs w:val="28"/>
                            </w:rPr>
                            <w:t>—</w:t>
                          </w:r>
                          <w:r w:rsidRPr="00674A94">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" filled="f" stroked="f">
              <v:textbox style="mso-fit-shape-to-text:t" inset="0,0,0,0">
                <w:txbxContent>
                  <w:p w:rsidR="00000000" w:rsidRPr="00674A94" w:rsidRDefault="00961ED5">
                    <w:pPr>
                      <w:pStyle w:val="a5"/>
                      <w:rPr>
                        <w:rFonts w:hint="eastAsia"/>
                        <w:sz w:val="28"/>
                        <w:szCs w:val="28"/>
                      </w:rPr>
                    </w:pPr>
                    <w:r w:rsidRPr="00674A94">
                      <w:rPr>
                        <w:rFonts w:hint="eastAsia"/>
                        <w:color w:val="FFFFFF"/>
                        <w:sz w:val="28"/>
                        <w:szCs w:val="28"/>
                      </w:rPr>
                      <w:t>—</w:t>
                    </w:r>
                    <w:r w:rsidRPr="00674A94">
                      <w:rPr>
                        <w:rFonts w:hint="eastAsia"/>
                        <w:sz w:val="28"/>
                        <w:szCs w:val="28"/>
                      </w:rPr>
                      <w:t>—</w:t>
                    </w:r>
                    <w:r w:rsidRPr="00674A94">
                      <w:rPr>
                        <w:rFonts w:hint="eastAsia"/>
                        <w:sz w:val="28"/>
                        <w:szCs w:val="28"/>
                      </w:rPr>
                      <w:t xml:space="preserve"> </w:t>
                    </w:r>
                    <w:r w:rsidRPr="00674A94">
                      <w:rPr>
                        <w:sz w:val="28"/>
                        <w:szCs w:val="28"/>
                      </w:rPr>
                      <w:fldChar w:fldCharType="begin"/>
                    </w:r>
                    <w:r w:rsidRPr="00674A94">
                      <w:rPr>
                        <w:sz w:val="28"/>
                        <w:szCs w:val="28"/>
                      </w:rPr>
                      <w:instrText xml:space="preserve"> PAGE  \* MERGEFORMA</w:instrText>
                    </w:r>
                    <w:r w:rsidRPr="00674A94">
                      <w:rPr>
                        <w:sz w:val="28"/>
                        <w:szCs w:val="28"/>
                      </w:rPr>
                      <w:instrText xml:space="preserve">T </w:instrText>
                    </w:r>
                    <w:r w:rsidRPr="00674A94">
                      <w:rPr>
                        <w:sz w:val="28"/>
                        <w:szCs w:val="28"/>
                      </w:rPr>
                      <w:fldChar w:fldCharType="separate"/>
                    </w:r>
                    <w:r w:rsidR="002E6754">
                      <w:rPr>
                        <w:noProof/>
                        <w:sz w:val="28"/>
                        <w:szCs w:val="28"/>
                      </w:rPr>
                      <w:t>5</w:t>
                    </w:r>
                    <w:r w:rsidRPr="00674A94">
                      <w:rPr>
                        <w:sz w:val="28"/>
                        <w:szCs w:val="28"/>
                      </w:rPr>
                      <w:fldChar w:fldCharType="end"/>
                    </w:r>
                    <w:r w:rsidRPr="00674A94">
                      <w:rPr>
                        <w:rFonts w:hint="eastAsia"/>
                        <w:sz w:val="28"/>
                        <w:szCs w:val="28"/>
                      </w:rPr>
                      <w:t xml:space="preserve"> </w:t>
                    </w:r>
                    <w:r w:rsidRPr="00674A94">
                      <w:rPr>
                        <w:rFonts w:hint="eastAsia"/>
                        <w:sz w:val="28"/>
                        <w:szCs w:val="28"/>
                      </w:rPr>
                      <w:t>—</w:t>
                    </w:r>
                    <w:r w:rsidRPr="00674A94">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ED5" w:rsidRDefault="00961ED5">
      <w:r>
        <w:separator/>
      </w:r>
    </w:p>
  </w:footnote>
  <w:footnote w:type="continuationSeparator" w:id="0">
    <w:p w:rsidR="00961ED5" w:rsidRDefault="00961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E6754"/>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74A94"/>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61ED5"/>
    <w:rsid w:val="0097437D"/>
    <w:rsid w:val="009869EE"/>
    <w:rsid w:val="00991BF3"/>
    <w:rsid w:val="009925DB"/>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2A8D465A"/>
    <w:rsid w:val="379F2390"/>
    <w:rsid w:val="37ADF84A"/>
    <w:rsid w:val="43E2636A"/>
    <w:rsid w:val="46F7E598"/>
    <w:rsid w:val="46F9C7D7"/>
    <w:rsid w:val="4C1A048F"/>
    <w:rsid w:val="591D3208"/>
    <w:rsid w:val="5BF22250"/>
    <w:rsid w:val="5CBF5140"/>
    <w:rsid w:val="5F297A5F"/>
    <w:rsid w:val="63E446CD"/>
    <w:rsid w:val="677ADB7E"/>
    <w:rsid w:val="67BD0607"/>
    <w:rsid w:val="773F55E0"/>
    <w:rsid w:val="7B562C0A"/>
    <w:rsid w:val="7CF6CADD"/>
    <w:rsid w:val="7DFDC84D"/>
    <w:rsid w:val="7EBAC072"/>
    <w:rsid w:val="7ED62E8A"/>
    <w:rsid w:val="7EEAE5B7"/>
    <w:rsid w:val="7F03A178"/>
    <w:rsid w:val="BBFFA8C4"/>
    <w:rsid w:val="DD92B638"/>
    <w:rsid w:val="DF7EE396"/>
    <w:rsid w:val="DF7FA623"/>
    <w:rsid w:val="EF65D8C6"/>
    <w:rsid w:val="F39D9C64"/>
    <w:rsid w:val="F53EC510"/>
    <w:rsid w:val="F7FEE9AB"/>
    <w:rsid w:val="FBBFCB37"/>
    <w:rsid w:val="FBF5FB1A"/>
    <w:rsid w:val="FFEF3D83"/>
    <w:rsid w:val="FFEF74FE"/>
    <w:rsid w:val="FFFB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406C6A-236F-4C00-99B7-492932C3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330</Words>
  <Characters>1881</Characters>
  <Application>Microsoft Office Word</Application>
  <DocSecurity>0</DocSecurity>
  <Lines>15</Lines>
  <Paragraphs>4</Paragraphs>
  <ScaleCrop>false</ScaleCrop>
  <Company>Xtzj.Com</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2021-10-29T08:53:00Z</cp:lastPrinted>
  <dcterms:created xsi:type="dcterms:W3CDTF">2021-10-29T07:31:00Z</dcterms:created>
  <dcterms:modified xsi:type="dcterms:W3CDTF">2021-10-29T07:31:00Z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