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件6</w:t>
      </w:r>
      <w:r>
        <w:rPr>
          <w:rFonts w:ascii="黑体" w:hAnsi="黑体" w:eastAsia="黑体" w:cs="黑体"/>
          <w:kern w:val="0"/>
          <w:sz w:val="32"/>
          <w:szCs w:val="32"/>
        </w:rPr>
        <w:t>-1</w:t>
      </w:r>
    </w:p>
    <w:p>
      <w:pPr>
        <w:rPr>
          <w:rFonts w:ascii="黑体" w:hAnsi="黑体" w:eastAsia="黑体"/>
          <w:bCs/>
          <w:sz w:val="30"/>
          <w:szCs w:val="30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____市（州）跨省异地就医预付金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额度调整付款通知书</w:t>
      </w:r>
    </w:p>
    <w:p>
      <w:pPr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年跨省异地就医预付金于签章之日起</w:t>
      </w:r>
      <w:r>
        <w:rPr>
          <w:rFonts w:hint="eastAsia" w:ascii="仿宋_GB2312" w:hAnsi="Times New Roman" w:eastAsia="仿宋_GB2312"/>
          <w:szCs w:val="21"/>
        </w:rPr>
        <w:t>1</w:t>
      </w:r>
      <w:r>
        <w:rPr>
          <w:rFonts w:ascii="仿宋_GB2312" w:hAnsi="Times New Roman" w:eastAsia="仿宋_GB2312"/>
          <w:szCs w:val="21"/>
        </w:rPr>
        <w:t>0</w:t>
      </w:r>
      <w:r>
        <w:rPr>
          <w:rFonts w:hint="eastAsia" w:ascii="仿宋_GB2312" w:hAnsi="宋体" w:eastAsia="仿宋_GB2312"/>
          <w:szCs w:val="21"/>
        </w:rPr>
        <w:t>个工作日内上解至省财政专户。付款明细清单如下：</w:t>
      </w: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跨省异地就医预付金付款汇总表</w:t>
      </w: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</w:t>
      </w:r>
    </w:p>
    <w:p>
      <w:pPr>
        <w:spacing w:line="360" w:lineRule="exact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付款方：</w:t>
      </w:r>
      <w:r>
        <w:rPr>
          <w:rFonts w:hint="eastAsia" w:ascii="仿宋_GB2312" w:hAnsi="Times New Roman" w:eastAsia="仿宋_GB2312"/>
          <w:szCs w:val="21"/>
        </w:rPr>
        <w:t>XX</w:t>
      </w:r>
      <w:r>
        <w:rPr>
          <w:rFonts w:hint="eastAsia" w:ascii="仿宋_GB2312" w:hAnsi="宋体" w:eastAsia="仿宋_GB2312"/>
          <w:szCs w:val="21"/>
        </w:rPr>
        <w:t>市（州）</w:t>
      </w:r>
      <w:r>
        <w:rPr>
          <w:rFonts w:hint="eastAsia" w:ascii="仿宋_GB2312" w:hAnsi="Times New Roman" w:eastAsia="仿宋_GB2312"/>
          <w:szCs w:val="21"/>
        </w:rPr>
        <w:t xml:space="preserve">                                 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4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382"/>
        <w:gridCol w:w="2628"/>
        <w:gridCol w:w="2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 区</w:t>
            </w:r>
          </w:p>
        </w:tc>
        <w:tc>
          <w:tcPr>
            <w:tcW w:w="23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上年额度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本年核定额度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实际划款额度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北  京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注：上年额度指省级经办机构核定的上年度预付金额（含紧急调整额度）</w:t>
      </w:r>
    </w:p>
    <w:p>
      <w:pPr>
        <w:spacing w:line="360" w:lineRule="exact"/>
        <w:jc w:val="right"/>
        <w:rPr>
          <w:rFonts w:ascii="仿宋_GB2312" w:hAnsi="宋体" w:eastAsia="仿宋_GB2312"/>
          <w:szCs w:val="21"/>
        </w:rPr>
      </w:pPr>
    </w:p>
    <w:p>
      <w:pPr>
        <w:spacing w:line="36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（落款：甘肃省医疗保障服务中心）</w:t>
      </w:r>
    </w:p>
    <w:p>
      <w:pPr>
        <w:spacing w:line="360" w:lineRule="exact"/>
        <w:ind w:right="210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pPr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0FC85F3C"/>
    <w:rsid w:val="233F7E6C"/>
    <w:rsid w:val="4AAF6DD6"/>
    <w:rsid w:val="55D122F6"/>
    <w:rsid w:val="72750781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227</Characters>
  <Lines>0</Lines>
  <Paragraphs>0</Paragraphs>
  <TotalTime>0</TotalTime>
  <ScaleCrop>false</ScaleCrop>
  <LinksUpToDate>false</LinksUpToDate>
  <CharactersWithSpaces>300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97649C42983D4CE4B047DD000AF30175</vt:lpwstr>
  </property>
</Properties>
</file>