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rPr>
          <w:rFonts w:hint="default" w:ascii="方正小标宋_GBK" w:hAnsi="方正小标宋_GBK" w:eastAsia="方正小标宋_GBK" w:cs="方正小标宋_GBK"/>
          <w:color w:val="auto"/>
          <w:sz w:val="44"/>
          <w:szCs w:val="44"/>
          <w:lang w:val="en-US" w:eastAsia="zh-CN"/>
        </w:rPr>
      </w:pPr>
      <w:r>
        <w:rPr>
          <w:rFonts w:hint="eastAsia" w:ascii="方正小标宋_GBK" w:hAnsi="方正小标宋_GBK" w:eastAsia="方正小标宋_GBK" w:cs="方正小标宋_GBK"/>
          <w:color w:val="auto"/>
          <w:sz w:val="44"/>
          <w:szCs w:val="44"/>
          <w:lang w:val="en-US" w:eastAsia="zh-CN"/>
        </w:rPr>
        <w:t>海南博鳌乐城国际医疗旅游先行区生物医学新技术临床研究项目备案材料清单</w:t>
      </w:r>
    </w:p>
    <w:p>
      <w:pPr>
        <w:spacing w:line="560" w:lineRule="exact"/>
        <w:ind w:firstLine="640" w:firstLineChars="200"/>
        <w:rPr>
          <w:rFonts w:hint="eastAsia" w:ascii="仿宋_GB2312" w:hAnsi="仿宋_GB2312" w:eastAsia="仿宋_GB2312" w:cs="仿宋_GB2312"/>
          <w:color w:val="auto"/>
          <w:sz w:val="32"/>
          <w:szCs w:val="32"/>
        </w:rPr>
      </w:pPr>
    </w:p>
    <w:p>
      <w:pPr>
        <w:numPr>
          <w:ilvl w:val="0"/>
          <w:numId w:val="1"/>
        </w:numPr>
        <w:spacing w:line="560" w:lineRule="exact"/>
        <w:ind w:left="0" w:leftChars="0" w:firstLine="420" w:firstLineChars="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机构立项申报备案材料诚信承诺书；</w:t>
      </w:r>
    </w:p>
    <w:p>
      <w:pPr>
        <w:numPr>
          <w:ilvl w:val="0"/>
          <w:numId w:val="1"/>
        </w:numPr>
        <w:spacing w:line="560" w:lineRule="exact"/>
        <w:ind w:left="0" w:leftChars="0" w:firstLine="420" w:firstLineChars="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项目立项申报备案材料诚信承诺书；</w:t>
      </w:r>
    </w:p>
    <w:p>
      <w:pPr>
        <w:numPr>
          <w:ilvl w:val="0"/>
          <w:numId w:val="1"/>
        </w:numPr>
        <w:spacing w:line="560" w:lineRule="exact"/>
        <w:ind w:left="0" w:leftChars="0" w:firstLine="420" w:firstLineChars="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临床研究发起机构和临床研究机构的基本情况</w:t>
      </w:r>
      <w:r>
        <w:rPr>
          <w:rFonts w:hint="eastAsia" w:ascii="仿宋_GB2312" w:hAnsi="仿宋_GB2312" w:eastAsia="仿宋_GB2312" w:cs="仿宋_GB2312"/>
          <w:color w:val="auto"/>
          <w:sz w:val="32"/>
          <w:szCs w:val="32"/>
        </w:rPr>
        <w:t>；</w:t>
      </w:r>
    </w:p>
    <w:p>
      <w:pPr>
        <w:numPr>
          <w:ilvl w:val="0"/>
          <w:numId w:val="1"/>
        </w:numPr>
        <w:spacing w:line="560" w:lineRule="exact"/>
        <w:ind w:left="0" w:leftChars="0" w:firstLine="420" w:firstLineChars="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临床研究</w:t>
      </w:r>
      <w:r>
        <w:rPr>
          <w:rFonts w:ascii="仿宋_GB2312" w:hAnsi="仿宋_GB2312" w:eastAsia="仿宋_GB2312" w:cs="仿宋_GB2312"/>
          <w:color w:val="auto"/>
          <w:sz w:val="32"/>
          <w:szCs w:val="32"/>
        </w:rPr>
        <w:t>机构执业许可证书复印件</w:t>
      </w:r>
      <w:r>
        <w:rPr>
          <w:rFonts w:hint="eastAsia" w:ascii="仿宋_GB2312" w:hAnsi="仿宋_GB2312" w:eastAsia="仿宋_GB2312" w:cs="仿宋_GB2312"/>
          <w:color w:val="auto"/>
          <w:sz w:val="32"/>
          <w:szCs w:val="32"/>
          <w:lang w:val="en-US" w:eastAsia="zh-CN"/>
        </w:rPr>
        <w:t>；</w:t>
      </w:r>
    </w:p>
    <w:p>
      <w:pPr>
        <w:numPr>
          <w:ilvl w:val="0"/>
          <w:numId w:val="1"/>
        </w:numPr>
        <w:spacing w:line="560" w:lineRule="exact"/>
        <w:ind w:left="0" w:leftChars="0" w:firstLine="420" w:firstLineChars="0"/>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临床研究机构管理体系和各部门职责</w:t>
      </w:r>
      <w:r>
        <w:rPr>
          <w:rFonts w:hint="eastAsia" w:ascii="仿宋_GB2312" w:hAnsi="仿宋_GB2312" w:eastAsia="仿宋_GB2312" w:cs="仿宋_GB2312"/>
          <w:color w:val="auto"/>
          <w:sz w:val="32"/>
          <w:szCs w:val="32"/>
        </w:rPr>
        <w:t>；</w:t>
      </w:r>
    </w:p>
    <w:p>
      <w:pPr>
        <w:numPr>
          <w:ilvl w:val="0"/>
          <w:numId w:val="1"/>
        </w:numPr>
        <w:spacing w:line="560" w:lineRule="exact"/>
        <w:ind w:left="0" w:leftChars="0" w:firstLine="420" w:firstLineChars="0"/>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临床研究机构管理主要责任人、质量</w:t>
      </w:r>
      <w:r>
        <w:rPr>
          <w:rFonts w:hint="eastAsia" w:ascii="仿宋_GB2312" w:hAnsi="仿宋_GB2312" w:eastAsia="仿宋_GB2312" w:cs="仿宋_GB2312"/>
          <w:color w:val="auto"/>
          <w:sz w:val="32"/>
          <w:szCs w:val="32"/>
          <w:lang w:eastAsia="zh-CN"/>
        </w:rPr>
        <w:t>授</w:t>
      </w:r>
      <w:r>
        <w:rPr>
          <w:rFonts w:ascii="仿宋_GB2312" w:hAnsi="仿宋_GB2312" w:eastAsia="仿宋_GB2312" w:cs="仿宋_GB2312"/>
          <w:color w:val="auto"/>
          <w:sz w:val="32"/>
          <w:szCs w:val="32"/>
        </w:rPr>
        <w:t>权人</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项目负责人及临床研究人员</w:t>
      </w:r>
      <w:r>
        <w:rPr>
          <w:rFonts w:ascii="仿宋_GB2312" w:hAnsi="仿宋_GB2312" w:eastAsia="仿宋_GB2312" w:cs="仿宋_GB2312"/>
          <w:color w:val="auto"/>
          <w:sz w:val="32"/>
          <w:szCs w:val="32"/>
        </w:rPr>
        <w:t>的简历与资质证明</w:t>
      </w:r>
      <w:r>
        <w:rPr>
          <w:rFonts w:hint="eastAsia" w:ascii="仿宋_GB2312" w:hAnsi="仿宋_GB2312" w:eastAsia="仿宋_GB2312" w:cs="仿宋_GB2312"/>
          <w:color w:val="auto"/>
          <w:sz w:val="32"/>
          <w:szCs w:val="32"/>
        </w:rPr>
        <w:t>；</w:t>
      </w:r>
    </w:p>
    <w:p>
      <w:pPr>
        <w:numPr>
          <w:ilvl w:val="0"/>
          <w:numId w:val="1"/>
        </w:numPr>
        <w:spacing w:line="560" w:lineRule="exact"/>
        <w:ind w:left="0" w:leftChars="0" w:firstLine="420" w:firstLineChars="0"/>
        <w:rPr>
          <w:rFonts w:hint="eastAsia" w:ascii="仿宋_GB2312" w:hAnsi="仿宋_GB2312" w:eastAsia="仿宋_GB2312" w:cs="仿宋_GB2312"/>
          <w:color w:val="auto"/>
          <w:sz w:val="32"/>
          <w:szCs w:val="32"/>
        </w:rPr>
      </w:pPr>
      <w:r>
        <w:rPr>
          <w:rFonts w:ascii="仿宋_GB2312" w:hAnsi="仿宋_GB2312" w:eastAsia="仿宋_GB2312" w:cs="仿宋_GB2312"/>
          <w:color w:val="auto"/>
          <w:sz w:val="32"/>
          <w:szCs w:val="32"/>
        </w:rPr>
        <w:t>机构学术委员会</w:t>
      </w:r>
      <w:r>
        <w:rPr>
          <w:rFonts w:hint="eastAsia" w:ascii="仿宋_GB2312" w:hAnsi="仿宋_GB2312" w:eastAsia="仿宋_GB2312" w:cs="仿宋_GB2312"/>
          <w:color w:val="auto"/>
          <w:sz w:val="32"/>
          <w:szCs w:val="32"/>
          <w:lang w:val="en-US" w:eastAsia="zh-CN"/>
        </w:rPr>
        <w:t>和</w:t>
      </w:r>
      <w:r>
        <w:rPr>
          <w:rFonts w:ascii="仿宋_GB2312" w:hAnsi="仿宋_GB2312" w:eastAsia="仿宋_GB2312" w:cs="仿宋_GB2312"/>
          <w:color w:val="auto"/>
          <w:sz w:val="32"/>
          <w:szCs w:val="32"/>
        </w:rPr>
        <w:t>伦理</w:t>
      </w:r>
      <w:r>
        <w:rPr>
          <w:rFonts w:hint="eastAsia" w:ascii="仿宋_GB2312" w:hAnsi="仿宋_GB2312" w:eastAsia="仿宋_GB2312" w:cs="仿宋_GB2312"/>
          <w:color w:val="auto"/>
          <w:sz w:val="32"/>
          <w:szCs w:val="32"/>
          <w:lang w:val="en-US" w:eastAsia="zh-CN"/>
        </w:rPr>
        <w:t>审查</w:t>
      </w:r>
      <w:r>
        <w:rPr>
          <w:rFonts w:ascii="仿宋_GB2312" w:hAnsi="仿宋_GB2312" w:eastAsia="仿宋_GB2312" w:cs="仿宋_GB2312"/>
          <w:color w:val="auto"/>
          <w:sz w:val="32"/>
          <w:szCs w:val="32"/>
        </w:rPr>
        <w:t>委员会</w:t>
      </w:r>
      <w:r>
        <w:rPr>
          <w:rFonts w:hint="eastAsia" w:ascii="仿宋_GB2312" w:hAnsi="仿宋_GB2312" w:eastAsia="仿宋_GB2312" w:cs="仿宋_GB2312"/>
          <w:color w:val="auto"/>
          <w:sz w:val="32"/>
          <w:szCs w:val="32"/>
          <w:lang w:val="en-US" w:eastAsia="zh-CN"/>
        </w:rPr>
        <w:t>的</w:t>
      </w:r>
      <w:r>
        <w:rPr>
          <w:rFonts w:ascii="仿宋_GB2312" w:hAnsi="仿宋_GB2312" w:eastAsia="仿宋_GB2312" w:cs="仿宋_GB2312"/>
          <w:color w:val="auto"/>
          <w:sz w:val="32"/>
          <w:szCs w:val="32"/>
        </w:rPr>
        <w:t>组成</w:t>
      </w:r>
      <w:r>
        <w:rPr>
          <w:rFonts w:hint="eastAsia" w:ascii="仿宋_GB2312" w:hAnsi="仿宋_GB2312" w:eastAsia="仿宋_GB2312" w:cs="仿宋_GB2312"/>
          <w:color w:val="auto"/>
          <w:sz w:val="32"/>
          <w:szCs w:val="32"/>
          <w:lang w:val="en-US" w:eastAsia="zh-CN"/>
        </w:rPr>
        <w:t>和</w:t>
      </w:r>
      <w:r>
        <w:rPr>
          <w:rFonts w:ascii="仿宋_GB2312" w:hAnsi="仿宋_GB2312" w:eastAsia="仿宋_GB2312" w:cs="仿宋_GB2312"/>
          <w:color w:val="auto"/>
          <w:sz w:val="32"/>
          <w:szCs w:val="32"/>
        </w:rPr>
        <w:t>工作制度</w:t>
      </w:r>
      <w:r>
        <w:rPr>
          <w:rFonts w:hint="eastAsia" w:ascii="仿宋_GB2312" w:hAnsi="仿宋_GB2312" w:eastAsia="仿宋_GB2312" w:cs="仿宋_GB2312"/>
          <w:color w:val="auto"/>
          <w:sz w:val="32"/>
          <w:szCs w:val="32"/>
        </w:rPr>
        <w:t>；</w:t>
      </w:r>
    </w:p>
    <w:p>
      <w:pPr>
        <w:numPr>
          <w:ilvl w:val="0"/>
          <w:numId w:val="1"/>
        </w:numPr>
        <w:spacing w:line="560" w:lineRule="exact"/>
        <w:ind w:left="0" w:leftChars="0" w:firstLine="420" w:firstLineChars="0"/>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val="en-US" w:eastAsia="zh-CN"/>
        </w:rPr>
        <w:t>机构</w:t>
      </w:r>
      <w:r>
        <w:rPr>
          <w:rFonts w:hint="eastAsia" w:ascii="仿宋_GB2312" w:hAnsi="仿宋_GB2312" w:eastAsia="仿宋_GB2312" w:cs="仿宋_GB2312"/>
          <w:color w:val="auto"/>
          <w:sz w:val="32"/>
          <w:szCs w:val="32"/>
        </w:rPr>
        <w:t>学术委员会</w:t>
      </w:r>
      <w:r>
        <w:rPr>
          <w:rFonts w:hint="eastAsia" w:ascii="仿宋_GB2312" w:hAnsi="仿宋_GB2312" w:eastAsia="仿宋_GB2312" w:cs="仿宋_GB2312"/>
          <w:color w:val="auto"/>
          <w:sz w:val="32"/>
          <w:szCs w:val="32"/>
          <w:lang w:val="en-US" w:eastAsia="zh-CN"/>
        </w:rPr>
        <w:t>和伦理</w:t>
      </w:r>
      <w:r>
        <w:rPr>
          <w:rFonts w:hint="eastAsia" w:ascii="仿宋_GB2312" w:hAnsi="仿宋_GB2312" w:eastAsia="仿宋_GB2312" w:cs="仿宋_GB2312"/>
          <w:color w:val="auto"/>
          <w:sz w:val="32"/>
          <w:szCs w:val="32"/>
        </w:rPr>
        <w:t>审查</w:t>
      </w:r>
      <w:r>
        <w:rPr>
          <w:rFonts w:hint="eastAsia" w:ascii="仿宋_GB2312" w:hAnsi="仿宋_GB2312" w:eastAsia="仿宋_GB2312" w:cs="仿宋_GB2312"/>
          <w:color w:val="auto"/>
          <w:sz w:val="32"/>
          <w:szCs w:val="32"/>
          <w:lang w:val="en-US" w:eastAsia="zh-CN"/>
        </w:rPr>
        <w:t>委员会</w:t>
      </w:r>
      <w:r>
        <w:rPr>
          <w:rFonts w:hint="eastAsia" w:ascii="仿宋_GB2312" w:hAnsi="仿宋_GB2312" w:eastAsia="仿宋_GB2312" w:cs="仿宋_GB2312"/>
          <w:color w:val="auto"/>
          <w:sz w:val="32"/>
          <w:szCs w:val="32"/>
        </w:rPr>
        <w:t>的议程、签到表、批件</w:t>
      </w:r>
      <w:r>
        <w:rPr>
          <w:rFonts w:hint="eastAsia" w:ascii="仿宋_GB2312" w:hAnsi="仿宋_GB2312" w:eastAsia="仿宋_GB2312" w:cs="仿宋_GB2312"/>
          <w:color w:val="auto"/>
          <w:sz w:val="32"/>
          <w:szCs w:val="32"/>
          <w:lang w:eastAsia="zh-CN"/>
        </w:rPr>
        <w:t>；</w:t>
      </w:r>
    </w:p>
    <w:p>
      <w:pPr>
        <w:numPr>
          <w:ilvl w:val="0"/>
          <w:numId w:val="1"/>
        </w:numPr>
        <w:spacing w:line="560" w:lineRule="exact"/>
        <w:ind w:left="0" w:leftChars="0" w:firstLine="420" w:firstLineChars="0"/>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细胞制剂生产场地、设施设备、标准操作规程</w:t>
      </w:r>
      <w:r>
        <w:rPr>
          <w:rFonts w:hint="eastAsia" w:ascii="仿宋_GB2312" w:hAnsi="仿宋_GB2312" w:eastAsia="仿宋_GB2312" w:cs="仿宋_GB2312"/>
          <w:color w:val="auto"/>
          <w:sz w:val="32"/>
          <w:szCs w:val="32"/>
        </w:rPr>
        <w:t>；</w:t>
      </w:r>
    </w:p>
    <w:p>
      <w:pPr>
        <w:numPr>
          <w:ilvl w:val="0"/>
          <w:numId w:val="1"/>
        </w:numPr>
        <w:spacing w:line="560" w:lineRule="exact"/>
        <w:ind w:left="0" w:leftChars="0" w:firstLine="420" w:firstLineChars="0"/>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细胞质量评价标准及检测设备设施情况</w:t>
      </w:r>
      <w:r>
        <w:rPr>
          <w:rFonts w:hint="eastAsia" w:ascii="仿宋_GB2312" w:hAnsi="仿宋_GB2312" w:eastAsia="仿宋_GB2312" w:cs="仿宋_GB2312"/>
          <w:color w:val="auto"/>
          <w:sz w:val="32"/>
          <w:szCs w:val="32"/>
        </w:rPr>
        <w:t>；</w:t>
      </w:r>
    </w:p>
    <w:p>
      <w:pPr>
        <w:numPr>
          <w:ilvl w:val="0"/>
          <w:numId w:val="1"/>
        </w:numPr>
        <w:spacing w:line="560" w:lineRule="exact"/>
        <w:ind w:left="0" w:leftChars="0" w:firstLine="420" w:firstLineChars="0"/>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临床研究质量管理及风险控制程序和相关文件（含质量管理手册、临床研究工作程序、标准操作规范和研究记录）</w:t>
      </w:r>
      <w:r>
        <w:rPr>
          <w:rFonts w:hint="eastAsia" w:ascii="仿宋_GB2312" w:hAnsi="仿宋_GB2312" w:eastAsia="仿宋_GB2312" w:cs="仿宋_GB2312"/>
          <w:color w:val="auto"/>
          <w:sz w:val="32"/>
          <w:szCs w:val="32"/>
        </w:rPr>
        <w:t>；</w:t>
      </w:r>
    </w:p>
    <w:p>
      <w:pPr>
        <w:numPr>
          <w:ilvl w:val="0"/>
          <w:numId w:val="1"/>
        </w:numPr>
        <w:spacing w:line="560" w:lineRule="exact"/>
        <w:ind w:left="0" w:leftChars="0" w:firstLine="420" w:firstLineChars="0"/>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临床研究审计体系</w:t>
      </w:r>
      <w:r>
        <w:rPr>
          <w:rFonts w:hint="eastAsia" w:ascii="仿宋_GB2312" w:hAnsi="仿宋_GB2312" w:eastAsia="仿宋_GB2312" w:cs="仿宋_GB2312"/>
          <w:color w:val="auto"/>
          <w:sz w:val="32"/>
          <w:szCs w:val="32"/>
          <w:lang w:val="en-US" w:eastAsia="zh-CN"/>
        </w:rPr>
        <w:t>文件</w:t>
      </w:r>
      <w:r>
        <w:rPr>
          <w:rFonts w:hint="eastAsia" w:ascii="仿宋_GB2312" w:hAnsi="仿宋_GB2312" w:eastAsia="仿宋_GB2312" w:cs="仿宋_GB2312"/>
          <w:color w:val="auto"/>
          <w:sz w:val="32"/>
          <w:szCs w:val="32"/>
        </w:rPr>
        <w:t>；</w:t>
      </w:r>
    </w:p>
    <w:p>
      <w:pPr>
        <w:numPr>
          <w:ilvl w:val="0"/>
          <w:numId w:val="1"/>
        </w:numPr>
        <w:spacing w:line="560" w:lineRule="exact"/>
        <w:ind w:left="0" w:leftChars="0" w:firstLine="420" w:firstLineChars="0"/>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防范临床研究风险的管理机制，处理不良反应、不良事件的应急抢救预案和上报流程</w:t>
      </w:r>
      <w:r>
        <w:rPr>
          <w:rFonts w:hint="eastAsia" w:ascii="仿宋_GB2312" w:hAnsi="仿宋_GB2312" w:eastAsia="仿宋_GB2312" w:cs="仿宋_GB2312"/>
          <w:color w:val="auto"/>
          <w:sz w:val="32"/>
          <w:szCs w:val="32"/>
        </w:rPr>
        <w:t>；</w:t>
      </w:r>
    </w:p>
    <w:p>
      <w:pPr>
        <w:numPr>
          <w:ilvl w:val="0"/>
          <w:numId w:val="1"/>
        </w:numPr>
        <w:spacing w:line="560" w:lineRule="exact"/>
        <w:ind w:left="0" w:leftChars="0" w:firstLine="420" w:firstLineChars="0"/>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rPr>
        <w:t>项目伦理审查申请表</w:t>
      </w:r>
      <w:r>
        <w:rPr>
          <w:rFonts w:hint="eastAsia" w:ascii="仿宋_GB2312" w:hAnsi="仿宋_GB2312" w:eastAsia="仿宋_GB2312" w:cs="仿宋_GB2312"/>
          <w:color w:val="auto"/>
          <w:sz w:val="32"/>
          <w:szCs w:val="32"/>
          <w:lang w:eastAsia="zh-CN"/>
        </w:rPr>
        <w:t>；</w:t>
      </w:r>
    </w:p>
    <w:p>
      <w:pPr>
        <w:numPr>
          <w:ilvl w:val="0"/>
          <w:numId w:val="1"/>
        </w:numPr>
        <w:spacing w:line="560" w:lineRule="exact"/>
        <w:ind w:left="0" w:leftChars="0" w:firstLine="420" w:firstLineChars="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研究经费来源证明和使用方案</w:t>
      </w:r>
      <w:r>
        <w:rPr>
          <w:rFonts w:hint="eastAsia" w:ascii="仿宋_GB2312" w:hAnsi="仿宋_GB2312" w:eastAsia="仿宋_GB2312" w:cs="仿宋_GB2312"/>
          <w:color w:val="auto"/>
          <w:sz w:val="32"/>
          <w:szCs w:val="32"/>
        </w:rPr>
        <w:t>；</w:t>
      </w:r>
    </w:p>
    <w:p>
      <w:pPr>
        <w:numPr>
          <w:ilvl w:val="0"/>
          <w:numId w:val="1"/>
        </w:numPr>
        <w:spacing w:line="560" w:lineRule="exact"/>
        <w:ind w:left="0" w:leftChars="0" w:firstLine="420" w:firstLineChars="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知情同意书样稿；</w:t>
      </w:r>
    </w:p>
    <w:p>
      <w:pPr>
        <w:numPr>
          <w:ilvl w:val="0"/>
          <w:numId w:val="1"/>
        </w:numPr>
        <w:spacing w:line="560" w:lineRule="exact"/>
        <w:ind w:left="0" w:leftChars="0" w:firstLine="420" w:firstLineChars="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细胞制备过程中主要原辅料标准；</w:t>
      </w:r>
    </w:p>
    <w:p>
      <w:pPr>
        <w:numPr>
          <w:ilvl w:val="0"/>
          <w:numId w:val="1"/>
        </w:numPr>
        <w:spacing w:line="560" w:lineRule="exact"/>
        <w:ind w:left="0" w:leftChars="0" w:firstLine="420" w:firstLineChars="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细胞制剂的制备工艺、质量控制标准和制定依据、工艺稳定性数据；</w:t>
      </w:r>
    </w:p>
    <w:p>
      <w:pPr>
        <w:numPr>
          <w:ilvl w:val="0"/>
          <w:numId w:val="1"/>
        </w:numPr>
        <w:spacing w:line="560" w:lineRule="exact"/>
        <w:ind w:left="0" w:leftChars="0" w:firstLine="420" w:firstLineChars="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细胞制备的完整记录和细胞制剂质量检验报告；</w:t>
      </w:r>
    </w:p>
    <w:p>
      <w:pPr>
        <w:numPr>
          <w:ilvl w:val="0"/>
          <w:numId w:val="1"/>
        </w:numPr>
        <w:spacing w:line="560" w:lineRule="exact"/>
        <w:ind w:left="0" w:leftChars="0" w:firstLine="420" w:firstLineChars="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细胞制剂的标签、储存、运输和使用追溯方案；</w:t>
      </w:r>
    </w:p>
    <w:p>
      <w:pPr>
        <w:numPr>
          <w:ilvl w:val="0"/>
          <w:numId w:val="1"/>
        </w:numPr>
        <w:spacing w:line="560" w:lineRule="exact"/>
        <w:ind w:left="0" w:leftChars="0" w:firstLine="420" w:firstLineChars="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不合格和剩余细胞制剂的处理措施；</w:t>
      </w:r>
    </w:p>
    <w:p>
      <w:pPr>
        <w:numPr>
          <w:ilvl w:val="0"/>
          <w:numId w:val="1"/>
        </w:numPr>
        <w:spacing w:line="560" w:lineRule="exact"/>
        <w:ind w:left="0" w:leftChars="0" w:firstLine="420" w:firstLineChars="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临床前研究报告（包括细胞水平和动物实验的安全性和有效性评价）；</w:t>
      </w:r>
    </w:p>
    <w:p>
      <w:pPr>
        <w:numPr>
          <w:ilvl w:val="0"/>
          <w:numId w:val="1"/>
        </w:numPr>
        <w:spacing w:line="560" w:lineRule="exact"/>
        <w:ind w:left="0" w:leftChars="0" w:firstLine="420" w:firstLineChars="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临床研究方案</w:t>
      </w:r>
    </w:p>
    <w:p>
      <w:pPr>
        <w:numPr>
          <w:ilvl w:val="0"/>
          <w:numId w:val="2"/>
        </w:numPr>
        <w:spacing w:line="560" w:lineRule="exact"/>
        <w:ind w:left="0" w:leftChars="0" w:firstLine="420" w:firstLineChars="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研究题目</w:t>
      </w:r>
    </w:p>
    <w:p>
      <w:pPr>
        <w:numPr>
          <w:ilvl w:val="0"/>
          <w:numId w:val="2"/>
        </w:numPr>
        <w:spacing w:line="560" w:lineRule="exact"/>
        <w:ind w:left="0" w:leftChars="0" w:firstLine="420" w:firstLineChars="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研究目的</w:t>
      </w:r>
    </w:p>
    <w:p>
      <w:pPr>
        <w:numPr>
          <w:ilvl w:val="0"/>
          <w:numId w:val="2"/>
        </w:numPr>
        <w:spacing w:line="560" w:lineRule="exact"/>
        <w:ind w:left="0" w:leftChars="0" w:firstLine="420" w:firstLineChars="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立题依据</w:t>
      </w:r>
    </w:p>
    <w:p>
      <w:pPr>
        <w:numPr>
          <w:ilvl w:val="0"/>
          <w:numId w:val="2"/>
        </w:numPr>
        <w:spacing w:line="560" w:lineRule="exact"/>
        <w:ind w:left="0" w:leftChars="0" w:firstLine="420" w:firstLineChars="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预期效果</w:t>
      </w:r>
    </w:p>
    <w:p>
      <w:pPr>
        <w:numPr>
          <w:ilvl w:val="0"/>
          <w:numId w:val="2"/>
        </w:numPr>
        <w:spacing w:line="560" w:lineRule="exact"/>
        <w:ind w:left="0" w:leftChars="0" w:firstLine="420" w:firstLineChars="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研究设计</w:t>
      </w:r>
    </w:p>
    <w:p>
      <w:pPr>
        <w:numPr>
          <w:ilvl w:val="0"/>
          <w:numId w:val="2"/>
        </w:numPr>
        <w:spacing w:line="560" w:lineRule="exact"/>
        <w:ind w:left="0" w:leftChars="0" w:firstLine="420" w:firstLineChars="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受试者纳入、排除标准和分配入组方法</w:t>
      </w:r>
    </w:p>
    <w:p>
      <w:pPr>
        <w:numPr>
          <w:ilvl w:val="0"/>
          <w:numId w:val="2"/>
        </w:numPr>
        <w:spacing w:line="560" w:lineRule="exact"/>
        <w:ind w:left="0" w:leftChars="0" w:firstLine="420" w:firstLineChars="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所需的病例数</w:t>
      </w:r>
    </w:p>
    <w:p>
      <w:pPr>
        <w:numPr>
          <w:ilvl w:val="0"/>
          <w:numId w:val="2"/>
        </w:numPr>
        <w:spacing w:line="560" w:lineRule="exact"/>
        <w:ind w:left="0" w:leftChars="0" w:firstLine="420" w:firstLineChars="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细胞制剂的使用方式、剂量、时间及疗程，</w:t>
      </w:r>
      <w:r>
        <w:rPr>
          <w:rFonts w:hint="eastAsia" w:ascii="仿宋_GB2312" w:hAnsi="仿宋_GB2312" w:eastAsia="仿宋_GB2312" w:cs="仿宋_GB2312"/>
          <w:color w:val="auto"/>
          <w:sz w:val="32"/>
          <w:szCs w:val="32"/>
          <w:lang w:val="en-US" w:eastAsia="zh-CN"/>
        </w:rPr>
        <w:t>或具体的技术操作流程</w:t>
      </w:r>
    </w:p>
    <w:p>
      <w:pPr>
        <w:numPr>
          <w:ilvl w:val="0"/>
          <w:numId w:val="2"/>
        </w:numPr>
        <w:spacing w:line="560" w:lineRule="exact"/>
        <w:ind w:left="0" w:leftChars="0" w:firstLine="420" w:firstLineChars="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中止和终止临床研究的标准</w:t>
      </w:r>
    </w:p>
    <w:p>
      <w:pPr>
        <w:numPr>
          <w:ilvl w:val="0"/>
          <w:numId w:val="2"/>
        </w:numPr>
        <w:spacing w:line="560" w:lineRule="exact"/>
        <w:ind w:left="0" w:leftChars="0" w:firstLine="420" w:firstLineChars="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疗效评定标准</w:t>
      </w:r>
    </w:p>
    <w:p>
      <w:pPr>
        <w:numPr>
          <w:ilvl w:val="0"/>
          <w:numId w:val="2"/>
        </w:numPr>
        <w:spacing w:line="560" w:lineRule="exact"/>
        <w:ind w:left="0" w:leftChars="0" w:firstLine="420" w:firstLineChars="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不良事件的记录要求和严重不良事件的报告方法、处理措施</w:t>
      </w:r>
    </w:p>
    <w:p>
      <w:pPr>
        <w:numPr>
          <w:ilvl w:val="0"/>
          <w:numId w:val="2"/>
        </w:numPr>
        <w:spacing w:line="560" w:lineRule="exact"/>
        <w:ind w:left="0" w:leftChars="0" w:firstLine="420" w:firstLineChars="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研究结果的统计分析</w:t>
      </w:r>
    </w:p>
    <w:p>
      <w:pPr>
        <w:numPr>
          <w:ilvl w:val="0"/>
          <w:numId w:val="2"/>
        </w:numPr>
        <w:spacing w:line="560" w:lineRule="exact"/>
        <w:ind w:left="0" w:leftChars="0" w:firstLine="420" w:firstLineChars="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随访的计划及实施办法</w:t>
      </w:r>
    </w:p>
    <w:p>
      <w:pPr>
        <w:numPr>
          <w:ilvl w:val="0"/>
          <w:numId w:val="2"/>
        </w:numPr>
        <w:spacing w:line="560" w:lineRule="exact"/>
        <w:ind w:left="0" w:leftChars="0" w:firstLine="420" w:firstLineChars="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病例报告表样稿</w:t>
      </w:r>
    </w:p>
    <w:p>
      <w:pPr>
        <w:numPr>
          <w:ilvl w:val="0"/>
          <w:numId w:val="1"/>
        </w:numPr>
        <w:spacing w:line="560" w:lineRule="exact"/>
        <w:ind w:left="0" w:leftChars="0" w:firstLine="420" w:firstLineChars="0"/>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rPr>
        <w:t>临床研究质量管理手册</w:t>
      </w:r>
      <w:r>
        <w:rPr>
          <w:rFonts w:hint="eastAsia" w:ascii="仿宋_GB2312" w:hAnsi="仿宋_GB2312" w:eastAsia="仿宋_GB2312" w:cs="仿宋_GB2312"/>
          <w:color w:val="auto"/>
          <w:sz w:val="32"/>
          <w:szCs w:val="32"/>
          <w:lang w:eastAsia="zh-CN"/>
        </w:rPr>
        <w:t>；</w:t>
      </w:r>
    </w:p>
    <w:p>
      <w:pPr>
        <w:numPr>
          <w:ilvl w:val="0"/>
          <w:numId w:val="1"/>
        </w:numPr>
        <w:spacing w:line="560" w:lineRule="exact"/>
        <w:ind w:left="0" w:leftChars="0" w:firstLine="420" w:firstLineChars="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临床研究风险预判和处理措施，包括风险评估报告、控制方案及实施细则；</w:t>
      </w:r>
    </w:p>
    <w:p>
      <w:pPr>
        <w:numPr>
          <w:ilvl w:val="0"/>
          <w:numId w:val="1"/>
        </w:numPr>
        <w:spacing w:line="560" w:lineRule="exact"/>
        <w:ind w:left="0" w:leftChars="0" w:firstLine="420" w:firstLineChars="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临床研究进度计划；</w:t>
      </w:r>
    </w:p>
    <w:p>
      <w:pPr>
        <w:numPr>
          <w:ilvl w:val="0"/>
          <w:numId w:val="1"/>
        </w:numPr>
        <w:spacing w:line="560" w:lineRule="exact"/>
        <w:ind w:left="0" w:leftChars="0" w:firstLine="420" w:firstLineChars="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资料记录与保存措施；</w:t>
      </w:r>
    </w:p>
    <w:p>
      <w:pPr>
        <w:numPr>
          <w:ilvl w:val="0"/>
          <w:numId w:val="1"/>
        </w:numPr>
        <w:spacing w:line="560" w:lineRule="exact"/>
        <w:ind w:left="0" w:leftChars="0" w:firstLine="420" w:firstLineChars="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受试者知情同意书样稿；</w:t>
      </w:r>
    </w:p>
    <w:p>
      <w:pPr>
        <w:numPr>
          <w:ilvl w:val="0"/>
          <w:numId w:val="1"/>
        </w:numPr>
        <w:spacing w:line="560" w:lineRule="exact"/>
        <w:ind w:left="0" w:leftChars="0" w:firstLine="420" w:firstLineChars="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研究者手册；</w:t>
      </w:r>
    </w:p>
    <w:p>
      <w:pPr>
        <w:numPr>
          <w:ilvl w:val="0"/>
          <w:numId w:val="1"/>
        </w:numPr>
        <w:spacing w:line="560" w:lineRule="exact"/>
        <w:ind w:left="0" w:leftChars="0" w:firstLine="420" w:firstLineChars="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保险协议；</w:t>
      </w:r>
    </w:p>
    <w:p>
      <w:pPr>
        <w:numPr>
          <w:ilvl w:val="0"/>
          <w:numId w:val="1"/>
        </w:numPr>
        <w:spacing w:line="560" w:lineRule="exact"/>
        <w:ind w:left="0" w:leftChars="0" w:firstLine="420" w:firstLineChars="0"/>
        <w:rPr>
          <w:rFonts w:hint="eastAsia" w:ascii="仿宋_GB2312" w:hAnsi="仿宋_GB2312" w:eastAsia="仿宋_GB2312" w:cs="仿宋_GB2312"/>
          <w:sz w:val="32"/>
          <w:szCs w:val="32"/>
          <w:lang w:eastAsia="zh-CN"/>
        </w:rPr>
      </w:pPr>
      <w:r>
        <w:rPr>
          <w:rFonts w:hint="eastAsia" w:ascii="仿宋_GB2312" w:hAnsi="仿宋_GB2312" w:eastAsia="仿宋_GB2312" w:cs="仿宋_GB2312"/>
          <w:color w:val="auto"/>
          <w:sz w:val="32"/>
          <w:szCs w:val="32"/>
        </w:rPr>
        <w:t>相</w:t>
      </w:r>
      <w:bookmarkStart w:id="0" w:name="_GoBack"/>
      <w:r>
        <w:rPr>
          <w:rFonts w:hint="eastAsia" w:ascii="仿宋_GB2312" w:hAnsi="仿宋_GB2312" w:eastAsia="仿宋_GB2312" w:cs="仿宋_GB2312"/>
          <w:color w:val="auto"/>
          <w:sz w:val="32"/>
          <w:szCs w:val="32"/>
        </w:rPr>
        <w:t>关知识产权证明文</w:t>
      </w:r>
      <w:bookmarkEnd w:id="0"/>
      <w:r>
        <w:rPr>
          <w:rFonts w:hint="eastAsia" w:ascii="仿宋_GB2312" w:hAnsi="仿宋_GB2312" w:eastAsia="仿宋_GB2312" w:cs="仿宋_GB2312"/>
          <w:color w:val="auto"/>
          <w:sz w:val="32"/>
          <w:szCs w:val="32"/>
        </w:rPr>
        <w:t>件</w:t>
      </w:r>
      <w:r>
        <w:rPr>
          <w:rFonts w:hint="eastAsia" w:ascii="仿宋_GB2312" w:hAnsi="仿宋_GB2312" w:eastAsia="仿宋_GB2312" w:cs="仿宋_GB2312"/>
          <w:color w:val="auto"/>
          <w:sz w:val="32"/>
          <w:szCs w:val="32"/>
          <w:lang w:eastAsia="zh-CN"/>
        </w:rPr>
        <w:t>。</w:t>
      </w:r>
    </w:p>
    <w:p/>
    <w:p>
      <w:pPr>
        <w:ind w:firstLine="640" w:firstLineChars="200"/>
        <w:rPr>
          <w:rFonts w:hint="eastAsia" w:ascii="Times New Roman" w:hAnsi="Times New Roman" w:eastAsia="仿宋_GB2312" w:cs="Times New Roman"/>
          <w:color w:val="000000"/>
          <w:sz w:val="32"/>
          <w:szCs w:val="32"/>
        </w:rPr>
      </w:pPr>
    </w:p>
    <w:sectPr>
      <w:footerReference r:id="rId3"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_GBK">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9EE90D1"/>
    <w:multiLevelType w:val="singleLevel"/>
    <w:tmpl w:val="A9EE90D1"/>
    <w:lvl w:ilvl="0" w:tentative="0">
      <w:start w:val="1"/>
      <w:numFmt w:val="chineseCounting"/>
      <w:suff w:val="nothing"/>
      <w:lvlText w:val="（%1）"/>
      <w:lvlJc w:val="left"/>
      <w:pPr>
        <w:ind w:left="0" w:firstLine="420"/>
      </w:pPr>
      <w:rPr>
        <w:rFonts w:hint="eastAsia"/>
      </w:rPr>
    </w:lvl>
  </w:abstractNum>
  <w:abstractNum w:abstractNumId="1">
    <w:nsid w:val="7A56F767"/>
    <w:multiLevelType w:val="singleLevel"/>
    <w:tmpl w:val="7A56F767"/>
    <w:lvl w:ilvl="0" w:tentative="0">
      <w:start w:val="1"/>
      <w:numFmt w:val="chineseCounting"/>
      <w:suff w:val="nothing"/>
      <w:lvlText w:val="%1、"/>
      <w:lvlJc w:val="left"/>
      <w:pPr>
        <w:ind w:left="0" w:firstLine="420"/>
      </w:pPr>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08A0BBA"/>
    <w:rsid w:val="03833EA9"/>
    <w:rsid w:val="04B643C3"/>
    <w:rsid w:val="108A0BBA"/>
    <w:rsid w:val="145A4B8A"/>
    <w:rsid w:val="17EE6A7C"/>
    <w:rsid w:val="18550D44"/>
    <w:rsid w:val="189A2440"/>
    <w:rsid w:val="18EE5415"/>
    <w:rsid w:val="1AD67071"/>
    <w:rsid w:val="217421E9"/>
    <w:rsid w:val="2ACE072B"/>
    <w:rsid w:val="2D7F3510"/>
    <w:rsid w:val="306057E7"/>
    <w:rsid w:val="31F36B17"/>
    <w:rsid w:val="361A25EE"/>
    <w:rsid w:val="3A947B9F"/>
    <w:rsid w:val="3BAE0C7A"/>
    <w:rsid w:val="3DA7060D"/>
    <w:rsid w:val="3E1B408A"/>
    <w:rsid w:val="44DD0AE7"/>
    <w:rsid w:val="462F3918"/>
    <w:rsid w:val="57234DD3"/>
    <w:rsid w:val="577EC426"/>
    <w:rsid w:val="5B830E92"/>
    <w:rsid w:val="5BC508A8"/>
    <w:rsid w:val="5E1E4EBD"/>
    <w:rsid w:val="5F3F16B8"/>
    <w:rsid w:val="5F9045BB"/>
    <w:rsid w:val="62973F22"/>
    <w:rsid w:val="635509B3"/>
    <w:rsid w:val="65850ADF"/>
    <w:rsid w:val="6BC75157"/>
    <w:rsid w:val="7138330C"/>
    <w:rsid w:val="7201245E"/>
    <w:rsid w:val="750174C4"/>
    <w:rsid w:val="75FC5EF6"/>
    <w:rsid w:val="76D62FA3"/>
    <w:rsid w:val="78087A08"/>
    <w:rsid w:val="EF1E817B"/>
    <w:rsid w:val="F36FC747"/>
    <w:rsid w:val="FFFEA5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sz w:val="21"/>
      <w:szCs w:val="22"/>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11</Company>
  <Pages>12</Pages>
  <Words>5856</Words>
  <Characters>5891</Characters>
  <Lines>0</Lines>
  <Paragraphs>0</Paragraphs>
  <TotalTime>12</TotalTime>
  <ScaleCrop>false</ScaleCrop>
  <LinksUpToDate>false</LinksUpToDate>
  <CharactersWithSpaces>5982</CharactersWithSpaces>
  <Application>WPS Office_11.8.2.10912_F1E327BC-269C-435d-A152-05C5408002CA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2024-12-31T11:25:00Z</dcterms:created>
  <dc:creator>袁芳</dc:creator>
  <cp:lastModifiedBy>袁芳</cp:lastModifiedBy>
  <dcterms:modified xsi:type="dcterms:W3CDTF">2025-02-26T03:52:11Z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2052-11.8.2.10912</vt:lpwstr>
  </property>
  <property fmtid="{D5CDD505-2E9C-101B-9397-08002B2CF9AE}" pid="3" name="ICV">
    <vt:lpwstr>5924300192B34ABFA468C25BDFAF3EEF</vt:lpwstr>
  </property>
  <property fmtid="{D5CDD505-2E9C-101B-9397-08002B2CF9AE}" pid="4" name="KSOTemplateDocerSaveRecord">
    <vt:lpwstr>eyJoZGlkIjoiMGYzNzhlMGJhMjIyY2I4NzZiNjI3MmVlYTEyOGE2OWEiLCJ1c2VySWQiOiIzNTM2MDE2NjAifQ==</vt:lpwstr>
  </property>
</Properties>
</file>