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114E80">
      <w:pPr>
        <w:widowControl/>
        <w:jc w:val="left"/>
        <w:textAlignment w:val="center"/>
        <w:rPr>
          <w:b/>
          <w:bCs/>
          <w:color w:val="000000"/>
          <w:kern w:val="0"/>
          <w:sz w:val="32"/>
          <w:szCs w:val="32"/>
          <w:lang w:bidi="ar"/>
        </w:rPr>
      </w:pPr>
      <w:r>
        <w:rPr>
          <w:rFonts w:ascii="黑体" w:eastAsia="黑体" w:hAnsi="黑体" w:cs="黑体" w:hint="eastAsia"/>
          <w:color w:val="000000"/>
          <w:kern w:val="0"/>
          <w:sz w:val="32"/>
          <w:szCs w:val="32"/>
          <w:lang w:bidi="ar"/>
        </w:rPr>
        <w:t>附件</w:t>
      </w:r>
    </w:p>
    <w:p w:rsidR="00000000" w:rsidRDefault="00114E80">
      <w:pPr>
        <w:tabs>
          <w:tab w:val="left" w:pos="7200"/>
          <w:tab w:val="left" w:pos="7380"/>
          <w:tab w:val="left" w:pos="7560"/>
        </w:tabs>
        <w:ind w:firstLineChars="200" w:firstLine="880"/>
        <w:jc w:val="center"/>
        <w:rPr>
          <w:rFonts w:eastAsia="仿宋_GB2312"/>
          <w:sz w:val="44"/>
          <w:szCs w:val="44"/>
        </w:rPr>
      </w:pPr>
      <w:r>
        <w:rPr>
          <w:rFonts w:ascii="方正小标宋简体" w:eastAsia="方正小标宋简体" w:hAnsi="方正小标宋简体" w:cs="方正小标宋简体" w:hint="eastAsia"/>
          <w:color w:val="000000"/>
          <w:kern w:val="0"/>
          <w:sz w:val="44"/>
          <w:szCs w:val="44"/>
          <w:lang w:bidi="ar"/>
        </w:rPr>
        <w:t>《医疗器械分类目录</w:t>
      </w:r>
      <w:r>
        <w:rPr>
          <w:rFonts w:ascii="方正小标宋简体" w:eastAsia="方正小标宋简体" w:hAnsi="方正小标宋简体" w:cs="方正小标宋简体" w:hint="eastAsia"/>
          <w:color w:val="000000"/>
          <w:kern w:val="0"/>
          <w:sz w:val="44"/>
          <w:szCs w:val="44"/>
          <w:lang w:bidi="ar"/>
        </w:rPr>
        <w:t>》部分内容调整表</w:t>
      </w:r>
    </w:p>
    <w:tbl>
      <w:tblPr>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
        <w:gridCol w:w="665"/>
        <w:gridCol w:w="651"/>
        <w:gridCol w:w="615"/>
        <w:gridCol w:w="1666"/>
        <w:gridCol w:w="1633"/>
        <w:gridCol w:w="1531"/>
        <w:gridCol w:w="567"/>
        <w:gridCol w:w="645"/>
        <w:gridCol w:w="985"/>
        <w:gridCol w:w="925"/>
        <w:gridCol w:w="1813"/>
        <w:gridCol w:w="1114"/>
        <w:gridCol w:w="1473"/>
        <w:gridCol w:w="567"/>
      </w:tblGrid>
      <w:tr w:rsidR="00000000">
        <w:trPr>
          <w:trHeight w:val="357"/>
          <w:tblHeader/>
          <w:jc w:val="center"/>
        </w:trPr>
        <w:tc>
          <w:tcPr>
            <w:tcW w:w="474" w:type="dxa"/>
            <w:vMerge w:val="restart"/>
            <w:vAlign w:val="center"/>
          </w:tcPr>
          <w:p w:rsidR="00000000" w:rsidRDefault="00114E80">
            <w:pPr>
              <w:spacing w:line="240" w:lineRule="exact"/>
              <w:jc w:val="center"/>
              <w:rPr>
                <w:bCs/>
                <w:color w:val="000000"/>
                <w:sz w:val="18"/>
                <w:szCs w:val="18"/>
              </w:rPr>
            </w:pPr>
            <w:r>
              <w:rPr>
                <w:rFonts w:eastAsia="黑体"/>
                <w:b/>
                <w:bCs/>
                <w:color w:val="000000"/>
                <w:sz w:val="18"/>
                <w:szCs w:val="18"/>
              </w:rPr>
              <w:t>序号</w:t>
            </w:r>
          </w:p>
        </w:tc>
        <w:tc>
          <w:tcPr>
            <w:tcW w:w="7328" w:type="dxa"/>
            <w:gridSpan w:val="7"/>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《医疗器械分类目录》内容</w:t>
            </w:r>
          </w:p>
        </w:tc>
        <w:tc>
          <w:tcPr>
            <w:tcW w:w="7522" w:type="dxa"/>
            <w:gridSpan w:val="7"/>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调整后《医疗器械分类目录》内容</w:t>
            </w:r>
          </w:p>
        </w:tc>
      </w:tr>
      <w:tr w:rsidR="00000000">
        <w:trPr>
          <w:trHeight w:val="986"/>
          <w:tblHeader/>
          <w:jc w:val="center"/>
        </w:trPr>
        <w:tc>
          <w:tcPr>
            <w:tcW w:w="474" w:type="dxa"/>
            <w:vMerge/>
            <w:vAlign w:val="center"/>
          </w:tcPr>
          <w:p w:rsidR="00000000" w:rsidRDefault="00114E80">
            <w:pPr>
              <w:spacing w:line="240" w:lineRule="exact"/>
              <w:jc w:val="center"/>
              <w:rPr>
                <w:rFonts w:eastAsia="黑体"/>
                <w:b/>
                <w:bCs/>
                <w:color w:val="000000"/>
                <w:sz w:val="18"/>
                <w:szCs w:val="18"/>
              </w:rPr>
            </w:pPr>
          </w:p>
        </w:tc>
        <w:tc>
          <w:tcPr>
            <w:tcW w:w="665" w:type="dxa"/>
            <w:vAlign w:val="center"/>
          </w:tcPr>
          <w:p w:rsidR="00000000" w:rsidRDefault="00114E80">
            <w:pPr>
              <w:widowControl/>
              <w:spacing w:line="240" w:lineRule="exact"/>
              <w:jc w:val="center"/>
              <w:textAlignment w:val="center"/>
              <w:rPr>
                <w:rFonts w:eastAsia="黑体"/>
                <w:b/>
                <w:bCs/>
                <w:color w:val="000000"/>
                <w:kern w:val="0"/>
                <w:sz w:val="18"/>
                <w:szCs w:val="18"/>
                <w:lang w:bidi="ar"/>
              </w:rPr>
            </w:pPr>
            <w:r>
              <w:rPr>
                <w:rFonts w:eastAsia="黑体"/>
                <w:b/>
                <w:bCs/>
                <w:color w:val="000000"/>
                <w:kern w:val="0"/>
                <w:sz w:val="18"/>
                <w:szCs w:val="18"/>
                <w:lang w:bidi="ar"/>
              </w:rPr>
              <w:t>子</w:t>
            </w:r>
          </w:p>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目录</w:t>
            </w:r>
          </w:p>
        </w:tc>
        <w:tc>
          <w:tcPr>
            <w:tcW w:w="651"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一级产品类别</w:t>
            </w:r>
          </w:p>
        </w:tc>
        <w:tc>
          <w:tcPr>
            <w:tcW w:w="615"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二级产品类别</w:t>
            </w:r>
          </w:p>
        </w:tc>
        <w:tc>
          <w:tcPr>
            <w:tcW w:w="1666"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产品描述</w:t>
            </w:r>
          </w:p>
        </w:tc>
        <w:tc>
          <w:tcPr>
            <w:tcW w:w="1633"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预期用途</w:t>
            </w:r>
          </w:p>
        </w:tc>
        <w:tc>
          <w:tcPr>
            <w:tcW w:w="1531"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品名举例</w:t>
            </w:r>
          </w:p>
        </w:tc>
        <w:tc>
          <w:tcPr>
            <w:tcW w:w="567"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管理类别</w:t>
            </w:r>
          </w:p>
        </w:tc>
        <w:tc>
          <w:tcPr>
            <w:tcW w:w="645" w:type="dxa"/>
            <w:vAlign w:val="center"/>
          </w:tcPr>
          <w:p w:rsidR="00000000" w:rsidRDefault="00114E80">
            <w:pPr>
              <w:widowControl/>
              <w:spacing w:line="240" w:lineRule="exact"/>
              <w:jc w:val="center"/>
              <w:textAlignment w:val="center"/>
              <w:rPr>
                <w:rFonts w:eastAsia="黑体"/>
                <w:b/>
                <w:bCs/>
                <w:color w:val="000000"/>
                <w:kern w:val="0"/>
                <w:sz w:val="18"/>
                <w:szCs w:val="18"/>
                <w:lang w:bidi="ar"/>
              </w:rPr>
            </w:pPr>
            <w:r>
              <w:rPr>
                <w:rFonts w:eastAsia="黑体"/>
                <w:b/>
                <w:bCs/>
                <w:color w:val="000000"/>
                <w:kern w:val="0"/>
                <w:sz w:val="18"/>
                <w:szCs w:val="18"/>
                <w:lang w:bidi="ar"/>
              </w:rPr>
              <w:t>子</w:t>
            </w:r>
          </w:p>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目录</w:t>
            </w:r>
          </w:p>
        </w:tc>
        <w:tc>
          <w:tcPr>
            <w:tcW w:w="985"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一级产品类别</w:t>
            </w:r>
          </w:p>
        </w:tc>
        <w:tc>
          <w:tcPr>
            <w:tcW w:w="925"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二级产品类别</w:t>
            </w:r>
          </w:p>
        </w:tc>
        <w:tc>
          <w:tcPr>
            <w:tcW w:w="1813"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产品描述</w:t>
            </w:r>
          </w:p>
        </w:tc>
        <w:tc>
          <w:tcPr>
            <w:tcW w:w="1114"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预期用途</w:t>
            </w:r>
          </w:p>
        </w:tc>
        <w:tc>
          <w:tcPr>
            <w:tcW w:w="1473"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品名举例</w:t>
            </w:r>
          </w:p>
        </w:tc>
        <w:tc>
          <w:tcPr>
            <w:tcW w:w="567" w:type="dxa"/>
            <w:vAlign w:val="center"/>
          </w:tcPr>
          <w:p w:rsidR="00000000" w:rsidRDefault="00114E80">
            <w:pPr>
              <w:widowControl/>
              <w:spacing w:line="240" w:lineRule="exact"/>
              <w:jc w:val="center"/>
              <w:textAlignment w:val="center"/>
              <w:rPr>
                <w:rFonts w:eastAsia="黑体"/>
                <w:b/>
                <w:bCs/>
                <w:color w:val="000000"/>
                <w:sz w:val="18"/>
                <w:szCs w:val="18"/>
              </w:rPr>
            </w:pPr>
            <w:r>
              <w:rPr>
                <w:rFonts w:eastAsia="黑体"/>
                <w:b/>
                <w:bCs/>
                <w:color w:val="000000"/>
                <w:kern w:val="0"/>
                <w:sz w:val="18"/>
                <w:szCs w:val="18"/>
                <w:lang w:bidi="ar"/>
              </w:rPr>
              <w:t>管理类别</w:t>
            </w:r>
          </w:p>
        </w:tc>
      </w:tr>
      <w:tr w:rsidR="00000000">
        <w:trPr>
          <w:trHeight w:val="2227"/>
          <w:jc w:val="center"/>
        </w:trPr>
        <w:tc>
          <w:tcPr>
            <w:tcW w:w="474" w:type="dxa"/>
            <w:vAlign w:val="center"/>
          </w:tcPr>
          <w:p w:rsidR="00000000" w:rsidRDefault="00114E80">
            <w:pPr>
              <w:widowControl/>
              <w:spacing w:line="240" w:lineRule="exact"/>
              <w:jc w:val="center"/>
              <w:rPr>
                <w:bCs/>
                <w:color w:val="000000"/>
                <w:kern w:val="0"/>
                <w:sz w:val="18"/>
                <w:szCs w:val="18"/>
              </w:rPr>
            </w:pPr>
            <w:r>
              <w:rPr>
                <w:bCs/>
                <w:color w:val="000000"/>
                <w:sz w:val="18"/>
                <w:szCs w:val="18"/>
              </w:rPr>
              <w:t>1</w:t>
            </w:r>
          </w:p>
        </w:tc>
        <w:tc>
          <w:tcPr>
            <w:tcW w:w="665" w:type="dxa"/>
            <w:vAlign w:val="center"/>
          </w:tcPr>
          <w:p w:rsidR="00000000" w:rsidRDefault="00114E80">
            <w:pPr>
              <w:widowControl/>
              <w:spacing w:line="240" w:lineRule="exact"/>
              <w:jc w:val="center"/>
              <w:rPr>
                <w:bCs/>
                <w:color w:val="000000"/>
                <w:kern w:val="0"/>
                <w:sz w:val="18"/>
                <w:szCs w:val="18"/>
              </w:rPr>
            </w:pPr>
            <w:r>
              <w:rPr>
                <w:bCs/>
                <w:color w:val="000000"/>
                <w:sz w:val="18"/>
                <w:szCs w:val="18"/>
              </w:rPr>
              <w:t>02</w:t>
            </w:r>
            <w:r>
              <w:rPr>
                <w:bCs/>
                <w:color w:val="000000"/>
                <w:sz w:val="18"/>
                <w:szCs w:val="18"/>
              </w:rPr>
              <w:t>无源手术器械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手术器械</w:t>
            </w:r>
            <w:r>
              <w:rPr>
                <w:bCs/>
                <w:color w:val="000000"/>
                <w:sz w:val="18"/>
                <w:szCs w:val="18"/>
              </w:rPr>
              <w:t>-</w:t>
            </w:r>
            <w:r>
              <w:rPr>
                <w:bCs/>
                <w:color w:val="000000"/>
                <w:sz w:val="18"/>
                <w:szCs w:val="18"/>
              </w:rPr>
              <w:t>牵开器</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扩张器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无源手术器械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手术器械</w:t>
            </w:r>
            <w:r>
              <w:rPr>
                <w:bCs/>
                <w:color w:val="000000"/>
                <w:sz w:val="18"/>
                <w:szCs w:val="18"/>
              </w:rPr>
              <w:t>-</w:t>
            </w:r>
            <w:r>
              <w:rPr>
                <w:bCs/>
                <w:color w:val="000000"/>
                <w:sz w:val="18"/>
                <w:szCs w:val="18"/>
              </w:rPr>
              <w:t>牵开器</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扩张器</w:t>
            </w:r>
          </w:p>
          <w:p w:rsidR="00000000" w:rsidRDefault="00114E80">
            <w:pPr>
              <w:spacing w:line="240" w:lineRule="exact"/>
              <w:jc w:val="center"/>
              <w:rPr>
                <w:bCs/>
                <w:color w:val="000000"/>
                <w:sz w:val="18"/>
                <w:szCs w:val="18"/>
              </w:rPr>
            </w:pP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通常由主操作鞘管、扩张器等组成。无菌提供。</w:t>
            </w:r>
            <w:r>
              <w:rPr>
                <w:bCs/>
                <w:color w:val="000000"/>
                <w:sz w:val="18"/>
                <w:szCs w:val="18"/>
              </w:rPr>
              <w:t xml:space="preserve"> </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用于微创手术前，在体外与手术部位中间建立一个手术所需的操作空间。</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内窥镜通道扩张器</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II</w:t>
            </w:r>
          </w:p>
        </w:tc>
      </w:tr>
      <w:tr w:rsidR="00000000">
        <w:trPr>
          <w:trHeight w:val="1926"/>
          <w:jc w:val="center"/>
        </w:trPr>
        <w:tc>
          <w:tcPr>
            <w:tcW w:w="474" w:type="dxa"/>
            <w:vAlign w:val="center"/>
          </w:tcPr>
          <w:p w:rsidR="00000000" w:rsidRDefault="00114E80">
            <w:pPr>
              <w:widowControl/>
              <w:spacing w:line="240" w:lineRule="exact"/>
              <w:jc w:val="center"/>
              <w:rPr>
                <w:bCs/>
                <w:color w:val="000000"/>
                <w:kern w:val="0"/>
                <w:sz w:val="18"/>
                <w:szCs w:val="18"/>
              </w:rPr>
            </w:pPr>
            <w:r>
              <w:rPr>
                <w:bCs/>
                <w:color w:val="000000"/>
                <w:sz w:val="18"/>
                <w:szCs w:val="18"/>
              </w:rPr>
              <w:t>2</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神经和心血管手术器械</w:t>
            </w:r>
          </w:p>
        </w:tc>
        <w:tc>
          <w:tcPr>
            <w:tcW w:w="651" w:type="dxa"/>
            <w:vAlign w:val="center"/>
          </w:tcPr>
          <w:p w:rsidR="00000000" w:rsidRDefault="00114E80">
            <w:pPr>
              <w:spacing w:line="240" w:lineRule="exact"/>
              <w:jc w:val="left"/>
              <w:rPr>
                <w:bCs/>
                <w:color w:val="000000"/>
                <w:sz w:val="18"/>
                <w:szCs w:val="18"/>
              </w:rPr>
            </w:pPr>
            <w:r>
              <w:rPr>
                <w:bCs/>
                <w:color w:val="000000"/>
                <w:sz w:val="18"/>
                <w:szCs w:val="18"/>
              </w:rPr>
              <w:t>05</w:t>
            </w:r>
            <w:r>
              <w:rPr>
                <w:bCs/>
                <w:color w:val="000000"/>
                <w:sz w:val="18"/>
                <w:szCs w:val="18"/>
              </w:rPr>
              <w:t>神经和心血管手术器械</w:t>
            </w:r>
            <w:r>
              <w:rPr>
                <w:bCs/>
                <w:color w:val="000000"/>
                <w:sz w:val="18"/>
                <w:szCs w:val="18"/>
              </w:rPr>
              <w:t>-</w:t>
            </w:r>
            <w:r>
              <w:rPr>
                <w:bCs/>
                <w:color w:val="000000"/>
                <w:sz w:val="18"/>
                <w:szCs w:val="18"/>
              </w:rPr>
              <w:t>夹</w:t>
            </w:r>
          </w:p>
        </w:tc>
        <w:tc>
          <w:tcPr>
            <w:tcW w:w="615" w:type="dxa"/>
            <w:vAlign w:val="center"/>
          </w:tcPr>
          <w:p w:rsidR="00000000" w:rsidRDefault="00114E80">
            <w:pPr>
              <w:spacing w:line="240" w:lineRule="exact"/>
              <w:rPr>
                <w:bCs/>
                <w:color w:val="000000"/>
                <w:sz w:val="18"/>
                <w:szCs w:val="18"/>
              </w:rPr>
            </w:pPr>
            <w:r>
              <w:rPr>
                <w:bCs/>
                <w:color w:val="000000"/>
                <w:sz w:val="18"/>
                <w:szCs w:val="18"/>
              </w:rPr>
              <w:t>02</w:t>
            </w:r>
            <w:r>
              <w:rPr>
                <w:bCs/>
                <w:color w:val="000000"/>
                <w:sz w:val="18"/>
                <w:szCs w:val="18"/>
              </w:rPr>
              <w:t>止血夹</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通常形状为</w:t>
            </w:r>
            <w:r>
              <w:rPr>
                <w:bCs/>
                <w:color w:val="000000"/>
                <w:sz w:val="18"/>
                <w:szCs w:val="18"/>
              </w:rPr>
              <w:t>V</w:t>
            </w:r>
            <w:r>
              <w:rPr>
                <w:bCs/>
                <w:color w:val="000000"/>
                <w:sz w:val="18"/>
                <w:szCs w:val="18"/>
              </w:rPr>
              <w:t>型。一般采用金属纯银（纯度大于</w:t>
            </w:r>
            <w:r>
              <w:rPr>
                <w:bCs/>
                <w:color w:val="000000"/>
                <w:sz w:val="18"/>
                <w:szCs w:val="18"/>
              </w:rPr>
              <w:t>99.9%</w:t>
            </w:r>
            <w:r>
              <w:rPr>
                <w:bCs/>
                <w:color w:val="000000"/>
                <w:sz w:val="18"/>
                <w:szCs w:val="18"/>
              </w:rPr>
              <w:t>）、纯钛和纯钽等金属材料制成。非无菌提供，一次性使用。</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用于脑部手术时夹闭小血管和管状组织，以止血。也可用于腹腔等微创手术。术后不取出。</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银夹</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神经和心血管手术器械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神经和心血管手术器械</w:t>
            </w:r>
            <w:r>
              <w:rPr>
                <w:bCs/>
                <w:color w:val="000000"/>
                <w:sz w:val="18"/>
                <w:szCs w:val="18"/>
              </w:rPr>
              <w:t>-</w:t>
            </w:r>
            <w:r>
              <w:rPr>
                <w:bCs/>
                <w:color w:val="000000"/>
                <w:sz w:val="18"/>
                <w:szCs w:val="18"/>
              </w:rPr>
              <w:t>夹</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止血夹</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通常形状为</w:t>
            </w:r>
            <w:r>
              <w:rPr>
                <w:bCs/>
                <w:color w:val="000000"/>
                <w:sz w:val="18"/>
                <w:szCs w:val="18"/>
              </w:rPr>
              <w:t>V</w:t>
            </w:r>
            <w:r>
              <w:rPr>
                <w:bCs/>
                <w:color w:val="000000"/>
                <w:sz w:val="18"/>
                <w:szCs w:val="18"/>
              </w:rPr>
              <w:t>型。一般采用金属纯银（纯度大于</w:t>
            </w:r>
            <w:r>
              <w:rPr>
                <w:bCs/>
                <w:color w:val="000000"/>
                <w:sz w:val="18"/>
                <w:szCs w:val="18"/>
              </w:rPr>
              <w:t>99.9%</w:t>
            </w:r>
            <w:r>
              <w:rPr>
                <w:bCs/>
                <w:color w:val="000000"/>
                <w:sz w:val="18"/>
                <w:szCs w:val="18"/>
              </w:rPr>
              <w:t>）、纯钛和纯钽等金属材料制成。</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2206"/>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3</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骨科</w:t>
            </w:r>
            <w:r>
              <w:rPr>
                <w:bCs/>
                <w:color w:val="000000"/>
                <w:sz w:val="18"/>
                <w:szCs w:val="18"/>
              </w:rPr>
              <w:t>手术</w:t>
            </w:r>
            <w:r>
              <w:rPr>
                <w:bCs/>
                <w:color w:val="000000"/>
                <w:sz w:val="18"/>
                <w:szCs w:val="18"/>
              </w:rPr>
              <w:t>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骨科用针</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探针</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通常由尖端含传感器的</w:t>
            </w:r>
            <w:r>
              <w:rPr>
                <w:bCs/>
                <w:color w:val="000000"/>
                <w:sz w:val="18"/>
                <w:szCs w:val="18"/>
              </w:rPr>
              <w:t>探针、含电路的手柄等组成。通过测量和分析不同组织的电阻，检测并反馈探头尖端与软组织的接触情况。</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用于判断是否出现椎骨皮质穿孔。</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脊柱探针</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骨科</w:t>
            </w:r>
            <w:r>
              <w:rPr>
                <w:bCs/>
                <w:color w:val="000000"/>
                <w:sz w:val="18"/>
                <w:szCs w:val="18"/>
              </w:rPr>
              <w:t>手术</w:t>
            </w:r>
            <w:r>
              <w:rPr>
                <w:bCs/>
                <w:color w:val="000000"/>
                <w:sz w:val="18"/>
                <w:szCs w:val="18"/>
              </w:rPr>
              <w:t>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骨科用针</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探针</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通常由尖端含传感器的探针、含电路的手柄等组成。通过测量和分析不同组织的电阻，检测并反馈探针尖端与软组织的接触情况。</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r>
      <w:tr w:rsidR="00000000">
        <w:trPr>
          <w:trHeight w:val="3939"/>
          <w:jc w:val="center"/>
        </w:trPr>
        <w:tc>
          <w:tcPr>
            <w:tcW w:w="474" w:type="dxa"/>
            <w:vAlign w:val="center"/>
          </w:tcPr>
          <w:p w:rsidR="00000000" w:rsidRDefault="00114E80">
            <w:pPr>
              <w:widowControl/>
              <w:spacing w:line="240" w:lineRule="exact"/>
              <w:jc w:val="center"/>
              <w:rPr>
                <w:bCs/>
                <w:color w:val="000000"/>
                <w:kern w:val="0"/>
                <w:sz w:val="18"/>
                <w:szCs w:val="18"/>
              </w:rPr>
            </w:pPr>
            <w:r>
              <w:rPr>
                <w:bCs/>
                <w:color w:val="000000"/>
                <w:sz w:val="18"/>
                <w:szCs w:val="18"/>
              </w:rPr>
              <w:lastRenderedPageBreak/>
              <w:t>4</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骨科</w:t>
            </w:r>
            <w:r>
              <w:rPr>
                <w:bCs/>
                <w:color w:val="000000"/>
                <w:sz w:val="18"/>
                <w:szCs w:val="18"/>
              </w:rPr>
              <w:t>手术</w:t>
            </w:r>
            <w:r>
              <w:rPr>
                <w:bCs/>
                <w:color w:val="000000"/>
                <w:sz w:val="18"/>
                <w:szCs w:val="18"/>
              </w:rPr>
              <w:t>器械</w:t>
            </w:r>
          </w:p>
        </w:tc>
        <w:tc>
          <w:tcPr>
            <w:tcW w:w="651" w:type="dxa"/>
            <w:vAlign w:val="center"/>
          </w:tcPr>
          <w:p w:rsidR="00000000" w:rsidRDefault="00114E80">
            <w:pPr>
              <w:spacing w:line="240" w:lineRule="exact"/>
              <w:jc w:val="left"/>
              <w:rPr>
                <w:bCs/>
                <w:color w:val="000000"/>
                <w:sz w:val="18"/>
                <w:szCs w:val="18"/>
              </w:rPr>
            </w:pPr>
            <w:r>
              <w:rPr>
                <w:bCs/>
                <w:color w:val="000000"/>
                <w:sz w:val="18"/>
                <w:szCs w:val="18"/>
              </w:rPr>
              <w:t>12</w:t>
            </w:r>
            <w:r>
              <w:rPr>
                <w:bCs/>
                <w:color w:val="000000"/>
                <w:sz w:val="18"/>
                <w:szCs w:val="18"/>
              </w:rPr>
              <w:t>骨科用有源器械</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骨科动力手术设备</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通常由电钻主机和支架组成。</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与抽吸系统配合使用，用于成人和儿科患者的前路或后路髂嵴骨髓抽吸以及成人患者的前路或后路髂嵴骨髓针芯</w:t>
            </w:r>
            <w:r>
              <w:rPr>
                <w:bCs/>
                <w:color w:val="000000"/>
                <w:sz w:val="18"/>
                <w:szCs w:val="18"/>
              </w:rPr>
              <w:t>活检。</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骨髓抽吸和活检系统电钻</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骨科</w:t>
            </w:r>
            <w:r>
              <w:rPr>
                <w:bCs/>
                <w:color w:val="000000"/>
                <w:sz w:val="18"/>
                <w:szCs w:val="18"/>
              </w:rPr>
              <w:t>手术</w:t>
            </w:r>
            <w:r>
              <w:rPr>
                <w:bCs/>
                <w:color w:val="000000"/>
                <w:sz w:val="18"/>
                <w:szCs w:val="18"/>
              </w:rPr>
              <w:t>器械</w:t>
            </w:r>
          </w:p>
        </w:tc>
        <w:tc>
          <w:tcPr>
            <w:tcW w:w="985" w:type="dxa"/>
            <w:vAlign w:val="center"/>
          </w:tcPr>
          <w:p w:rsidR="00000000" w:rsidRDefault="00114E80">
            <w:pPr>
              <w:spacing w:line="240" w:lineRule="exact"/>
              <w:jc w:val="left"/>
              <w:rPr>
                <w:bCs/>
                <w:color w:val="000000"/>
                <w:sz w:val="18"/>
                <w:szCs w:val="18"/>
              </w:rPr>
            </w:pPr>
            <w:r>
              <w:rPr>
                <w:bCs/>
                <w:color w:val="000000"/>
                <w:sz w:val="18"/>
                <w:szCs w:val="18"/>
              </w:rPr>
              <w:t>12</w:t>
            </w:r>
            <w:r>
              <w:rPr>
                <w:bCs/>
                <w:color w:val="000000"/>
                <w:sz w:val="18"/>
                <w:szCs w:val="18"/>
              </w:rPr>
              <w:t>骨科用有源器械</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骨科动力手术设备</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与抽吸系统配合使用，用于成人和儿科患者的前路或后路髂嵴骨髓抽吸以及成人患者的前路或后路髂嵴骨组织（如骨髓等）针芯活检。</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2430"/>
          <w:jc w:val="center"/>
        </w:trPr>
        <w:tc>
          <w:tcPr>
            <w:tcW w:w="474" w:type="dxa"/>
            <w:vMerge w:val="restart"/>
            <w:vAlign w:val="center"/>
          </w:tcPr>
          <w:p w:rsidR="00000000" w:rsidRDefault="00114E80">
            <w:pPr>
              <w:spacing w:line="240" w:lineRule="exact"/>
              <w:jc w:val="center"/>
              <w:rPr>
                <w:bCs/>
                <w:color w:val="000000"/>
                <w:sz w:val="18"/>
                <w:szCs w:val="18"/>
              </w:rPr>
            </w:pPr>
            <w:r>
              <w:rPr>
                <w:bCs/>
                <w:color w:val="000000"/>
                <w:sz w:val="18"/>
                <w:szCs w:val="18"/>
              </w:rPr>
              <w:t>5</w:t>
            </w:r>
          </w:p>
        </w:tc>
        <w:tc>
          <w:tcPr>
            <w:tcW w:w="665" w:type="dxa"/>
            <w:vMerge w:val="restart"/>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医用成像器械</w:t>
            </w:r>
          </w:p>
        </w:tc>
        <w:tc>
          <w:tcPr>
            <w:tcW w:w="651" w:type="dxa"/>
            <w:vMerge w:val="restart"/>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诊断</w:t>
            </w:r>
            <w:r>
              <w:rPr>
                <w:bCs/>
                <w:color w:val="000000"/>
                <w:sz w:val="18"/>
                <w:szCs w:val="18"/>
              </w:rPr>
              <w:t>X</w:t>
            </w:r>
            <w:r>
              <w:rPr>
                <w:bCs/>
                <w:color w:val="000000"/>
                <w:sz w:val="18"/>
                <w:szCs w:val="18"/>
              </w:rPr>
              <w:t>射线机</w:t>
            </w:r>
          </w:p>
        </w:tc>
        <w:tc>
          <w:tcPr>
            <w:tcW w:w="615" w:type="dxa"/>
            <w:vMerge w:val="restart"/>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移动式</w:t>
            </w:r>
            <w:r>
              <w:rPr>
                <w:bCs/>
                <w:color w:val="000000"/>
                <w:sz w:val="18"/>
                <w:szCs w:val="18"/>
              </w:rPr>
              <w:t>C</w:t>
            </w:r>
            <w:r>
              <w:rPr>
                <w:bCs/>
                <w:color w:val="000000"/>
                <w:sz w:val="18"/>
                <w:szCs w:val="18"/>
              </w:rPr>
              <w:t>形臂</w:t>
            </w:r>
            <w:r>
              <w:rPr>
                <w:bCs/>
                <w:color w:val="000000"/>
                <w:sz w:val="18"/>
                <w:szCs w:val="18"/>
              </w:rPr>
              <w:t>X</w:t>
            </w:r>
            <w:r>
              <w:rPr>
                <w:bCs/>
                <w:color w:val="000000"/>
                <w:sz w:val="18"/>
                <w:szCs w:val="18"/>
              </w:rPr>
              <w:t>射线机</w:t>
            </w:r>
          </w:p>
        </w:tc>
        <w:tc>
          <w:tcPr>
            <w:tcW w:w="1666" w:type="dxa"/>
            <w:vMerge w:val="restart"/>
            <w:vAlign w:val="center"/>
          </w:tcPr>
          <w:p w:rsidR="00000000" w:rsidRDefault="00114E80">
            <w:pPr>
              <w:spacing w:line="240" w:lineRule="exact"/>
              <w:jc w:val="center"/>
              <w:rPr>
                <w:bCs/>
                <w:color w:val="000000"/>
                <w:sz w:val="18"/>
                <w:szCs w:val="18"/>
              </w:rPr>
            </w:pPr>
            <w:r>
              <w:rPr>
                <w:bCs/>
                <w:color w:val="000000"/>
                <w:sz w:val="18"/>
                <w:szCs w:val="18"/>
              </w:rPr>
              <w:t>通常由移动式</w:t>
            </w:r>
            <w:r>
              <w:rPr>
                <w:bCs/>
                <w:color w:val="000000"/>
                <w:sz w:val="18"/>
                <w:szCs w:val="18"/>
              </w:rPr>
              <w:t>C</w:t>
            </w:r>
            <w:r>
              <w:rPr>
                <w:bCs/>
                <w:color w:val="000000"/>
                <w:sz w:val="18"/>
                <w:szCs w:val="18"/>
              </w:rPr>
              <w:t>形臂支架、</w:t>
            </w:r>
            <w:r>
              <w:rPr>
                <w:bCs/>
                <w:color w:val="000000"/>
                <w:sz w:val="18"/>
                <w:szCs w:val="18"/>
              </w:rPr>
              <w:t>X</w:t>
            </w:r>
            <w:r>
              <w:rPr>
                <w:bCs/>
                <w:color w:val="000000"/>
                <w:sz w:val="18"/>
                <w:szCs w:val="18"/>
              </w:rPr>
              <w:t>射线发生装置、影像增强器电视系统或数字平板探测器成像系统等组成。</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用于外科手术透视及摄影，且带有数字化体层摄影和</w:t>
            </w:r>
            <w:r>
              <w:rPr>
                <w:bCs/>
                <w:color w:val="000000"/>
                <w:sz w:val="18"/>
                <w:szCs w:val="18"/>
              </w:rPr>
              <w:t>/</w:t>
            </w:r>
            <w:r>
              <w:rPr>
                <w:bCs/>
                <w:color w:val="000000"/>
                <w:sz w:val="18"/>
                <w:szCs w:val="18"/>
              </w:rPr>
              <w:t>或数字减影血管造影功能，获得影像供临床诊断用。</w:t>
            </w:r>
          </w:p>
        </w:tc>
        <w:tc>
          <w:tcPr>
            <w:tcW w:w="1531" w:type="dxa"/>
            <w:vMerge w:val="restart"/>
            <w:vAlign w:val="center"/>
          </w:tcPr>
          <w:p w:rsidR="00000000" w:rsidRDefault="00114E80">
            <w:pPr>
              <w:spacing w:line="240" w:lineRule="exact"/>
              <w:jc w:val="center"/>
              <w:rPr>
                <w:bCs/>
                <w:color w:val="000000"/>
                <w:sz w:val="18"/>
                <w:szCs w:val="18"/>
              </w:rPr>
            </w:pPr>
            <w:r>
              <w:rPr>
                <w:bCs/>
                <w:color w:val="000000"/>
                <w:sz w:val="18"/>
                <w:szCs w:val="18"/>
              </w:rPr>
              <w:t>移动式</w:t>
            </w:r>
            <w:r>
              <w:rPr>
                <w:bCs/>
                <w:color w:val="000000"/>
                <w:sz w:val="18"/>
                <w:szCs w:val="18"/>
              </w:rPr>
              <w:t>C</w:t>
            </w:r>
            <w:r>
              <w:rPr>
                <w:bCs/>
                <w:color w:val="000000"/>
                <w:sz w:val="18"/>
                <w:szCs w:val="18"/>
              </w:rPr>
              <w:t>形臂</w:t>
            </w:r>
            <w:r>
              <w:rPr>
                <w:bCs/>
                <w:color w:val="000000"/>
                <w:sz w:val="18"/>
                <w:szCs w:val="18"/>
              </w:rPr>
              <w:t>X</w:t>
            </w:r>
            <w:r>
              <w:rPr>
                <w:bCs/>
                <w:color w:val="000000"/>
                <w:sz w:val="18"/>
                <w:szCs w:val="18"/>
              </w:rPr>
              <w:t>射</w:t>
            </w:r>
            <w:r>
              <w:rPr>
                <w:bCs/>
                <w:color w:val="000000"/>
                <w:sz w:val="18"/>
                <w:szCs w:val="18"/>
              </w:rPr>
              <w:t>线机</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Merge w:val="restart"/>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医用成像器械</w:t>
            </w:r>
          </w:p>
        </w:tc>
        <w:tc>
          <w:tcPr>
            <w:tcW w:w="985" w:type="dxa"/>
            <w:vMerge w:val="restart"/>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诊断</w:t>
            </w:r>
            <w:r>
              <w:rPr>
                <w:bCs/>
                <w:color w:val="000000"/>
                <w:sz w:val="18"/>
                <w:szCs w:val="18"/>
              </w:rPr>
              <w:t>X</w:t>
            </w:r>
            <w:r>
              <w:rPr>
                <w:bCs/>
                <w:color w:val="000000"/>
                <w:sz w:val="18"/>
                <w:szCs w:val="18"/>
              </w:rPr>
              <w:t>射线机</w:t>
            </w:r>
          </w:p>
        </w:tc>
        <w:tc>
          <w:tcPr>
            <w:tcW w:w="925" w:type="dxa"/>
            <w:vMerge w:val="restart"/>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移动式</w:t>
            </w:r>
            <w:r>
              <w:rPr>
                <w:bCs/>
                <w:color w:val="000000"/>
                <w:sz w:val="18"/>
                <w:szCs w:val="18"/>
              </w:rPr>
              <w:t>C</w:t>
            </w:r>
            <w:r>
              <w:rPr>
                <w:bCs/>
                <w:color w:val="000000"/>
                <w:sz w:val="18"/>
                <w:szCs w:val="18"/>
              </w:rPr>
              <w:t>形、</w:t>
            </w:r>
            <w:r>
              <w:rPr>
                <w:bCs/>
                <w:color w:val="000000"/>
                <w:sz w:val="18"/>
                <w:szCs w:val="18"/>
              </w:rPr>
              <w:t>G</w:t>
            </w:r>
            <w:r>
              <w:rPr>
                <w:bCs/>
                <w:color w:val="000000"/>
                <w:sz w:val="18"/>
                <w:szCs w:val="18"/>
              </w:rPr>
              <w:t>形、</w:t>
            </w:r>
            <w:r>
              <w:rPr>
                <w:bCs/>
                <w:color w:val="000000"/>
                <w:sz w:val="18"/>
                <w:szCs w:val="18"/>
              </w:rPr>
              <w:t>O</w:t>
            </w:r>
            <w:r>
              <w:rPr>
                <w:bCs/>
                <w:color w:val="000000"/>
                <w:sz w:val="18"/>
                <w:szCs w:val="18"/>
              </w:rPr>
              <w:t>形臂</w:t>
            </w:r>
            <w:r>
              <w:rPr>
                <w:bCs/>
                <w:color w:val="000000"/>
                <w:sz w:val="18"/>
                <w:szCs w:val="18"/>
              </w:rPr>
              <w:t>X</w:t>
            </w:r>
            <w:r>
              <w:rPr>
                <w:bCs/>
                <w:color w:val="000000"/>
                <w:sz w:val="18"/>
                <w:szCs w:val="18"/>
              </w:rPr>
              <w:t>射线机</w:t>
            </w:r>
          </w:p>
        </w:tc>
        <w:tc>
          <w:tcPr>
            <w:tcW w:w="1813" w:type="dxa"/>
            <w:vMerge w:val="restart"/>
            <w:vAlign w:val="center"/>
          </w:tcPr>
          <w:p w:rsidR="00000000" w:rsidRDefault="00114E80">
            <w:pPr>
              <w:spacing w:line="240" w:lineRule="exact"/>
              <w:jc w:val="center"/>
              <w:rPr>
                <w:bCs/>
                <w:color w:val="000000"/>
                <w:sz w:val="18"/>
                <w:szCs w:val="18"/>
              </w:rPr>
            </w:pPr>
            <w:r>
              <w:rPr>
                <w:bCs/>
                <w:color w:val="000000"/>
                <w:sz w:val="18"/>
                <w:szCs w:val="18"/>
              </w:rPr>
              <w:t>通常由移动式</w:t>
            </w:r>
            <w:r>
              <w:rPr>
                <w:bCs/>
                <w:color w:val="000000"/>
                <w:sz w:val="18"/>
                <w:szCs w:val="18"/>
              </w:rPr>
              <w:t>C</w:t>
            </w:r>
            <w:r>
              <w:rPr>
                <w:bCs/>
                <w:color w:val="000000"/>
                <w:sz w:val="18"/>
                <w:szCs w:val="18"/>
              </w:rPr>
              <w:t>形（或</w:t>
            </w:r>
            <w:r>
              <w:rPr>
                <w:bCs/>
                <w:color w:val="000000"/>
                <w:sz w:val="18"/>
                <w:szCs w:val="18"/>
              </w:rPr>
              <w:t>O</w:t>
            </w:r>
            <w:r>
              <w:rPr>
                <w:bCs/>
                <w:color w:val="000000"/>
                <w:sz w:val="18"/>
                <w:szCs w:val="18"/>
              </w:rPr>
              <w:t>形、</w:t>
            </w:r>
            <w:r>
              <w:rPr>
                <w:bCs/>
                <w:color w:val="000000"/>
                <w:sz w:val="18"/>
                <w:szCs w:val="18"/>
              </w:rPr>
              <w:t>G</w:t>
            </w:r>
            <w:r>
              <w:rPr>
                <w:bCs/>
                <w:color w:val="000000"/>
                <w:sz w:val="18"/>
                <w:szCs w:val="18"/>
              </w:rPr>
              <w:t>形）臂支架、</w:t>
            </w:r>
            <w:r>
              <w:rPr>
                <w:bCs/>
                <w:color w:val="000000"/>
                <w:sz w:val="18"/>
                <w:szCs w:val="18"/>
              </w:rPr>
              <w:t>X</w:t>
            </w:r>
            <w:r>
              <w:rPr>
                <w:bCs/>
                <w:color w:val="000000"/>
                <w:sz w:val="18"/>
                <w:szCs w:val="18"/>
              </w:rPr>
              <w:t>射线发生装置、影像增强器电视系统或数字平板探测器成像系统等组成。</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Merge w:val="restart"/>
            <w:vAlign w:val="center"/>
          </w:tcPr>
          <w:p w:rsidR="00000000" w:rsidRDefault="00114E80">
            <w:pPr>
              <w:spacing w:line="240" w:lineRule="exact"/>
              <w:jc w:val="center"/>
              <w:rPr>
                <w:bCs/>
                <w:color w:val="000000"/>
                <w:sz w:val="18"/>
                <w:szCs w:val="18"/>
              </w:rPr>
            </w:pPr>
            <w:r>
              <w:rPr>
                <w:bCs/>
                <w:color w:val="000000"/>
                <w:sz w:val="18"/>
                <w:szCs w:val="18"/>
              </w:rPr>
              <w:t>移动式</w:t>
            </w:r>
            <w:r>
              <w:rPr>
                <w:bCs/>
                <w:color w:val="000000"/>
                <w:sz w:val="18"/>
                <w:szCs w:val="18"/>
              </w:rPr>
              <w:t>C</w:t>
            </w:r>
            <w:r>
              <w:rPr>
                <w:bCs/>
                <w:color w:val="000000"/>
                <w:sz w:val="18"/>
                <w:szCs w:val="18"/>
              </w:rPr>
              <w:t>形臂</w:t>
            </w:r>
            <w:r>
              <w:rPr>
                <w:bCs/>
                <w:color w:val="000000"/>
                <w:sz w:val="18"/>
                <w:szCs w:val="18"/>
              </w:rPr>
              <w:t>X</w:t>
            </w:r>
            <w:r>
              <w:rPr>
                <w:bCs/>
                <w:color w:val="000000"/>
                <w:sz w:val="18"/>
                <w:szCs w:val="18"/>
              </w:rPr>
              <w:t>射线机、移动式</w:t>
            </w:r>
            <w:r>
              <w:rPr>
                <w:bCs/>
                <w:color w:val="000000"/>
                <w:sz w:val="18"/>
                <w:szCs w:val="18"/>
              </w:rPr>
              <w:t>O</w:t>
            </w:r>
            <w:r>
              <w:rPr>
                <w:bCs/>
                <w:color w:val="000000"/>
                <w:sz w:val="18"/>
                <w:szCs w:val="18"/>
              </w:rPr>
              <w:t>形臂</w:t>
            </w:r>
            <w:r>
              <w:rPr>
                <w:bCs/>
                <w:color w:val="000000"/>
                <w:sz w:val="18"/>
                <w:szCs w:val="18"/>
              </w:rPr>
              <w:t>X</w:t>
            </w:r>
            <w:r>
              <w:rPr>
                <w:bCs/>
                <w:color w:val="000000"/>
                <w:sz w:val="18"/>
                <w:szCs w:val="18"/>
              </w:rPr>
              <w:t>射线机、移动式</w:t>
            </w:r>
            <w:r>
              <w:rPr>
                <w:bCs/>
                <w:color w:val="000000"/>
                <w:sz w:val="18"/>
                <w:szCs w:val="18"/>
              </w:rPr>
              <w:t>G</w:t>
            </w:r>
            <w:r>
              <w:rPr>
                <w:bCs/>
                <w:color w:val="000000"/>
                <w:sz w:val="18"/>
                <w:szCs w:val="18"/>
              </w:rPr>
              <w:t>形臂</w:t>
            </w:r>
            <w:r>
              <w:rPr>
                <w:bCs/>
                <w:color w:val="000000"/>
                <w:sz w:val="18"/>
                <w:szCs w:val="18"/>
              </w:rPr>
              <w:t>X</w:t>
            </w:r>
            <w:r>
              <w:rPr>
                <w:bCs/>
                <w:color w:val="000000"/>
                <w:sz w:val="18"/>
                <w:szCs w:val="18"/>
              </w:rPr>
              <w:t>射线机</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284"/>
          <w:jc w:val="center"/>
        </w:trPr>
        <w:tc>
          <w:tcPr>
            <w:tcW w:w="474" w:type="dxa"/>
            <w:vMerge/>
            <w:vAlign w:val="center"/>
          </w:tcPr>
          <w:p w:rsidR="00000000" w:rsidRDefault="00114E80">
            <w:pPr>
              <w:spacing w:line="240" w:lineRule="exact"/>
              <w:jc w:val="center"/>
              <w:rPr>
                <w:bCs/>
                <w:color w:val="000000"/>
                <w:sz w:val="18"/>
                <w:szCs w:val="18"/>
              </w:rPr>
            </w:pPr>
          </w:p>
        </w:tc>
        <w:tc>
          <w:tcPr>
            <w:tcW w:w="665" w:type="dxa"/>
            <w:vMerge/>
            <w:vAlign w:val="center"/>
          </w:tcPr>
          <w:p w:rsidR="00000000" w:rsidRDefault="00114E80">
            <w:pPr>
              <w:spacing w:line="240" w:lineRule="exact"/>
              <w:jc w:val="center"/>
              <w:rPr>
                <w:bCs/>
                <w:color w:val="000000"/>
                <w:sz w:val="18"/>
                <w:szCs w:val="18"/>
              </w:rPr>
            </w:pPr>
          </w:p>
        </w:tc>
        <w:tc>
          <w:tcPr>
            <w:tcW w:w="651" w:type="dxa"/>
            <w:vMerge/>
            <w:vAlign w:val="center"/>
          </w:tcPr>
          <w:p w:rsidR="00000000" w:rsidRDefault="00114E80">
            <w:pPr>
              <w:spacing w:line="240" w:lineRule="exact"/>
              <w:jc w:val="center"/>
              <w:rPr>
                <w:bCs/>
                <w:color w:val="000000"/>
                <w:sz w:val="18"/>
                <w:szCs w:val="18"/>
              </w:rPr>
            </w:pPr>
          </w:p>
        </w:tc>
        <w:tc>
          <w:tcPr>
            <w:tcW w:w="615" w:type="dxa"/>
            <w:vMerge/>
            <w:vAlign w:val="center"/>
          </w:tcPr>
          <w:p w:rsidR="00000000" w:rsidRDefault="00114E80">
            <w:pPr>
              <w:spacing w:line="240" w:lineRule="exact"/>
              <w:jc w:val="center"/>
              <w:rPr>
                <w:bCs/>
                <w:color w:val="000000"/>
                <w:sz w:val="18"/>
                <w:szCs w:val="18"/>
              </w:rPr>
            </w:pPr>
          </w:p>
        </w:tc>
        <w:tc>
          <w:tcPr>
            <w:tcW w:w="1666" w:type="dxa"/>
            <w:vMerge/>
            <w:vAlign w:val="center"/>
          </w:tcPr>
          <w:p w:rsidR="00000000" w:rsidRDefault="00114E80">
            <w:pPr>
              <w:spacing w:line="240" w:lineRule="exact"/>
              <w:jc w:val="center"/>
              <w:rPr>
                <w:bCs/>
                <w:color w:val="000000"/>
                <w:sz w:val="18"/>
                <w:szCs w:val="18"/>
              </w:rPr>
            </w:pP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用于外科手术透视及摄影，获得影像供临床诊断用。</w:t>
            </w:r>
          </w:p>
        </w:tc>
        <w:tc>
          <w:tcPr>
            <w:tcW w:w="1531" w:type="dxa"/>
            <w:vMerge/>
            <w:vAlign w:val="center"/>
          </w:tcPr>
          <w:p w:rsidR="00000000" w:rsidRDefault="00114E80">
            <w:pPr>
              <w:spacing w:line="240" w:lineRule="exact"/>
              <w:jc w:val="center"/>
              <w:rPr>
                <w:bCs/>
                <w:color w:val="000000"/>
                <w:sz w:val="18"/>
                <w:szCs w:val="18"/>
              </w:rPr>
            </w:pP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Merge/>
            <w:vAlign w:val="center"/>
          </w:tcPr>
          <w:p w:rsidR="00000000" w:rsidRDefault="00114E80">
            <w:pPr>
              <w:spacing w:line="240" w:lineRule="exact"/>
              <w:jc w:val="center"/>
              <w:rPr>
                <w:bCs/>
                <w:color w:val="000000"/>
                <w:sz w:val="18"/>
                <w:szCs w:val="18"/>
              </w:rPr>
            </w:pPr>
          </w:p>
        </w:tc>
        <w:tc>
          <w:tcPr>
            <w:tcW w:w="985" w:type="dxa"/>
            <w:vMerge/>
            <w:vAlign w:val="center"/>
          </w:tcPr>
          <w:p w:rsidR="00000000" w:rsidRDefault="00114E80">
            <w:pPr>
              <w:spacing w:line="240" w:lineRule="exact"/>
              <w:jc w:val="center"/>
              <w:rPr>
                <w:bCs/>
                <w:color w:val="000000"/>
                <w:sz w:val="18"/>
                <w:szCs w:val="18"/>
              </w:rPr>
            </w:pPr>
          </w:p>
        </w:tc>
        <w:tc>
          <w:tcPr>
            <w:tcW w:w="925" w:type="dxa"/>
            <w:vMerge/>
            <w:vAlign w:val="center"/>
          </w:tcPr>
          <w:p w:rsidR="00000000" w:rsidRDefault="00114E80">
            <w:pPr>
              <w:spacing w:line="240" w:lineRule="exact"/>
              <w:jc w:val="center"/>
              <w:rPr>
                <w:bCs/>
                <w:color w:val="000000"/>
                <w:sz w:val="18"/>
                <w:szCs w:val="18"/>
              </w:rPr>
            </w:pPr>
          </w:p>
        </w:tc>
        <w:tc>
          <w:tcPr>
            <w:tcW w:w="1813" w:type="dxa"/>
            <w:vMerge/>
            <w:vAlign w:val="center"/>
          </w:tcPr>
          <w:p w:rsidR="00000000" w:rsidRDefault="00114E80">
            <w:pPr>
              <w:spacing w:line="240" w:lineRule="exact"/>
              <w:jc w:val="center"/>
              <w:rPr>
                <w:bCs/>
                <w:color w:val="000000"/>
                <w:sz w:val="18"/>
                <w:szCs w:val="18"/>
              </w:rPr>
            </w:pP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Merge/>
            <w:vAlign w:val="center"/>
          </w:tcPr>
          <w:p w:rsidR="00000000" w:rsidRDefault="00114E80">
            <w:pPr>
              <w:spacing w:line="240" w:lineRule="exact"/>
              <w:jc w:val="center"/>
              <w:rPr>
                <w:bCs/>
                <w:color w:val="000000"/>
                <w:sz w:val="18"/>
                <w:szCs w:val="18"/>
              </w:rPr>
            </w:pP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2029"/>
          <w:jc w:val="center"/>
        </w:trPr>
        <w:tc>
          <w:tcPr>
            <w:tcW w:w="474" w:type="dxa"/>
            <w:vAlign w:val="center"/>
          </w:tcPr>
          <w:p w:rsidR="00000000" w:rsidRDefault="00114E80">
            <w:pPr>
              <w:widowControl/>
              <w:spacing w:line="220" w:lineRule="exact"/>
              <w:jc w:val="center"/>
              <w:textAlignment w:val="center"/>
              <w:rPr>
                <w:bCs/>
                <w:color w:val="000000"/>
                <w:sz w:val="18"/>
                <w:szCs w:val="18"/>
              </w:rPr>
            </w:pPr>
            <w:r>
              <w:rPr>
                <w:rFonts w:hint="eastAsia"/>
                <w:bCs/>
                <w:color w:val="000000"/>
                <w:kern w:val="0"/>
                <w:sz w:val="18"/>
                <w:szCs w:val="18"/>
                <w:lang w:bidi="ar"/>
              </w:rPr>
              <w:lastRenderedPageBreak/>
              <w:t>6</w:t>
            </w:r>
          </w:p>
        </w:tc>
        <w:tc>
          <w:tcPr>
            <w:tcW w:w="665"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09</w:t>
            </w:r>
            <w:r>
              <w:rPr>
                <w:bCs/>
                <w:color w:val="000000"/>
                <w:kern w:val="0"/>
                <w:sz w:val="18"/>
                <w:szCs w:val="18"/>
                <w:lang w:bidi="ar"/>
              </w:rPr>
              <w:t>物理治疗器械</w:t>
            </w:r>
          </w:p>
        </w:tc>
        <w:tc>
          <w:tcPr>
            <w:tcW w:w="651"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07</w:t>
            </w:r>
            <w:r>
              <w:rPr>
                <w:bCs/>
                <w:color w:val="000000"/>
                <w:kern w:val="0"/>
                <w:sz w:val="18"/>
                <w:szCs w:val="18"/>
                <w:lang w:bidi="ar"/>
              </w:rPr>
              <w:t>高频治疗设备</w:t>
            </w:r>
          </w:p>
        </w:tc>
        <w:tc>
          <w:tcPr>
            <w:tcW w:w="615"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 xml:space="preserve">02 </w:t>
            </w:r>
            <w:r>
              <w:rPr>
                <w:bCs/>
                <w:color w:val="000000"/>
                <w:kern w:val="0"/>
                <w:sz w:val="18"/>
                <w:szCs w:val="18"/>
                <w:lang w:bidi="ar"/>
              </w:rPr>
              <w:t>射频浅表治疗设备</w:t>
            </w:r>
          </w:p>
        </w:tc>
        <w:tc>
          <w:tcPr>
            <w:tcW w:w="1666"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通常由射频发生器、温度测量装置、治疗电极、电缆、中性电极（若有）等组成，利用治疗</w:t>
            </w:r>
            <w:r>
              <w:rPr>
                <w:bCs/>
                <w:color w:val="000000"/>
                <w:kern w:val="0"/>
                <w:sz w:val="18"/>
                <w:szCs w:val="18"/>
                <w:lang w:bidi="ar"/>
              </w:rPr>
              <w:t>电极向患者传输射频能量（一般以电流的形式）达到浅表局部加热的目的，且不引起组织不可逆的热损伤反应。</w:t>
            </w:r>
          </w:p>
        </w:tc>
        <w:tc>
          <w:tcPr>
            <w:tcW w:w="1633"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用于面部、体部、颈部等非创伤性浅表治疗。</w:t>
            </w:r>
          </w:p>
        </w:tc>
        <w:tc>
          <w:tcPr>
            <w:tcW w:w="1531"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高频电场皮肤热治疗仪</w:t>
            </w:r>
          </w:p>
        </w:tc>
        <w:tc>
          <w:tcPr>
            <w:tcW w:w="567"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Ⅱ</w:t>
            </w:r>
          </w:p>
        </w:tc>
        <w:tc>
          <w:tcPr>
            <w:tcW w:w="645"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09</w:t>
            </w:r>
            <w:r>
              <w:rPr>
                <w:bCs/>
                <w:color w:val="000000"/>
                <w:kern w:val="0"/>
                <w:sz w:val="18"/>
                <w:szCs w:val="18"/>
                <w:lang w:bidi="ar"/>
              </w:rPr>
              <w:t>物理治疗器械</w:t>
            </w:r>
          </w:p>
        </w:tc>
        <w:tc>
          <w:tcPr>
            <w:tcW w:w="985"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07</w:t>
            </w:r>
            <w:r>
              <w:rPr>
                <w:bCs/>
                <w:color w:val="000000"/>
                <w:kern w:val="0"/>
                <w:sz w:val="18"/>
                <w:szCs w:val="18"/>
                <w:lang w:bidi="ar"/>
              </w:rPr>
              <w:t>高频治疗设备</w:t>
            </w:r>
          </w:p>
        </w:tc>
        <w:tc>
          <w:tcPr>
            <w:tcW w:w="925" w:type="dxa"/>
            <w:vAlign w:val="center"/>
          </w:tcPr>
          <w:p w:rsidR="00000000" w:rsidRDefault="00114E80">
            <w:pPr>
              <w:widowControl/>
              <w:spacing w:line="220" w:lineRule="exact"/>
              <w:jc w:val="center"/>
              <w:textAlignment w:val="center"/>
              <w:rPr>
                <w:bCs/>
                <w:color w:val="000000"/>
                <w:sz w:val="18"/>
                <w:szCs w:val="18"/>
              </w:rPr>
            </w:pPr>
            <w:r>
              <w:rPr>
                <w:bCs/>
                <w:color w:val="000000"/>
                <w:kern w:val="0"/>
                <w:sz w:val="18"/>
                <w:szCs w:val="18"/>
                <w:lang w:bidi="ar"/>
              </w:rPr>
              <w:t>02</w:t>
            </w:r>
            <w:r>
              <w:rPr>
                <w:bCs/>
                <w:color w:val="000000"/>
                <w:kern w:val="0"/>
                <w:sz w:val="18"/>
                <w:szCs w:val="18"/>
                <w:lang w:bidi="ar"/>
              </w:rPr>
              <w:t>射频治疗（非消融）设备</w:t>
            </w:r>
          </w:p>
        </w:tc>
        <w:tc>
          <w:tcPr>
            <w:tcW w:w="1813" w:type="dxa"/>
            <w:vAlign w:val="center"/>
          </w:tcPr>
          <w:p w:rsidR="00000000" w:rsidRDefault="00114E80">
            <w:pPr>
              <w:widowControl/>
              <w:spacing w:line="220" w:lineRule="exact"/>
              <w:jc w:val="center"/>
              <w:textAlignment w:val="center"/>
              <w:rPr>
                <w:bCs/>
                <w:color w:val="000000"/>
                <w:kern w:val="0"/>
                <w:sz w:val="18"/>
                <w:szCs w:val="18"/>
                <w:lang w:bidi="ar"/>
              </w:rPr>
            </w:pPr>
            <w:r>
              <w:rPr>
                <w:bCs/>
                <w:color w:val="000000"/>
                <w:kern w:val="0"/>
                <w:sz w:val="18"/>
                <w:szCs w:val="18"/>
                <w:lang w:bidi="ar"/>
              </w:rPr>
              <w:t>通常由射频发生器、温度测量装置、治疗电极、电缆、中性电极（若有）等组成。通过治疗电极将射频能量（一般以电流的形式）作用于人体皮肤及皮下组织，使人体组织、细胞发生病理</w:t>
            </w:r>
            <w:r>
              <w:rPr>
                <w:bCs/>
                <w:color w:val="000000"/>
                <w:kern w:val="0"/>
                <w:sz w:val="18"/>
                <w:szCs w:val="18"/>
                <w:lang w:bidi="ar"/>
              </w:rPr>
              <w:t>/</w:t>
            </w:r>
            <w:r>
              <w:rPr>
                <w:bCs/>
                <w:color w:val="000000"/>
                <w:kern w:val="0"/>
                <w:sz w:val="18"/>
                <w:szCs w:val="18"/>
                <w:lang w:bidi="ar"/>
              </w:rPr>
              <w:t>生理学改变。</w:t>
            </w:r>
          </w:p>
        </w:tc>
        <w:tc>
          <w:tcPr>
            <w:tcW w:w="1114" w:type="dxa"/>
            <w:vAlign w:val="center"/>
          </w:tcPr>
          <w:p w:rsidR="00000000" w:rsidRDefault="00114E80">
            <w:pPr>
              <w:widowControl/>
              <w:spacing w:line="220" w:lineRule="exact"/>
              <w:jc w:val="center"/>
              <w:textAlignment w:val="center"/>
              <w:rPr>
                <w:bCs/>
                <w:color w:val="000000"/>
                <w:kern w:val="0"/>
                <w:sz w:val="18"/>
                <w:szCs w:val="18"/>
                <w:lang w:bidi="ar"/>
              </w:rPr>
            </w:pPr>
            <w:r>
              <w:rPr>
                <w:bCs/>
                <w:color w:val="000000"/>
                <w:kern w:val="0"/>
                <w:sz w:val="18"/>
                <w:szCs w:val="18"/>
                <w:lang w:bidi="ar"/>
              </w:rPr>
              <w:t>用于</w:t>
            </w:r>
            <w:r>
              <w:rPr>
                <w:bCs/>
                <w:color w:val="000000"/>
                <w:kern w:val="0"/>
                <w:sz w:val="18"/>
                <w:szCs w:val="18"/>
                <w:lang w:bidi="ar"/>
              </w:rPr>
              <w:t>治疗皮肤松弛，</w:t>
            </w:r>
            <w:r>
              <w:rPr>
                <w:bCs/>
                <w:color w:val="000000"/>
                <w:kern w:val="0"/>
                <w:sz w:val="18"/>
                <w:szCs w:val="18"/>
                <w:lang w:bidi="ar"/>
              </w:rPr>
              <w:t>减轻皮肤皱纹，</w:t>
            </w:r>
            <w:r>
              <w:rPr>
                <w:bCs/>
                <w:color w:val="000000"/>
                <w:kern w:val="0"/>
                <w:sz w:val="18"/>
                <w:szCs w:val="18"/>
                <w:lang w:bidi="ar"/>
              </w:rPr>
              <w:t>收缩毛孔，紧致、提升皮肤组织</w:t>
            </w:r>
            <w:r>
              <w:rPr>
                <w:bCs/>
                <w:color w:val="000000"/>
                <w:kern w:val="0"/>
                <w:sz w:val="18"/>
                <w:szCs w:val="18"/>
                <w:lang w:bidi="ar"/>
              </w:rPr>
              <w:t>，或者治疗痤疮、瘢痕，或者减少脂肪（脂肪</w:t>
            </w:r>
            <w:r>
              <w:rPr>
                <w:bCs/>
                <w:color w:val="000000"/>
                <w:kern w:val="0"/>
                <w:sz w:val="18"/>
                <w:szCs w:val="18"/>
                <w:lang w:bidi="ar"/>
              </w:rPr>
              <w:t>软化或分解）等。</w:t>
            </w:r>
          </w:p>
        </w:tc>
        <w:tc>
          <w:tcPr>
            <w:tcW w:w="1473" w:type="dxa"/>
            <w:vAlign w:val="center"/>
          </w:tcPr>
          <w:p w:rsidR="00000000" w:rsidRDefault="00114E80">
            <w:pPr>
              <w:widowControl/>
              <w:spacing w:line="220" w:lineRule="exact"/>
              <w:jc w:val="center"/>
              <w:textAlignment w:val="center"/>
              <w:rPr>
                <w:bCs/>
                <w:color w:val="000000"/>
                <w:kern w:val="0"/>
                <w:sz w:val="18"/>
                <w:szCs w:val="18"/>
                <w:lang w:bidi="ar"/>
              </w:rPr>
            </w:pPr>
            <w:r>
              <w:rPr>
                <w:bCs/>
                <w:color w:val="000000"/>
                <w:kern w:val="0"/>
                <w:sz w:val="18"/>
                <w:szCs w:val="18"/>
                <w:lang w:bidi="ar"/>
              </w:rPr>
              <w:t>射频治疗仪、射频皮肤治疗仪</w:t>
            </w:r>
          </w:p>
        </w:tc>
        <w:tc>
          <w:tcPr>
            <w:tcW w:w="567" w:type="dxa"/>
            <w:vAlign w:val="center"/>
          </w:tcPr>
          <w:p w:rsidR="00000000" w:rsidRDefault="00114E80">
            <w:pPr>
              <w:widowControl/>
              <w:spacing w:line="240" w:lineRule="exact"/>
              <w:jc w:val="center"/>
              <w:textAlignment w:val="center"/>
              <w:rPr>
                <w:bCs/>
                <w:color w:val="000000"/>
                <w:sz w:val="18"/>
                <w:szCs w:val="18"/>
              </w:rPr>
            </w:pPr>
            <w:r>
              <w:rPr>
                <w:bCs/>
                <w:color w:val="000000"/>
                <w:kern w:val="0"/>
                <w:sz w:val="18"/>
                <w:szCs w:val="18"/>
                <w:lang w:bidi="ar"/>
              </w:rPr>
              <w:t>Ⅲ</w:t>
            </w:r>
          </w:p>
          <w:p w:rsidR="00000000" w:rsidRDefault="00114E80">
            <w:pPr>
              <w:widowControl/>
              <w:spacing w:line="240" w:lineRule="exact"/>
              <w:jc w:val="center"/>
              <w:textAlignment w:val="center"/>
              <w:rPr>
                <w:bCs/>
                <w:color w:val="000000"/>
                <w:kern w:val="0"/>
                <w:sz w:val="18"/>
                <w:szCs w:val="18"/>
                <w:lang w:bidi="ar"/>
              </w:rPr>
            </w:pPr>
          </w:p>
        </w:tc>
      </w:tr>
      <w:tr w:rsidR="00000000">
        <w:trPr>
          <w:trHeight w:val="1695"/>
          <w:jc w:val="center"/>
        </w:trPr>
        <w:tc>
          <w:tcPr>
            <w:tcW w:w="474" w:type="dxa"/>
            <w:vAlign w:val="center"/>
          </w:tcPr>
          <w:p w:rsidR="00000000" w:rsidRDefault="00114E80">
            <w:pPr>
              <w:spacing w:line="220" w:lineRule="exact"/>
              <w:jc w:val="center"/>
              <w:rPr>
                <w:bCs/>
                <w:color w:val="000000"/>
                <w:sz w:val="18"/>
                <w:szCs w:val="18"/>
              </w:rPr>
            </w:pPr>
            <w:r>
              <w:rPr>
                <w:rFonts w:hint="eastAsia"/>
                <w:bCs/>
                <w:color w:val="000000"/>
                <w:sz w:val="18"/>
                <w:szCs w:val="18"/>
              </w:rPr>
              <w:t>7</w:t>
            </w:r>
          </w:p>
        </w:tc>
        <w:tc>
          <w:tcPr>
            <w:tcW w:w="665" w:type="dxa"/>
            <w:vAlign w:val="center"/>
          </w:tcPr>
          <w:p w:rsidR="00000000" w:rsidRDefault="00114E80">
            <w:pPr>
              <w:widowControl/>
              <w:spacing w:line="220" w:lineRule="exact"/>
              <w:jc w:val="center"/>
              <w:rPr>
                <w:bCs/>
                <w:color w:val="000000"/>
                <w:kern w:val="0"/>
                <w:sz w:val="18"/>
                <w:szCs w:val="18"/>
              </w:rPr>
            </w:pPr>
            <w:r>
              <w:rPr>
                <w:bCs/>
                <w:color w:val="000000"/>
                <w:sz w:val="18"/>
                <w:szCs w:val="18"/>
              </w:rPr>
              <w:t>13</w:t>
            </w:r>
            <w:r>
              <w:rPr>
                <w:bCs/>
                <w:color w:val="000000"/>
                <w:sz w:val="18"/>
                <w:szCs w:val="18"/>
              </w:rPr>
              <w:t>无源植入器械</w:t>
            </w:r>
          </w:p>
        </w:tc>
        <w:tc>
          <w:tcPr>
            <w:tcW w:w="651" w:type="dxa"/>
            <w:vAlign w:val="center"/>
          </w:tcPr>
          <w:p w:rsidR="00000000" w:rsidRDefault="00114E80">
            <w:pPr>
              <w:spacing w:line="220" w:lineRule="exact"/>
              <w:jc w:val="center"/>
              <w:rPr>
                <w:bCs/>
                <w:color w:val="000000"/>
                <w:sz w:val="18"/>
                <w:szCs w:val="18"/>
              </w:rPr>
            </w:pPr>
            <w:r>
              <w:rPr>
                <w:bCs/>
                <w:color w:val="000000"/>
                <w:sz w:val="18"/>
                <w:szCs w:val="18"/>
              </w:rPr>
              <w:t>05</w:t>
            </w:r>
            <w:r>
              <w:rPr>
                <w:bCs/>
                <w:color w:val="000000"/>
                <w:sz w:val="18"/>
                <w:szCs w:val="18"/>
              </w:rPr>
              <w:t>骨科填充和修复材料</w:t>
            </w:r>
          </w:p>
        </w:tc>
        <w:tc>
          <w:tcPr>
            <w:tcW w:w="615" w:type="dxa"/>
            <w:vAlign w:val="center"/>
          </w:tcPr>
          <w:p w:rsidR="00000000" w:rsidRDefault="00114E80">
            <w:pPr>
              <w:spacing w:line="220" w:lineRule="exact"/>
              <w:jc w:val="center"/>
              <w:rPr>
                <w:bCs/>
                <w:color w:val="000000"/>
                <w:sz w:val="18"/>
                <w:szCs w:val="18"/>
              </w:rPr>
            </w:pPr>
            <w:r>
              <w:rPr>
                <w:bCs/>
                <w:color w:val="000000"/>
                <w:sz w:val="18"/>
                <w:szCs w:val="18"/>
              </w:rPr>
              <w:t>02</w:t>
            </w:r>
            <w:r>
              <w:rPr>
                <w:bCs/>
                <w:color w:val="000000"/>
                <w:sz w:val="18"/>
                <w:szCs w:val="18"/>
              </w:rPr>
              <w:t>钙盐类骨填充植入物</w:t>
            </w:r>
          </w:p>
        </w:tc>
        <w:tc>
          <w:tcPr>
            <w:tcW w:w="1666" w:type="dxa"/>
            <w:vAlign w:val="center"/>
          </w:tcPr>
          <w:p w:rsidR="00000000" w:rsidRDefault="00114E80">
            <w:pPr>
              <w:spacing w:line="220" w:lineRule="exact"/>
              <w:jc w:val="center"/>
              <w:rPr>
                <w:bCs/>
                <w:color w:val="000000"/>
                <w:sz w:val="18"/>
                <w:szCs w:val="18"/>
              </w:rPr>
            </w:pPr>
            <w:r>
              <w:rPr>
                <w:bCs/>
                <w:color w:val="000000"/>
                <w:sz w:val="18"/>
                <w:szCs w:val="18"/>
              </w:rPr>
              <w:t>通常由颗粒或非颗粒状产品组成。一般采用羟基磷灰石、磷酸钙、硫酸钙、生物玻璃或由以上物质组合制成，也可含有胶原蛋白</w:t>
            </w:r>
            <w:r>
              <w:rPr>
                <w:bCs/>
                <w:color w:val="000000"/>
                <w:sz w:val="18"/>
                <w:szCs w:val="18"/>
              </w:rPr>
              <w:t>[</w:t>
            </w:r>
            <w:r>
              <w:rPr>
                <w:bCs/>
                <w:color w:val="000000"/>
                <w:sz w:val="18"/>
                <w:szCs w:val="18"/>
              </w:rPr>
              <w:t>不含重组人骨形态发生蛋白质</w:t>
            </w:r>
            <w:r>
              <w:rPr>
                <w:bCs/>
                <w:color w:val="000000"/>
                <w:sz w:val="18"/>
                <w:szCs w:val="18"/>
              </w:rPr>
              <w:t>-2</w:t>
            </w:r>
            <w:r>
              <w:rPr>
                <w:bCs/>
                <w:color w:val="000000"/>
                <w:sz w:val="18"/>
                <w:szCs w:val="18"/>
              </w:rPr>
              <w:t>（</w:t>
            </w:r>
            <w:r>
              <w:rPr>
                <w:bCs/>
                <w:color w:val="000000"/>
                <w:sz w:val="18"/>
                <w:szCs w:val="18"/>
              </w:rPr>
              <w:t>rhBMP-2</w:t>
            </w:r>
            <w:r>
              <w:rPr>
                <w:bCs/>
                <w:color w:val="000000"/>
                <w:sz w:val="18"/>
                <w:szCs w:val="18"/>
              </w:rPr>
              <w:t>）</w:t>
            </w:r>
            <w:r>
              <w:rPr>
                <w:bCs/>
                <w:color w:val="000000"/>
                <w:sz w:val="18"/>
                <w:szCs w:val="18"/>
              </w:rPr>
              <w:t>]</w:t>
            </w:r>
            <w:r>
              <w:rPr>
                <w:bCs/>
                <w:color w:val="000000"/>
                <w:sz w:val="18"/>
                <w:szCs w:val="18"/>
              </w:rPr>
              <w:t>等材料。</w:t>
            </w:r>
          </w:p>
        </w:tc>
        <w:tc>
          <w:tcPr>
            <w:tcW w:w="1633" w:type="dxa"/>
            <w:vAlign w:val="center"/>
          </w:tcPr>
          <w:p w:rsidR="00000000" w:rsidRDefault="00114E80">
            <w:pPr>
              <w:spacing w:line="220" w:lineRule="exact"/>
              <w:jc w:val="center"/>
              <w:rPr>
                <w:bCs/>
                <w:color w:val="000000"/>
                <w:sz w:val="18"/>
                <w:szCs w:val="18"/>
              </w:rPr>
            </w:pPr>
            <w:r>
              <w:rPr>
                <w:bCs/>
                <w:color w:val="000000"/>
                <w:sz w:val="18"/>
                <w:szCs w:val="18"/>
              </w:rPr>
              <w:t>用于填充四肢、脊柱、骨盆等部位由于创伤或手术造成的、不影响骨结构稳定性的骨缺损。</w:t>
            </w:r>
          </w:p>
        </w:tc>
        <w:tc>
          <w:tcPr>
            <w:tcW w:w="1531" w:type="dxa"/>
            <w:vAlign w:val="center"/>
          </w:tcPr>
          <w:p w:rsidR="00000000" w:rsidRDefault="00114E80">
            <w:pPr>
              <w:spacing w:line="220" w:lineRule="exact"/>
              <w:jc w:val="center"/>
              <w:rPr>
                <w:bCs/>
                <w:color w:val="000000"/>
                <w:sz w:val="18"/>
                <w:szCs w:val="18"/>
              </w:rPr>
            </w:pPr>
            <w:r>
              <w:rPr>
                <w:bCs/>
                <w:color w:val="000000"/>
                <w:sz w:val="18"/>
                <w:szCs w:val="18"/>
              </w:rPr>
              <w:t>人工骨、骨修复材料、羟基磷灰石生物陶瓷、磷酸钙生物陶瓷、</w:t>
            </w:r>
            <w:r>
              <w:rPr>
                <w:bCs/>
                <w:color w:val="000000"/>
                <w:sz w:val="18"/>
                <w:szCs w:val="18"/>
              </w:rPr>
              <w:t>β-</w:t>
            </w:r>
            <w:r>
              <w:rPr>
                <w:bCs/>
                <w:color w:val="000000"/>
                <w:sz w:val="18"/>
                <w:szCs w:val="18"/>
              </w:rPr>
              <w:t>磷酸三钙人工骨、硫酸钙人工骨、胶原基骨修复材料、钙磷盐骨水泥、生物玻璃骨</w:t>
            </w:r>
            <w:r>
              <w:rPr>
                <w:bCs/>
                <w:color w:val="000000"/>
                <w:sz w:val="18"/>
                <w:szCs w:val="18"/>
              </w:rPr>
              <w:t>填充材料、骨诱导磷酸钙生物陶瓷</w:t>
            </w:r>
          </w:p>
        </w:tc>
        <w:tc>
          <w:tcPr>
            <w:tcW w:w="567" w:type="dxa"/>
            <w:vAlign w:val="center"/>
          </w:tcPr>
          <w:p w:rsidR="00000000" w:rsidRDefault="00114E80">
            <w:pPr>
              <w:spacing w:line="220" w:lineRule="exact"/>
              <w:jc w:val="center"/>
              <w:rPr>
                <w:bCs/>
                <w:color w:val="000000"/>
                <w:sz w:val="18"/>
                <w:szCs w:val="18"/>
              </w:rPr>
            </w:pPr>
            <w:r>
              <w:rPr>
                <w:bCs/>
                <w:color w:val="000000"/>
                <w:sz w:val="18"/>
                <w:szCs w:val="18"/>
              </w:rPr>
              <w:t>Ⅲ</w:t>
            </w:r>
          </w:p>
        </w:tc>
        <w:tc>
          <w:tcPr>
            <w:tcW w:w="645" w:type="dxa"/>
            <w:vAlign w:val="center"/>
          </w:tcPr>
          <w:p w:rsidR="00000000" w:rsidRDefault="00114E80">
            <w:pPr>
              <w:spacing w:line="220" w:lineRule="exact"/>
              <w:jc w:val="center"/>
              <w:rPr>
                <w:bCs/>
                <w:color w:val="000000"/>
                <w:sz w:val="18"/>
                <w:szCs w:val="18"/>
              </w:rPr>
            </w:pPr>
            <w:r>
              <w:rPr>
                <w:bCs/>
                <w:color w:val="000000"/>
                <w:sz w:val="18"/>
                <w:szCs w:val="18"/>
              </w:rPr>
              <w:t>13</w:t>
            </w:r>
            <w:r>
              <w:rPr>
                <w:bCs/>
                <w:color w:val="000000"/>
                <w:sz w:val="18"/>
                <w:szCs w:val="18"/>
              </w:rPr>
              <w:t>无源植入器械</w:t>
            </w:r>
          </w:p>
        </w:tc>
        <w:tc>
          <w:tcPr>
            <w:tcW w:w="985" w:type="dxa"/>
            <w:vAlign w:val="center"/>
          </w:tcPr>
          <w:p w:rsidR="00000000" w:rsidRDefault="00114E80">
            <w:pPr>
              <w:spacing w:line="220" w:lineRule="exact"/>
              <w:jc w:val="center"/>
              <w:rPr>
                <w:bCs/>
                <w:color w:val="000000"/>
                <w:sz w:val="18"/>
                <w:szCs w:val="18"/>
              </w:rPr>
            </w:pPr>
            <w:r>
              <w:rPr>
                <w:bCs/>
                <w:color w:val="000000"/>
                <w:sz w:val="18"/>
                <w:szCs w:val="18"/>
              </w:rPr>
              <w:t>05</w:t>
            </w:r>
            <w:r>
              <w:rPr>
                <w:bCs/>
                <w:color w:val="000000"/>
                <w:sz w:val="18"/>
                <w:szCs w:val="18"/>
              </w:rPr>
              <w:t>骨科填充和修复材料</w:t>
            </w:r>
          </w:p>
        </w:tc>
        <w:tc>
          <w:tcPr>
            <w:tcW w:w="925" w:type="dxa"/>
            <w:vAlign w:val="center"/>
          </w:tcPr>
          <w:p w:rsidR="00000000" w:rsidRDefault="00114E80">
            <w:pPr>
              <w:spacing w:line="220" w:lineRule="exact"/>
              <w:jc w:val="center"/>
              <w:rPr>
                <w:bCs/>
                <w:color w:val="000000"/>
                <w:sz w:val="18"/>
                <w:szCs w:val="18"/>
              </w:rPr>
            </w:pPr>
            <w:r>
              <w:rPr>
                <w:bCs/>
                <w:color w:val="000000"/>
                <w:sz w:val="18"/>
                <w:szCs w:val="18"/>
              </w:rPr>
              <w:t>02</w:t>
            </w:r>
            <w:r>
              <w:rPr>
                <w:bCs/>
                <w:color w:val="000000"/>
                <w:sz w:val="18"/>
                <w:szCs w:val="18"/>
              </w:rPr>
              <w:t>钙盐类骨填充植入物</w:t>
            </w:r>
          </w:p>
        </w:tc>
        <w:tc>
          <w:tcPr>
            <w:tcW w:w="1813" w:type="dxa"/>
            <w:vAlign w:val="center"/>
          </w:tcPr>
          <w:p w:rsidR="00000000" w:rsidRDefault="00114E80">
            <w:pPr>
              <w:spacing w:line="220" w:lineRule="exact"/>
              <w:jc w:val="center"/>
              <w:rPr>
                <w:bCs/>
                <w:color w:val="000000"/>
                <w:sz w:val="18"/>
                <w:szCs w:val="18"/>
              </w:rPr>
            </w:pPr>
            <w:r>
              <w:rPr>
                <w:bCs/>
                <w:color w:val="000000"/>
                <w:sz w:val="18"/>
                <w:szCs w:val="18"/>
              </w:rPr>
              <w:t>无变化</w:t>
            </w:r>
          </w:p>
        </w:tc>
        <w:tc>
          <w:tcPr>
            <w:tcW w:w="1114" w:type="dxa"/>
            <w:vAlign w:val="center"/>
          </w:tcPr>
          <w:p w:rsidR="00000000" w:rsidRDefault="00114E80">
            <w:pPr>
              <w:spacing w:line="22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20" w:lineRule="exact"/>
              <w:jc w:val="center"/>
              <w:rPr>
                <w:bCs/>
                <w:color w:val="000000"/>
                <w:sz w:val="18"/>
                <w:szCs w:val="18"/>
              </w:rPr>
            </w:pPr>
            <w:r>
              <w:rPr>
                <w:bCs/>
                <w:color w:val="000000"/>
                <w:sz w:val="18"/>
                <w:szCs w:val="18"/>
              </w:rPr>
              <w:t>人工骨、骨修复材料、羟基磷灰石生物陶瓷、磷酸钙生物陶瓷、</w:t>
            </w:r>
            <w:r>
              <w:rPr>
                <w:bCs/>
                <w:color w:val="000000"/>
                <w:sz w:val="18"/>
                <w:szCs w:val="18"/>
              </w:rPr>
              <w:t>β-</w:t>
            </w:r>
            <w:r>
              <w:rPr>
                <w:bCs/>
                <w:color w:val="000000"/>
                <w:sz w:val="18"/>
                <w:szCs w:val="18"/>
              </w:rPr>
              <w:t>磷酸三钙人工骨、硫酸钙人工骨、胶原基骨修复材料、钙磷盐骨水泥、生物玻璃骨填充材料</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527"/>
          <w:jc w:val="center"/>
        </w:trPr>
        <w:tc>
          <w:tcPr>
            <w:tcW w:w="474" w:type="dxa"/>
            <w:vMerge w:val="restart"/>
            <w:vAlign w:val="center"/>
          </w:tcPr>
          <w:p w:rsidR="00000000" w:rsidRDefault="00114E80">
            <w:pPr>
              <w:spacing w:line="220" w:lineRule="exact"/>
              <w:jc w:val="center"/>
              <w:rPr>
                <w:bCs/>
                <w:color w:val="000000"/>
                <w:sz w:val="18"/>
                <w:szCs w:val="18"/>
              </w:rPr>
            </w:pPr>
            <w:r>
              <w:rPr>
                <w:rFonts w:hint="eastAsia"/>
                <w:bCs/>
                <w:color w:val="000000"/>
                <w:sz w:val="18"/>
                <w:szCs w:val="18"/>
              </w:rPr>
              <w:t>8</w:t>
            </w:r>
          </w:p>
        </w:tc>
        <w:tc>
          <w:tcPr>
            <w:tcW w:w="665" w:type="dxa"/>
            <w:vMerge w:val="restart"/>
            <w:vAlign w:val="center"/>
          </w:tcPr>
          <w:p w:rsidR="00000000" w:rsidRDefault="00114E80">
            <w:pPr>
              <w:spacing w:line="220" w:lineRule="exact"/>
              <w:jc w:val="center"/>
              <w:rPr>
                <w:bCs/>
                <w:color w:val="000000"/>
                <w:sz w:val="18"/>
                <w:szCs w:val="18"/>
              </w:rPr>
            </w:pPr>
            <w:r>
              <w:rPr>
                <w:bCs/>
                <w:color w:val="000000"/>
                <w:sz w:val="18"/>
                <w:szCs w:val="18"/>
              </w:rPr>
              <w:t>13</w:t>
            </w:r>
            <w:r>
              <w:rPr>
                <w:bCs/>
                <w:color w:val="000000"/>
                <w:sz w:val="18"/>
                <w:szCs w:val="18"/>
              </w:rPr>
              <w:t>无源植入器械</w:t>
            </w:r>
          </w:p>
        </w:tc>
        <w:tc>
          <w:tcPr>
            <w:tcW w:w="651" w:type="dxa"/>
            <w:vMerge w:val="restart"/>
            <w:vAlign w:val="center"/>
          </w:tcPr>
          <w:p w:rsidR="00000000" w:rsidRDefault="00114E80">
            <w:pPr>
              <w:spacing w:line="220" w:lineRule="exact"/>
              <w:jc w:val="center"/>
              <w:rPr>
                <w:bCs/>
                <w:color w:val="000000"/>
                <w:sz w:val="18"/>
                <w:szCs w:val="18"/>
              </w:rPr>
            </w:pPr>
            <w:r>
              <w:rPr>
                <w:bCs/>
                <w:color w:val="000000"/>
                <w:sz w:val="18"/>
                <w:szCs w:val="18"/>
              </w:rPr>
              <w:t>09</w:t>
            </w:r>
            <w:r>
              <w:rPr>
                <w:bCs/>
                <w:color w:val="000000"/>
                <w:sz w:val="18"/>
                <w:szCs w:val="18"/>
              </w:rPr>
              <w:t>整形及普通外科植入物</w:t>
            </w:r>
          </w:p>
        </w:tc>
        <w:tc>
          <w:tcPr>
            <w:tcW w:w="615" w:type="dxa"/>
            <w:vMerge w:val="restart"/>
            <w:vAlign w:val="center"/>
          </w:tcPr>
          <w:p w:rsidR="00000000" w:rsidRDefault="00114E80">
            <w:pPr>
              <w:spacing w:line="220" w:lineRule="exact"/>
              <w:jc w:val="center"/>
              <w:rPr>
                <w:rFonts w:eastAsia="Times New Roman"/>
                <w:bCs/>
                <w:color w:val="000000"/>
                <w:sz w:val="18"/>
                <w:szCs w:val="18"/>
              </w:rPr>
            </w:pPr>
            <w:r>
              <w:rPr>
                <w:bCs/>
                <w:color w:val="000000"/>
                <w:sz w:val="18"/>
                <w:szCs w:val="18"/>
              </w:rPr>
              <w:t>02</w:t>
            </w:r>
            <w:r>
              <w:rPr>
                <w:bCs/>
                <w:color w:val="000000"/>
                <w:sz w:val="18"/>
                <w:szCs w:val="18"/>
              </w:rPr>
              <w:t>整形用注射填充物</w:t>
            </w:r>
          </w:p>
        </w:tc>
        <w:tc>
          <w:tcPr>
            <w:tcW w:w="1666" w:type="dxa"/>
            <w:vMerge w:val="restart"/>
            <w:vAlign w:val="center"/>
          </w:tcPr>
          <w:p w:rsidR="00000000" w:rsidRDefault="00114E80">
            <w:pPr>
              <w:spacing w:line="220" w:lineRule="exact"/>
              <w:jc w:val="center"/>
              <w:rPr>
                <w:bCs/>
                <w:color w:val="000000"/>
                <w:sz w:val="18"/>
                <w:szCs w:val="18"/>
              </w:rPr>
            </w:pPr>
            <w:r>
              <w:rPr>
                <w:bCs/>
                <w:color w:val="000000"/>
                <w:sz w:val="18"/>
                <w:szCs w:val="18"/>
              </w:rPr>
              <w:t>通常由注射器以及预装在注射器中的填充材料制成。</w:t>
            </w:r>
          </w:p>
        </w:tc>
        <w:tc>
          <w:tcPr>
            <w:tcW w:w="1633" w:type="dxa"/>
            <w:vMerge w:val="restart"/>
            <w:vAlign w:val="center"/>
          </w:tcPr>
          <w:p w:rsidR="00000000" w:rsidRDefault="00114E80">
            <w:pPr>
              <w:spacing w:line="220" w:lineRule="exact"/>
              <w:jc w:val="center"/>
              <w:rPr>
                <w:bCs/>
                <w:color w:val="000000"/>
                <w:sz w:val="18"/>
                <w:szCs w:val="18"/>
              </w:rPr>
            </w:pPr>
            <w:r>
              <w:rPr>
                <w:bCs/>
                <w:color w:val="000000"/>
                <w:sz w:val="18"/>
                <w:szCs w:val="18"/>
              </w:rPr>
              <w:t>用于注射到真皮层和</w:t>
            </w:r>
            <w:r>
              <w:rPr>
                <w:bCs/>
                <w:color w:val="000000"/>
                <w:sz w:val="18"/>
                <w:szCs w:val="18"/>
              </w:rPr>
              <w:t>/</w:t>
            </w:r>
            <w:r>
              <w:rPr>
                <w:bCs/>
                <w:color w:val="000000"/>
                <w:sz w:val="18"/>
                <w:szCs w:val="18"/>
              </w:rPr>
              <w:t>或皮下组织，以填充增加组织容积。</w:t>
            </w:r>
          </w:p>
        </w:tc>
        <w:tc>
          <w:tcPr>
            <w:tcW w:w="1531" w:type="dxa"/>
            <w:vMerge w:val="restart"/>
            <w:vAlign w:val="center"/>
          </w:tcPr>
          <w:p w:rsidR="00000000" w:rsidRDefault="00114E80">
            <w:pPr>
              <w:spacing w:line="220" w:lineRule="exact"/>
              <w:jc w:val="center"/>
              <w:rPr>
                <w:rFonts w:eastAsia="Times New Roman"/>
                <w:bCs/>
                <w:color w:val="000000"/>
                <w:sz w:val="18"/>
                <w:szCs w:val="18"/>
              </w:rPr>
            </w:pPr>
            <w:r>
              <w:rPr>
                <w:bCs/>
                <w:color w:val="000000"/>
                <w:sz w:val="18"/>
                <w:szCs w:val="18"/>
              </w:rPr>
              <w:t>注射用交联透明质酸钠凝胶、注射用透明质酸钠凝胶、胶原蛋白植入剂、注射用</w:t>
            </w:r>
            <w:r>
              <w:rPr>
                <w:bCs/>
                <w:color w:val="000000"/>
                <w:sz w:val="18"/>
                <w:szCs w:val="18"/>
              </w:rPr>
              <w:t>聚左旋乳酸填充剂、重组</w:t>
            </w:r>
            <w:r>
              <w:rPr>
                <w:bCs/>
                <w:color w:val="000000"/>
                <w:sz w:val="18"/>
                <w:szCs w:val="18"/>
              </w:rPr>
              <w:t>Ⅲ</w:t>
            </w:r>
            <w:r>
              <w:rPr>
                <w:bCs/>
                <w:color w:val="000000"/>
                <w:sz w:val="18"/>
                <w:szCs w:val="18"/>
              </w:rPr>
              <w:t>型人源化胶原蛋白冻干纤维</w:t>
            </w:r>
          </w:p>
        </w:tc>
        <w:tc>
          <w:tcPr>
            <w:tcW w:w="567" w:type="dxa"/>
            <w:vMerge w:val="restart"/>
            <w:vAlign w:val="center"/>
          </w:tcPr>
          <w:p w:rsidR="00000000" w:rsidRDefault="00114E80">
            <w:pPr>
              <w:spacing w:line="220" w:lineRule="exact"/>
              <w:jc w:val="center"/>
              <w:rPr>
                <w:bCs/>
                <w:color w:val="000000"/>
                <w:sz w:val="18"/>
                <w:szCs w:val="18"/>
              </w:rPr>
            </w:pPr>
            <w:r>
              <w:rPr>
                <w:bCs/>
                <w:color w:val="000000"/>
                <w:sz w:val="18"/>
                <w:szCs w:val="18"/>
              </w:rPr>
              <w:t>Ⅲ</w:t>
            </w:r>
          </w:p>
        </w:tc>
        <w:tc>
          <w:tcPr>
            <w:tcW w:w="645" w:type="dxa"/>
            <w:vMerge w:val="restart"/>
            <w:vAlign w:val="center"/>
          </w:tcPr>
          <w:p w:rsidR="00000000" w:rsidRDefault="00114E80">
            <w:pPr>
              <w:spacing w:line="220" w:lineRule="exact"/>
              <w:jc w:val="center"/>
              <w:rPr>
                <w:bCs/>
                <w:color w:val="000000"/>
                <w:sz w:val="18"/>
                <w:szCs w:val="18"/>
              </w:rPr>
            </w:pPr>
            <w:r>
              <w:rPr>
                <w:bCs/>
                <w:color w:val="000000"/>
                <w:sz w:val="18"/>
                <w:szCs w:val="18"/>
              </w:rPr>
              <w:t>13</w:t>
            </w:r>
            <w:r>
              <w:rPr>
                <w:bCs/>
                <w:color w:val="000000"/>
                <w:sz w:val="18"/>
                <w:szCs w:val="18"/>
              </w:rPr>
              <w:t>无源植入器械</w:t>
            </w:r>
          </w:p>
        </w:tc>
        <w:tc>
          <w:tcPr>
            <w:tcW w:w="985" w:type="dxa"/>
            <w:vMerge w:val="restart"/>
            <w:vAlign w:val="center"/>
          </w:tcPr>
          <w:p w:rsidR="00000000" w:rsidRDefault="00114E80">
            <w:pPr>
              <w:spacing w:line="220" w:lineRule="exact"/>
              <w:jc w:val="center"/>
              <w:rPr>
                <w:bCs/>
                <w:color w:val="000000"/>
                <w:sz w:val="18"/>
                <w:szCs w:val="18"/>
              </w:rPr>
            </w:pPr>
            <w:r>
              <w:rPr>
                <w:bCs/>
                <w:color w:val="000000"/>
                <w:sz w:val="18"/>
                <w:szCs w:val="18"/>
              </w:rPr>
              <w:t>09</w:t>
            </w:r>
            <w:r>
              <w:rPr>
                <w:bCs/>
                <w:color w:val="000000"/>
                <w:sz w:val="18"/>
                <w:szCs w:val="18"/>
              </w:rPr>
              <w:t>整形及普通外科植入物</w:t>
            </w:r>
          </w:p>
        </w:tc>
        <w:tc>
          <w:tcPr>
            <w:tcW w:w="925" w:type="dxa"/>
            <w:vMerge w:val="restart"/>
            <w:vAlign w:val="center"/>
          </w:tcPr>
          <w:p w:rsidR="00000000" w:rsidRDefault="00114E80">
            <w:pPr>
              <w:spacing w:line="220" w:lineRule="exact"/>
              <w:jc w:val="center"/>
              <w:rPr>
                <w:rFonts w:eastAsia="Times New Roman"/>
                <w:bCs/>
                <w:color w:val="000000"/>
                <w:sz w:val="18"/>
                <w:szCs w:val="18"/>
              </w:rPr>
            </w:pPr>
            <w:r>
              <w:rPr>
                <w:bCs/>
                <w:color w:val="000000"/>
                <w:sz w:val="18"/>
                <w:szCs w:val="18"/>
              </w:rPr>
              <w:t>02</w:t>
            </w:r>
            <w:r>
              <w:rPr>
                <w:bCs/>
                <w:color w:val="000000"/>
                <w:sz w:val="18"/>
                <w:szCs w:val="18"/>
              </w:rPr>
              <w:t>整形美容用注射材料</w:t>
            </w:r>
          </w:p>
        </w:tc>
        <w:tc>
          <w:tcPr>
            <w:tcW w:w="1813" w:type="dxa"/>
            <w:vAlign w:val="center"/>
          </w:tcPr>
          <w:p w:rsidR="00000000" w:rsidRDefault="00114E80">
            <w:pPr>
              <w:spacing w:line="220" w:lineRule="exact"/>
              <w:jc w:val="center"/>
              <w:rPr>
                <w:rFonts w:eastAsia="Times New Roman"/>
                <w:bCs/>
                <w:color w:val="000000"/>
                <w:sz w:val="18"/>
                <w:szCs w:val="18"/>
              </w:rPr>
            </w:pPr>
            <w:r>
              <w:rPr>
                <w:bCs/>
                <w:color w:val="000000"/>
                <w:sz w:val="18"/>
                <w:szCs w:val="18"/>
              </w:rPr>
              <w:t>无变化</w:t>
            </w:r>
          </w:p>
        </w:tc>
        <w:tc>
          <w:tcPr>
            <w:tcW w:w="1114" w:type="dxa"/>
            <w:vAlign w:val="center"/>
          </w:tcPr>
          <w:p w:rsidR="00000000" w:rsidRDefault="00114E80">
            <w:pPr>
              <w:spacing w:line="22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20" w:lineRule="exact"/>
              <w:jc w:val="center"/>
              <w:rPr>
                <w:bCs/>
                <w:color w:val="000000"/>
                <w:sz w:val="18"/>
                <w:szCs w:val="18"/>
              </w:rPr>
            </w:pPr>
            <w:r>
              <w:rPr>
                <w:bCs/>
                <w:color w:val="000000"/>
                <w:sz w:val="18"/>
                <w:szCs w:val="18"/>
              </w:rPr>
              <w:t>无变化</w:t>
            </w:r>
          </w:p>
        </w:tc>
        <w:tc>
          <w:tcPr>
            <w:tcW w:w="567" w:type="dxa"/>
            <w:vMerge w:val="restart"/>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931"/>
          <w:jc w:val="center"/>
        </w:trPr>
        <w:tc>
          <w:tcPr>
            <w:tcW w:w="474" w:type="dxa"/>
            <w:vMerge/>
            <w:vAlign w:val="center"/>
          </w:tcPr>
          <w:p w:rsidR="00000000" w:rsidRDefault="00114E80">
            <w:pPr>
              <w:spacing w:line="220" w:lineRule="exact"/>
              <w:jc w:val="left"/>
              <w:rPr>
                <w:sz w:val="18"/>
                <w:szCs w:val="18"/>
              </w:rPr>
            </w:pPr>
          </w:p>
        </w:tc>
        <w:tc>
          <w:tcPr>
            <w:tcW w:w="665" w:type="dxa"/>
            <w:vMerge/>
            <w:vAlign w:val="center"/>
          </w:tcPr>
          <w:p w:rsidR="00000000" w:rsidRDefault="00114E80">
            <w:pPr>
              <w:spacing w:line="220" w:lineRule="exact"/>
              <w:jc w:val="left"/>
              <w:rPr>
                <w:sz w:val="18"/>
                <w:szCs w:val="18"/>
              </w:rPr>
            </w:pPr>
          </w:p>
        </w:tc>
        <w:tc>
          <w:tcPr>
            <w:tcW w:w="651" w:type="dxa"/>
            <w:vMerge/>
            <w:vAlign w:val="center"/>
          </w:tcPr>
          <w:p w:rsidR="00000000" w:rsidRDefault="00114E80">
            <w:pPr>
              <w:spacing w:line="220" w:lineRule="exact"/>
              <w:jc w:val="left"/>
              <w:rPr>
                <w:sz w:val="18"/>
                <w:szCs w:val="18"/>
              </w:rPr>
            </w:pPr>
          </w:p>
        </w:tc>
        <w:tc>
          <w:tcPr>
            <w:tcW w:w="615" w:type="dxa"/>
            <w:vMerge/>
            <w:vAlign w:val="center"/>
          </w:tcPr>
          <w:p w:rsidR="00000000" w:rsidRDefault="00114E80">
            <w:pPr>
              <w:spacing w:line="220" w:lineRule="exact"/>
              <w:jc w:val="left"/>
              <w:rPr>
                <w:sz w:val="18"/>
                <w:szCs w:val="18"/>
              </w:rPr>
            </w:pPr>
          </w:p>
        </w:tc>
        <w:tc>
          <w:tcPr>
            <w:tcW w:w="1666" w:type="dxa"/>
            <w:vMerge/>
            <w:vAlign w:val="center"/>
          </w:tcPr>
          <w:p w:rsidR="00000000" w:rsidRDefault="00114E80">
            <w:pPr>
              <w:spacing w:line="220" w:lineRule="exact"/>
              <w:jc w:val="left"/>
              <w:rPr>
                <w:sz w:val="18"/>
                <w:szCs w:val="18"/>
              </w:rPr>
            </w:pPr>
          </w:p>
        </w:tc>
        <w:tc>
          <w:tcPr>
            <w:tcW w:w="1633" w:type="dxa"/>
            <w:vMerge/>
            <w:vAlign w:val="center"/>
          </w:tcPr>
          <w:p w:rsidR="00000000" w:rsidRDefault="00114E80">
            <w:pPr>
              <w:spacing w:line="220" w:lineRule="exact"/>
              <w:jc w:val="left"/>
              <w:rPr>
                <w:sz w:val="18"/>
                <w:szCs w:val="18"/>
              </w:rPr>
            </w:pPr>
          </w:p>
        </w:tc>
        <w:tc>
          <w:tcPr>
            <w:tcW w:w="1531" w:type="dxa"/>
            <w:vMerge/>
            <w:vAlign w:val="center"/>
          </w:tcPr>
          <w:p w:rsidR="00000000" w:rsidRDefault="00114E80">
            <w:pPr>
              <w:spacing w:line="220" w:lineRule="exact"/>
              <w:jc w:val="left"/>
              <w:rPr>
                <w:sz w:val="18"/>
                <w:szCs w:val="18"/>
              </w:rPr>
            </w:pPr>
          </w:p>
        </w:tc>
        <w:tc>
          <w:tcPr>
            <w:tcW w:w="567" w:type="dxa"/>
            <w:vMerge/>
            <w:vAlign w:val="center"/>
          </w:tcPr>
          <w:p w:rsidR="00000000" w:rsidRDefault="00114E80">
            <w:pPr>
              <w:spacing w:line="220" w:lineRule="exact"/>
              <w:jc w:val="left"/>
              <w:rPr>
                <w:sz w:val="18"/>
                <w:szCs w:val="18"/>
              </w:rPr>
            </w:pPr>
          </w:p>
        </w:tc>
        <w:tc>
          <w:tcPr>
            <w:tcW w:w="645" w:type="dxa"/>
            <w:vMerge/>
            <w:vAlign w:val="center"/>
          </w:tcPr>
          <w:p w:rsidR="00000000" w:rsidRDefault="00114E80">
            <w:pPr>
              <w:spacing w:line="220" w:lineRule="exact"/>
              <w:jc w:val="left"/>
              <w:rPr>
                <w:sz w:val="18"/>
                <w:szCs w:val="18"/>
              </w:rPr>
            </w:pPr>
          </w:p>
        </w:tc>
        <w:tc>
          <w:tcPr>
            <w:tcW w:w="985" w:type="dxa"/>
            <w:vMerge/>
            <w:vAlign w:val="center"/>
          </w:tcPr>
          <w:p w:rsidR="00000000" w:rsidRDefault="00114E80">
            <w:pPr>
              <w:spacing w:line="220" w:lineRule="exact"/>
              <w:jc w:val="left"/>
              <w:rPr>
                <w:sz w:val="18"/>
                <w:szCs w:val="18"/>
              </w:rPr>
            </w:pPr>
          </w:p>
        </w:tc>
        <w:tc>
          <w:tcPr>
            <w:tcW w:w="925" w:type="dxa"/>
            <w:vMerge/>
            <w:vAlign w:val="center"/>
          </w:tcPr>
          <w:p w:rsidR="00000000" w:rsidRDefault="00114E80">
            <w:pPr>
              <w:spacing w:line="220" w:lineRule="exact"/>
              <w:jc w:val="left"/>
              <w:rPr>
                <w:sz w:val="18"/>
                <w:szCs w:val="18"/>
              </w:rPr>
            </w:pPr>
          </w:p>
        </w:tc>
        <w:tc>
          <w:tcPr>
            <w:tcW w:w="1813" w:type="dxa"/>
            <w:vAlign w:val="center"/>
          </w:tcPr>
          <w:p w:rsidR="00000000" w:rsidRDefault="00114E80">
            <w:pPr>
              <w:spacing w:line="220" w:lineRule="exact"/>
              <w:jc w:val="center"/>
              <w:rPr>
                <w:bCs/>
                <w:color w:val="000000"/>
                <w:sz w:val="18"/>
                <w:szCs w:val="18"/>
              </w:rPr>
            </w:pPr>
            <w:r>
              <w:rPr>
                <w:bCs/>
                <w:color w:val="000000"/>
                <w:sz w:val="18"/>
                <w:szCs w:val="18"/>
              </w:rPr>
              <w:t>通常由注射器以及预装在注射器中的材料，或灌装在瓶中的材料（一般以透明质酸钠为主要成分）组成。</w:t>
            </w:r>
            <w:r>
              <w:rPr>
                <w:bCs/>
                <w:color w:val="000000"/>
                <w:sz w:val="18"/>
                <w:szCs w:val="18"/>
              </w:rPr>
              <w:t>产品不应含有发挥药理学、免疫学或者代谢作用的成分。</w:t>
            </w:r>
          </w:p>
        </w:tc>
        <w:tc>
          <w:tcPr>
            <w:tcW w:w="1114" w:type="dxa"/>
            <w:vAlign w:val="center"/>
          </w:tcPr>
          <w:p w:rsidR="00000000" w:rsidRDefault="00114E80">
            <w:pPr>
              <w:spacing w:line="220" w:lineRule="exact"/>
              <w:jc w:val="center"/>
              <w:rPr>
                <w:bCs/>
                <w:color w:val="000000"/>
                <w:sz w:val="18"/>
                <w:szCs w:val="18"/>
              </w:rPr>
            </w:pPr>
            <w:r>
              <w:rPr>
                <w:bCs/>
                <w:color w:val="000000"/>
                <w:sz w:val="18"/>
                <w:szCs w:val="18"/>
              </w:rPr>
              <w:t>用于注射到真皮层，主要通过所含透明质酸钠等材料的保湿、补水等作用，改善皮肤状态。</w:t>
            </w:r>
          </w:p>
        </w:tc>
        <w:tc>
          <w:tcPr>
            <w:tcW w:w="1473" w:type="dxa"/>
            <w:vAlign w:val="center"/>
          </w:tcPr>
          <w:p w:rsidR="00000000" w:rsidRDefault="00114E80">
            <w:pPr>
              <w:spacing w:line="220" w:lineRule="exact"/>
              <w:jc w:val="center"/>
              <w:rPr>
                <w:bCs/>
                <w:color w:val="000000"/>
                <w:sz w:val="18"/>
                <w:szCs w:val="18"/>
              </w:rPr>
            </w:pPr>
            <w:r>
              <w:rPr>
                <w:bCs/>
                <w:color w:val="000000"/>
                <w:sz w:val="18"/>
                <w:szCs w:val="18"/>
              </w:rPr>
              <w:t>注射用透明质酸钠溶液</w:t>
            </w:r>
          </w:p>
        </w:tc>
        <w:tc>
          <w:tcPr>
            <w:tcW w:w="567" w:type="dxa"/>
            <w:vMerge/>
            <w:vAlign w:val="center"/>
          </w:tcPr>
          <w:p w:rsidR="00000000" w:rsidRDefault="00114E80">
            <w:pPr>
              <w:spacing w:line="240" w:lineRule="exact"/>
              <w:jc w:val="center"/>
              <w:rPr>
                <w:bCs/>
                <w:color w:val="000000"/>
                <w:sz w:val="18"/>
                <w:szCs w:val="18"/>
              </w:rPr>
            </w:pPr>
          </w:p>
        </w:tc>
      </w:tr>
      <w:tr w:rsidR="00000000">
        <w:trPr>
          <w:trHeight w:val="2023"/>
          <w:jc w:val="center"/>
        </w:trPr>
        <w:tc>
          <w:tcPr>
            <w:tcW w:w="474" w:type="dxa"/>
            <w:vAlign w:val="center"/>
          </w:tcPr>
          <w:p w:rsidR="00000000" w:rsidRDefault="00114E80">
            <w:pPr>
              <w:spacing w:line="240" w:lineRule="exact"/>
              <w:jc w:val="center"/>
              <w:rPr>
                <w:bCs/>
                <w:color w:val="000000"/>
                <w:sz w:val="18"/>
                <w:szCs w:val="18"/>
              </w:rPr>
            </w:pPr>
            <w:r>
              <w:rPr>
                <w:rFonts w:hint="eastAsia"/>
                <w:bCs/>
                <w:color w:val="000000"/>
                <w:sz w:val="18"/>
                <w:szCs w:val="18"/>
              </w:rPr>
              <w:lastRenderedPageBreak/>
              <w:t>9</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无源植入器械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09</w:t>
            </w:r>
            <w:r>
              <w:rPr>
                <w:bCs/>
                <w:color w:val="000000"/>
                <w:sz w:val="18"/>
                <w:szCs w:val="18"/>
              </w:rPr>
              <w:t>整形及普通外科植入物</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无源植入器械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09</w:t>
            </w:r>
            <w:r>
              <w:rPr>
                <w:bCs/>
                <w:color w:val="000000"/>
                <w:sz w:val="18"/>
                <w:szCs w:val="18"/>
              </w:rPr>
              <w:t>整形及普通外科植入物</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1</w:t>
            </w:r>
            <w:r>
              <w:rPr>
                <w:bCs/>
                <w:color w:val="000000"/>
                <w:sz w:val="18"/>
                <w:szCs w:val="18"/>
              </w:rPr>
              <w:t>1</w:t>
            </w:r>
            <w:r>
              <w:rPr>
                <w:bCs/>
                <w:color w:val="000000"/>
                <w:sz w:val="18"/>
                <w:szCs w:val="18"/>
              </w:rPr>
              <w:t>整形用植入线材</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通常由不可吸收或可吸收聚合物组成，可带针或不带针。</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用于植入面部组织，以提升松弛下垂的组织，纠正皱纹。</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面部埋植线、面部提拉线、面部锥体提拉线</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1</w:t>
            </w:r>
            <w:r>
              <w:rPr>
                <w:rFonts w:hint="eastAsia"/>
                <w:bCs/>
                <w:color w:val="000000"/>
                <w:sz w:val="18"/>
                <w:szCs w:val="18"/>
              </w:rPr>
              <w:t>0</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无源植入器械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其他</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无源植入器械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其他</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组织诱导性植入器械</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有特定的组成和结构，不添加细胞或活性因子，具有组织诱导性的植入材料或植入器械。</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用于损坏或缺失的组织或器官再生修复。</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骨诱导磷酸钙生物陶瓷</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2302"/>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1</w:t>
            </w:r>
            <w:r>
              <w:rPr>
                <w:rFonts w:hint="eastAsia"/>
                <w:bCs/>
                <w:color w:val="000000"/>
                <w:sz w:val="18"/>
                <w:szCs w:val="18"/>
              </w:rPr>
              <w:t>1</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无源植入器械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其他</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13</w:t>
            </w:r>
            <w:r>
              <w:rPr>
                <w:bCs/>
                <w:color w:val="000000"/>
                <w:sz w:val="18"/>
                <w:szCs w:val="18"/>
              </w:rPr>
              <w:t>无源植</w:t>
            </w:r>
            <w:r>
              <w:rPr>
                <w:bCs/>
                <w:color w:val="000000"/>
                <w:sz w:val="18"/>
                <w:szCs w:val="18"/>
              </w:rPr>
              <w:t>入器械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11</w:t>
            </w:r>
            <w:r>
              <w:rPr>
                <w:bCs/>
                <w:color w:val="000000"/>
                <w:sz w:val="18"/>
                <w:szCs w:val="18"/>
              </w:rPr>
              <w:t>其他</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含几丁糖关节腔内液体</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仅由医用几丁糖、氯化钠、磷酸氢二钠、磷酸二氢钠</w:t>
            </w:r>
            <w:r>
              <w:rPr>
                <w:bCs/>
                <w:color w:val="000000"/>
                <w:sz w:val="18"/>
                <w:szCs w:val="18"/>
              </w:rPr>
              <w:t>、水组成</w:t>
            </w:r>
            <w:r>
              <w:rPr>
                <w:bCs/>
                <w:color w:val="000000"/>
                <w:sz w:val="18"/>
                <w:szCs w:val="18"/>
              </w:rPr>
              <w:t>。</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用于注入关节腔，发挥物理阻隔和润滑作用，防治外伤性或退变性骨关节炎。</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关节腔用医用几丁糖液</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1</w:t>
            </w:r>
            <w:r>
              <w:rPr>
                <w:rFonts w:hint="eastAsia"/>
                <w:bCs/>
                <w:color w:val="000000"/>
                <w:sz w:val="18"/>
                <w:szCs w:val="18"/>
              </w:rPr>
              <w:t>2</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14</w:t>
            </w:r>
            <w:r>
              <w:rPr>
                <w:bCs/>
                <w:color w:val="000000"/>
                <w:sz w:val="18"/>
                <w:szCs w:val="18"/>
              </w:rPr>
              <w:t>注输、护理和防护器械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注射、穿刺器械</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注射针</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通常由针管、针座和护套组成。针管和针座一般采用不锈钢材料制成。非无菌提供，可重复使用。</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用于人体皮内、皮下、消化道黏膜下、肌肉注射或抽取液体。</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一次性使用未灭菌注射针</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14</w:t>
            </w:r>
            <w:r>
              <w:rPr>
                <w:bCs/>
                <w:color w:val="000000"/>
                <w:sz w:val="18"/>
                <w:szCs w:val="18"/>
              </w:rPr>
              <w:t>注输、护理和防护器械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注射、穿刺器械</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注射针</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注</w:t>
            </w:r>
            <w:r>
              <w:rPr>
                <w:bCs/>
                <w:color w:val="000000"/>
                <w:sz w:val="18"/>
                <w:szCs w:val="18"/>
              </w:rPr>
              <w:t>射针</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828"/>
          <w:jc w:val="center"/>
        </w:trPr>
        <w:tc>
          <w:tcPr>
            <w:tcW w:w="474" w:type="dxa"/>
            <w:vMerge w:val="restart"/>
            <w:vAlign w:val="center"/>
          </w:tcPr>
          <w:p w:rsidR="00000000" w:rsidRDefault="00114E80">
            <w:pPr>
              <w:spacing w:line="240" w:lineRule="exact"/>
              <w:jc w:val="center"/>
              <w:rPr>
                <w:bCs/>
                <w:color w:val="000000"/>
                <w:sz w:val="18"/>
                <w:szCs w:val="18"/>
              </w:rPr>
            </w:pPr>
            <w:r>
              <w:rPr>
                <w:bCs/>
                <w:color w:val="000000"/>
                <w:sz w:val="18"/>
                <w:szCs w:val="18"/>
              </w:rPr>
              <w:lastRenderedPageBreak/>
              <w:t>1</w:t>
            </w:r>
            <w:r>
              <w:rPr>
                <w:rFonts w:hint="eastAsia"/>
                <w:bCs/>
                <w:color w:val="000000"/>
                <w:sz w:val="18"/>
                <w:szCs w:val="18"/>
              </w:rPr>
              <w:t>3</w:t>
            </w:r>
          </w:p>
        </w:tc>
        <w:tc>
          <w:tcPr>
            <w:tcW w:w="665" w:type="dxa"/>
            <w:vMerge w:val="restart"/>
            <w:vAlign w:val="center"/>
          </w:tcPr>
          <w:p w:rsidR="00000000" w:rsidRDefault="00114E80">
            <w:pPr>
              <w:spacing w:line="240" w:lineRule="exact"/>
              <w:jc w:val="center"/>
              <w:rPr>
                <w:bCs/>
                <w:color w:val="000000"/>
                <w:sz w:val="18"/>
                <w:szCs w:val="18"/>
              </w:rPr>
            </w:pPr>
            <w:r>
              <w:rPr>
                <w:bCs/>
                <w:color w:val="000000"/>
                <w:sz w:val="18"/>
                <w:szCs w:val="18"/>
              </w:rPr>
              <w:t>16</w:t>
            </w:r>
            <w:r>
              <w:rPr>
                <w:bCs/>
                <w:color w:val="000000"/>
                <w:sz w:val="18"/>
                <w:szCs w:val="18"/>
              </w:rPr>
              <w:t>眼科器械</w:t>
            </w:r>
          </w:p>
        </w:tc>
        <w:tc>
          <w:tcPr>
            <w:tcW w:w="651" w:type="dxa"/>
            <w:vMerge w:val="restart"/>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眼科测量诊断设备和器具</w:t>
            </w:r>
          </w:p>
        </w:tc>
        <w:tc>
          <w:tcPr>
            <w:tcW w:w="615" w:type="dxa"/>
            <w:vMerge w:val="restart"/>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眼科激光诊断设备</w:t>
            </w:r>
          </w:p>
        </w:tc>
        <w:tc>
          <w:tcPr>
            <w:tcW w:w="1666" w:type="dxa"/>
            <w:vMerge w:val="restart"/>
            <w:vAlign w:val="center"/>
          </w:tcPr>
          <w:p w:rsidR="00000000" w:rsidRDefault="00114E80">
            <w:pPr>
              <w:spacing w:line="240" w:lineRule="exact"/>
              <w:jc w:val="center"/>
              <w:rPr>
                <w:bCs/>
                <w:color w:val="000000"/>
                <w:sz w:val="18"/>
                <w:szCs w:val="18"/>
              </w:rPr>
            </w:pPr>
            <w:r>
              <w:rPr>
                <w:bCs/>
                <w:color w:val="000000"/>
                <w:sz w:val="18"/>
                <w:szCs w:val="18"/>
              </w:rPr>
              <w:t>通常由激光光源、激光传输装置和控制装置等部分组成。发生激光，并应用光学断层扫描、共焦激光扫描等技术进行检查诊断的设备。</w:t>
            </w:r>
          </w:p>
        </w:tc>
        <w:tc>
          <w:tcPr>
            <w:tcW w:w="1633" w:type="dxa"/>
            <w:vMerge w:val="restart"/>
            <w:vAlign w:val="center"/>
          </w:tcPr>
          <w:p w:rsidR="00000000" w:rsidRDefault="00114E80">
            <w:pPr>
              <w:spacing w:line="240" w:lineRule="exact"/>
              <w:jc w:val="center"/>
              <w:rPr>
                <w:bCs/>
                <w:color w:val="000000"/>
                <w:sz w:val="18"/>
                <w:szCs w:val="18"/>
              </w:rPr>
            </w:pPr>
            <w:r>
              <w:rPr>
                <w:bCs/>
                <w:color w:val="000000"/>
                <w:sz w:val="18"/>
                <w:szCs w:val="18"/>
              </w:rPr>
              <w:t>用于眼功能和眼部疾患的检查诊断。</w:t>
            </w:r>
          </w:p>
        </w:tc>
        <w:tc>
          <w:tcPr>
            <w:tcW w:w="1531" w:type="dxa"/>
            <w:vMerge w:val="restart"/>
            <w:vAlign w:val="center"/>
          </w:tcPr>
          <w:p w:rsidR="00000000" w:rsidRDefault="00114E80">
            <w:pPr>
              <w:spacing w:line="240" w:lineRule="exact"/>
              <w:jc w:val="center"/>
              <w:rPr>
                <w:bCs/>
                <w:color w:val="000000"/>
                <w:sz w:val="18"/>
                <w:szCs w:val="18"/>
              </w:rPr>
            </w:pPr>
            <w:r>
              <w:rPr>
                <w:bCs/>
                <w:color w:val="000000"/>
                <w:sz w:val="18"/>
                <w:szCs w:val="18"/>
              </w:rPr>
              <w:t>激光扫描检眼镜、共焦激光扫描检眼镜、激光眼科诊断仪、激光前房闪辉测试仪、激光光纤眼科照明仪、共焦激光断层扫描器、激光间接检眼镜</w:t>
            </w:r>
          </w:p>
        </w:tc>
        <w:tc>
          <w:tcPr>
            <w:tcW w:w="567" w:type="dxa"/>
            <w:vMerge w:val="restart"/>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Merge w:val="restart"/>
            <w:vAlign w:val="center"/>
          </w:tcPr>
          <w:p w:rsidR="00000000" w:rsidRDefault="00114E80">
            <w:pPr>
              <w:spacing w:line="240" w:lineRule="exact"/>
              <w:jc w:val="center"/>
              <w:rPr>
                <w:bCs/>
                <w:color w:val="000000"/>
                <w:sz w:val="18"/>
                <w:szCs w:val="18"/>
              </w:rPr>
            </w:pPr>
            <w:r>
              <w:rPr>
                <w:bCs/>
                <w:color w:val="000000"/>
                <w:sz w:val="18"/>
                <w:szCs w:val="18"/>
              </w:rPr>
              <w:t>16</w:t>
            </w:r>
            <w:r>
              <w:rPr>
                <w:bCs/>
                <w:color w:val="000000"/>
                <w:sz w:val="18"/>
                <w:szCs w:val="18"/>
              </w:rPr>
              <w:t>眼科器械</w:t>
            </w:r>
          </w:p>
        </w:tc>
        <w:tc>
          <w:tcPr>
            <w:tcW w:w="985" w:type="dxa"/>
            <w:vMerge w:val="restart"/>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眼科测量诊断设备和器具</w:t>
            </w:r>
          </w:p>
        </w:tc>
        <w:tc>
          <w:tcPr>
            <w:tcW w:w="925" w:type="dxa"/>
            <w:vMerge w:val="restart"/>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眼科激光诊断设备</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通常由激光光源、激光传输装置和控制装置等部分组成。发生强激光（</w:t>
            </w:r>
            <w:r>
              <w:rPr>
                <w:bCs/>
                <w:color w:val="000000"/>
                <w:sz w:val="18"/>
                <w:szCs w:val="18"/>
              </w:rPr>
              <w:t>GB</w:t>
            </w:r>
            <w:r>
              <w:rPr>
                <w:bCs/>
                <w:color w:val="000000"/>
                <w:sz w:val="18"/>
                <w:szCs w:val="18"/>
              </w:rPr>
              <w:t xml:space="preserve"> </w:t>
            </w:r>
            <w:r>
              <w:rPr>
                <w:bCs/>
                <w:color w:val="000000"/>
                <w:sz w:val="18"/>
                <w:szCs w:val="18"/>
              </w:rPr>
              <w:t>7247</w:t>
            </w:r>
            <w:r>
              <w:rPr>
                <w:bCs/>
                <w:color w:val="000000"/>
                <w:sz w:val="18"/>
                <w:szCs w:val="18"/>
              </w:rPr>
              <w:t>标准的</w:t>
            </w:r>
            <w:r>
              <w:rPr>
                <w:bCs/>
                <w:color w:val="000000"/>
                <w:sz w:val="18"/>
                <w:szCs w:val="18"/>
              </w:rPr>
              <w:t>3B</w:t>
            </w:r>
            <w:r>
              <w:rPr>
                <w:bCs/>
                <w:color w:val="000000"/>
                <w:sz w:val="18"/>
                <w:szCs w:val="18"/>
              </w:rPr>
              <w:t>、</w:t>
            </w:r>
            <w:r>
              <w:rPr>
                <w:bCs/>
                <w:color w:val="000000"/>
                <w:sz w:val="18"/>
                <w:szCs w:val="18"/>
              </w:rPr>
              <w:t>4</w:t>
            </w:r>
            <w:r>
              <w:rPr>
                <w:bCs/>
                <w:color w:val="000000"/>
                <w:sz w:val="18"/>
                <w:szCs w:val="18"/>
              </w:rPr>
              <w:t>），并应用光学断层扫描、共焦激光扫描等技术进行检查诊断的设备。</w:t>
            </w:r>
          </w:p>
        </w:tc>
        <w:tc>
          <w:tcPr>
            <w:tcW w:w="1114" w:type="dxa"/>
            <w:vMerge w:val="restart"/>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Merge w:val="restart"/>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567"/>
          <w:jc w:val="center"/>
        </w:trPr>
        <w:tc>
          <w:tcPr>
            <w:tcW w:w="474" w:type="dxa"/>
            <w:vMerge/>
            <w:vAlign w:val="center"/>
          </w:tcPr>
          <w:p w:rsidR="00000000" w:rsidRDefault="00114E80">
            <w:pPr>
              <w:spacing w:line="240" w:lineRule="exact"/>
              <w:jc w:val="center"/>
              <w:rPr>
                <w:bCs/>
                <w:color w:val="000000"/>
                <w:sz w:val="18"/>
                <w:szCs w:val="18"/>
              </w:rPr>
            </w:pPr>
          </w:p>
        </w:tc>
        <w:tc>
          <w:tcPr>
            <w:tcW w:w="665" w:type="dxa"/>
            <w:vMerge/>
            <w:vAlign w:val="center"/>
          </w:tcPr>
          <w:p w:rsidR="00000000" w:rsidRDefault="00114E80">
            <w:pPr>
              <w:spacing w:line="240" w:lineRule="exact"/>
              <w:rPr>
                <w:bCs/>
                <w:color w:val="000000"/>
                <w:sz w:val="18"/>
                <w:szCs w:val="18"/>
              </w:rPr>
            </w:pPr>
          </w:p>
        </w:tc>
        <w:tc>
          <w:tcPr>
            <w:tcW w:w="651" w:type="dxa"/>
            <w:vMerge/>
            <w:vAlign w:val="center"/>
          </w:tcPr>
          <w:p w:rsidR="00000000" w:rsidRDefault="00114E80">
            <w:pPr>
              <w:spacing w:line="240" w:lineRule="exact"/>
              <w:rPr>
                <w:bCs/>
                <w:color w:val="000000"/>
                <w:sz w:val="18"/>
                <w:szCs w:val="18"/>
              </w:rPr>
            </w:pPr>
          </w:p>
        </w:tc>
        <w:tc>
          <w:tcPr>
            <w:tcW w:w="615" w:type="dxa"/>
            <w:vMerge/>
            <w:vAlign w:val="center"/>
          </w:tcPr>
          <w:p w:rsidR="00000000" w:rsidRDefault="00114E80">
            <w:pPr>
              <w:spacing w:line="240" w:lineRule="exact"/>
              <w:rPr>
                <w:bCs/>
                <w:color w:val="000000"/>
                <w:sz w:val="18"/>
                <w:szCs w:val="18"/>
              </w:rPr>
            </w:pPr>
          </w:p>
        </w:tc>
        <w:tc>
          <w:tcPr>
            <w:tcW w:w="1666" w:type="dxa"/>
            <w:vMerge/>
            <w:vAlign w:val="center"/>
          </w:tcPr>
          <w:p w:rsidR="00000000" w:rsidRDefault="00114E80">
            <w:pPr>
              <w:spacing w:line="240" w:lineRule="exact"/>
              <w:rPr>
                <w:bCs/>
                <w:color w:val="000000"/>
                <w:sz w:val="18"/>
                <w:szCs w:val="18"/>
              </w:rPr>
            </w:pPr>
          </w:p>
        </w:tc>
        <w:tc>
          <w:tcPr>
            <w:tcW w:w="1633" w:type="dxa"/>
            <w:vMerge/>
            <w:vAlign w:val="center"/>
          </w:tcPr>
          <w:p w:rsidR="00000000" w:rsidRDefault="00114E80">
            <w:pPr>
              <w:spacing w:line="240" w:lineRule="exact"/>
              <w:rPr>
                <w:bCs/>
                <w:color w:val="000000"/>
                <w:sz w:val="18"/>
                <w:szCs w:val="18"/>
              </w:rPr>
            </w:pPr>
          </w:p>
        </w:tc>
        <w:tc>
          <w:tcPr>
            <w:tcW w:w="1531" w:type="dxa"/>
            <w:vMerge/>
            <w:vAlign w:val="center"/>
          </w:tcPr>
          <w:p w:rsidR="00000000" w:rsidRDefault="00114E80">
            <w:pPr>
              <w:spacing w:line="240" w:lineRule="exact"/>
              <w:rPr>
                <w:bCs/>
                <w:color w:val="000000"/>
                <w:sz w:val="18"/>
                <w:szCs w:val="18"/>
              </w:rPr>
            </w:pPr>
          </w:p>
        </w:tc>
        <w:tc>
          <w:tcPr>
            <w:tcW w:w="567" w:type="dxa"/>
            <w:vMerge/>
            <w:vAlign w:val="center"/>
          </w:tcPr>
          <w:p w:rsidR="00000000" w:rsidRDefault="00114E80">
            <w:pPr>
              <w:spacing w:line="240" w:lineRule="exact"/>
              <w:rPr>
                <w:bCs/>
                <w:color w:val="000000"/>
                <w:sz w:val="18"/>
                <w:szCs w:val="18"/>
              </w:rPr>
            </w:pPr>
          </w:p>
        </w:tc>
        <w:tc>
          <w:tcPr>
            <w:tcW w:w="645" w:type="dxa"/>
            <w:vMerge/>
            <w:vAlign w:val="center"/>
          </w:tcPr>
          <w:p w:rsidR="00000000" w:rsidRDefault="00114E80">
            <w:pPr>
              <w:spacing w:line="240" w:lineRule="exact"/>
              <w:rPr>
                <w:bCs/>
                <w:color w:val="000000"/>
                <w:sz w:val="18"/>
                <w:szCs w:val="18"/>
              </w:rPr>
            </w:pPr>
          </w:p>
        </w:tc>
        <w:tc>
          <w:tcPr>
            <w:tcW w:w="985" w:type="dxa"/>
            <w:vMerge/>
            <w:vAlign w:val="center"/>
          </w:tcPr>
          <w:p w:rsidR="00000000" w:rsidRDefault="00114E80">
            <w:pPr>
              <w:spacing w:line="240" w:lineRule="exact"/>
              <w:rPr>
                <w:bCs/>
                <w:color w:val="000000"/>
                <w:sz w:val="18"/>
                <w:szCs w:val="18"/>
              </w:rPr>
            </w:pPr>
          </w:p>
        </w:tc>
        <w:tc>
          <w:tcPr>
            <w:tcW w:w="925" w:type="dxa"/>
            <w:vMerge/>
            <w:vAlign w:val="center"/>
          </w:tcPr>
          <w:p w:rsidR="00000000" w:rsidRDefault="00114E80">
            <w:pPr>
              <w:spacing w:line="240" w:lineRule="exact"/>
              <w:rPr>
                <w:bCs/>
                <w:color w:val="000000"/>
                <w:sz w:val="18"/>
                <w:szCs w:val="18"/>
              </w:rPr>
            </w:pP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通常由激光光源、激光传输装置和控制装置等部分组成。发生弱激光（小于等于</w:t>
            </w:r>
            <w:r>
              <w:rPr>
                <w:bCs/>
                <w:color w:val="000000"/>
                <w:sz w:val="18"/>
                <w:szCs w:val="18"/>
              </w:rPr>
              <w:t>GB</w:t>
            </w:r>
            <w:r>
              <w:rPr>
                <w:bCs/>
                <w:color w:val="000000"/>
                <w:sz w:val="18"/>
                <w:szCs w:val="18"/>
              </w:rPr>
              <w:t xml:space="preserve"> </w:t>
            </w:r>
            <w:r>
              <w:rPr>
                <w:bCs/>
                <w:color w:val="000000"/>
                <w:sz w:val="18"/>
                <w:szCs w:val="18"/>
              </w:rPr>
              <w:t>7247</w:t>
            </w:r>
            <w:r>
              <w:rPr>
                <w:bCs/>
                <w:color w:val="000000"/>
                <w:sz w:val="18"/>
                <w:szCs w:val="18"/>
              </w:rPr>
              <w:t>标准的</w:t>
            </w:r>
            <w:r>
              <w:rPr>
                <w:bCs/>
                <w:color w:val="000000"/>
                <w:sz w:val="18"/>
                <w:szCs w:val="18"/>
              </w:rPr>
              <w:t>3R</w:t>
            </w:r>
            <w:r>
              <w:rPr>
                <w:bCs/>
                <w:color w:val="000000"/>
                <w:sz w:val="18"/>
                <w:szCs w:val="18"/>
              </w:rPr>
              <w:t>），并应用光学断层扫描、共焦激光扫描等技术进行检查诊断的设备。</w:t>
            </w:r>
          </w:p>
        </w:tc>
        <w:tc>
          <w:tcPr>
            <w:tcW w:w="1114" w:type="dxa"/>
            <w:vMerge/>
            <w:vAlign w:val="center"/>
          </w:tcPr>
          <w:p w:rsidR="00000000" w:rsidRDefault="00114E80">
            <w:pPr>
              <w:spacing w:line="240" w:lineRule="exact"/>
              <w:rPr>
                <w:bCs/>
                <w:color w:val="000000"/>
                <w:sz w:val="18"/>
                <w:szCs w:val="18"/>
              </w:rPr>
            </w:pPr>
          </w:p>
        </w:tc>
        <w:tc>
          <w:tcPr>
            <w:tcW w:w="1473" w:type="dxa"/>
            <w:vMerge/>
            <w:vAlign w:val="center"/>
          </w:tcPr>
          <w:p w:rsidR="00000000" w:rsidRDefault="00114E80">
            <w:pPr>
              <w:spacing w:line="240" w:lineRule="exact"/>
              <w:rPr>
                <w:bCs/>
                <w:color w:val="000000"/>
                <w:sz w:val="18"/>
                <w:szCs w:val="18"/>
              </w:rPr>
            </w:pP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r>
      <w:tr w:rsidR="00000000">
        <w:trPr>
          <w:trHeight w:val="1695"/>
          <w:jc w:val="center"/>
        </w:trPr>
        <w:tc>
          <w:tcPr>
            <w:tcW w:w="474" w:type="dxa"/>
            <w:vMerge w:val="restart"/>
            <w:vAlign w:val="center"/>
          </w:tcPr>
          <w:p w:rsidR="00000000" w:rsidRDefault="00114E80">
            <w:pPr>
              <w:spacing w:line="240" w:lineRule="exact"/>
              <w:jc w:val="center"/>
              <w:rPr>
                <w:bCs/>
                <w:color w:val="000000"/>
                <w:sz w:val="18"/>
                <w:szCs w:val="18"/>
              </w:rPr>
            </w:pPr>
            <w:r>
              <w:rPr>
                <w:rFonts w:hint="eastAsia"/>
                <w:bCs/>
                <w:color w:val="000000"/>
                <w:sz w:val="18"/>
                <w:szCs w:val="18"/>
              </w:rPr>
              <w:t>14</w:t>
            </w:r>
          </w:p>
        </w:tc>
        <w:tc>
          <w:tcPr>
            <w:tcW w:w="665" w:type="dxa"/>
            <w:vMerge w:val="restart"/>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651" w:type="dxa"/>
            <w:vMerge w:val="restart"/>
            <w:vAlign w:val="center"/>
          </w:tcPr>
          <w:p w:rsidR="00000000" w:rsidRDefault="00114E80">
            <w:pPr>
              <w:spacing w:line="240" w:lineRule="exact"/>
              <w:jc w:val="center"/>
              <w:rPr>
                <w:bCs/>
                <w:color w:val="000000"/>
                <w:sz w:val="18"/>
                <w:szCs w:val="18"/>
              </w:rPr>
            </w:pPr>
            <w:r>
              <w:rPr>
                <w:rFonts w:eastAsia="等线"/>
                <w:bCs/>
                <w:color w:val="000000"/>
                <w:sz w:val="18"/>
                <w:szCs w:val="18"/>
              </w:rPr>
              <w:t>03</w:t>
            </w:r>
            <w:r>
              <w:rPr>
                <w:bCs/>
                <w:color w:val="000000"/>
                <w:sz w:val="18"/>
                <w:szCs w:val="18"/>
              </w:rPr>
              <w:t>口腔治疗设备</w:t>
            </w:r>
          </w:p>
        </w:tc>
        <w:tc>
          <w:tcPr>
            <w:tcW w:w="615" w:type="dxa"/>
            <w:vMerge w:val="restart"/>
            <w:vAlign w:val="center"/>
          </w:tcPr>
          <w:p w:rsidR="00000000" w:rsidRDefault="00114E80">
            <w:pPr>
              <w:spacing w:line="240" w:lineRule="exact"/>
              <w:jc w:val="center"/>
              <w:rPr>
                <w:bCs/>
                <w:color w:val="000000"/>
                <w:sz w:val="18"/>
                <w:szCs w:val="18"/>
              </w:rPr>
            </w:pPr>
            <w:r>
              <w:rPr>
                <w:rFonts w:eastAsia="等线"/>
                <w:bCs/>
                <w:color w:val="000000"/>
                <w:sz w:val="18"/>
                <w:szCs w:val="18"/>
              </w:rPr>
              <w:t>08</w:t>
            </w:r>
            <w:r>
              <w:rPr>
                <w:bCs/>
                <w:color w:val="000000"/>
                <w:sz w:val="18"/>
                <w:szCs w:val="18"/>
              </w:rPr>
              <w:t>牙齿漂白设备</w:t>
            </w:r>
          </w:p>
        </w:tc>
        <w:tc>
          <w:tcPr>
            <w:tcW w:w="1666" w:type="dxa"/>
            <w:vMerge w:val="restart"/>
            <w:vAlign w:val="center"/>
          </w:tcPr>
          <w:p w:rsidR="00000000" w:rsidRDefault="00114E80">
            <w:pPr>
              <w:spacing w:line="240" w:lineRule="exact"/>
              <w:jc w:val="center"/>
              <w:rPr>
                <w:bCs/>
                <w:color w:val="000000"/>
                <w:sz w:val="18"/>
                <w:szCs w:val="18"/>
              </w:rPr>
            </w:pPr>
            <w:r>
              <w:rPr>
                <w:bCs/>
                <w:color w:val="000000"/>
                <w:sz w:val="18"/>
                <w:szCs w:val="18"/>
              </w:rPr>
              <w:t>通常由主机、旋转臂和底座组成。通过产生特定波长范围的冷光，照射涂于牙齿表面的漂白剂，使漂白剂发生光催化氧化还原反应。</w:t>
            </w:r>
          </w:p>
        </w:tc>
        <w:tc>
          <w:tcPr>
            <w:tcW w:w="1633" w:type="dxa"/>
            <w:vMerge w:val="restart"/>
            <w:vAlign w:val="center"/>
          </w:tcPr>
          <w:p w:rsidR="00000000" w:rsidRDefault="00114E80">
            <w:pPr>
              <w:spacing w:line="240" w:lineRule="exact"/>
              <w:jc w:val="center"/>
              <w:rPr>
                <w:bCs/>
                <w:color w:val="000000"/>
                <w:sz w:val="18"/>
                <w:szCs w:val="18"/>
              </w:rPr>
            </w:pPr>
            <w:r>
              <w:rPr>
                <w:bCs/>
                <w:color w:val="000000"/>
                <w:sz w:val="18"/>
                <w:szCs w:val="18"/>
              </w:rPr>
              <w:t>用于催化漂白剂化学反应，使牙齿漂白。</w:t>
            </w:r>
          </w:p>
        </w:tc>
        <w:tc>
          <w:tcPr>
            <w:tcW w:w="1531" w:type="dxa"/>
            <w:vMerge w:val="restart"/>
            <w:vAlign w:val="center"/>
          </w:tcPr>
          <w:p w:rsidR="00000000" w:rsidRDefault="00114E80">
            <w:pPr>
              <w:spacing w:line="240" w:lineRule="exact"/>
              <w:jc w:val="center"/>
              <w:rPr>
                <w:bCs/>
                <w:color w:val="000000"/>
                <w:sz w:val="18"/>
                <w:szCs w:val="18"/>
              </w:rPr>
            </w:pPr>
            <w:r>
              <w:rPr>
                <w:bCs/>
                <w:color w:val="000000"/>
                <w:sz w:val="18"/>
                <w:szCs w:val="18"/>
              </w:rPr>
              <w:t>牙齿冷光</w:t>
            </w:r>
            <w:r>
              <w:rPr>
                <w:bCs/>
                <w:color w:val="000000"/>
                <w:sz w:val="18"/>
                <w:szCs w:val="18"/>
              </w:rPr>
              <w:t>漂白仪</w:t>
            </w:r>
          </w:p>
        </w:tc>
        <w:tc>
          <w:tcPr>
            <w:tcW w:w="567" w:type="dxa"/>
            <w:vMerge w:val="restart"/>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Merge w:val="restart"/>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985" w:type="dxa"/>
            <w:vMerge w:val="restart"/>
            <w:vAlign w:val="center"/>
          </w:tcPr>
          <w:p w:rsidR="00000000" w:rsidRDefault="00114E80">
            <w:pPr>
              <w:spacing w:line="240" w:lineRule="exact"/>
              <w:jc w:val="center"/>
              <w:rPr>
                <w:bCs/>
                <w:color w:val="000000"/>
                <w:sz w:val="18"/>
                <w:szCs w:val="18"/>
              </w:rPr>
            </w:pPr>
            <w:r>
              <w:rPr>
                <w:rFonts w:eastAsia="等线"/>
                <w:bCs/>
                <w:color w:val="000000"/>
                <w:sz w:val="18"/>
                <w:szCs w:val="18"/>
              </w:rPr>
              <w:t>03</w:t>
            </w:r>
            <w:r>
              <w:rPr>
                <w:rFonts w:eastAsia="等线"/>
                <w:bCs/>
                <w:color w:val="000000"/>
                <w:sz w:val="18"/>
                <w:szCs w:val="18"/>
              </w:rPr>
              <w:t>口腔治疗设备</w:t>
            </w:r>
          </w:p>
        </w:tc>
        <w:tc>
          <w:tcPr>
            <w:tcW w:w="925" w:type="dxa"/>
            <w:vMerge w:val="restart"/>
            <w:vAlign w:val="center"/>
          </w:tcPr>
          <w:p w:rsidR="00000000" w:rsidRDefault="00114E80">
            <w:pPr>
              <w:spacing w:line="240" w:lineRule="exact"/>
              <w:jc w:val="center"/>
              <w:rPr>
                <w:bCs/>
                <w:color w:val="000000"/>
                <w:sz w:val="18"/>
                <w:szCs w:val="18"/>
              </w:rPr>
            </w:pPr>
            <w:r>
              <w:rPr>
                <w:rFonts w:eastAsia="等线"/>
                <w:bCs/>
                <w:color w:val="000000"/>
                <w:sz w:val="18"/>
                <w:szCs w:val="18"/>
              </w:rPr>
              <w:t>08</w:t>
            </w:r>
            <w:r>
              <w:rPr>
                <w:bCs/>
                <w:color w:val="000000"/>
                <w:sz w:val="18"/>
                <w:szCs w:val="18"/>
              </w:rPr>
              <w:t>牙齿漂白设备及配套用漂白剂</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通常由主机、旋转臂和底座组成。通过产生特定波长范围的冷光，照射涂于牙齿表面的漂白剂，使漂白剂发生光催化氧化还原反应。</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用于催化漂白剂化学反应，使牙齿漂白。</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牙齿冷光漂白仪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r>
      <w:tr w:rsidR="00000000">
        <w:trPr>
          <w:trHeight w:val="1695"/>
          <w:jc w:val="center"/>
        </w:trPr>
        <w:tc>
          <w:tcPr>
            <w:tcW w:w="474" w:type="dxa"/>
            <w:vMerge/>
            <w:vAlign w:val="center"/>
          </w:tcPr>
          <w:p w:rsidR="00000000" w:rsidRDefault="00114E80">
            <w:pPr>
              <w:spacing w:line="240" w:lineRule="exact"/>
              <w:jc w:val="center"/>
              <w:rPr>
                <w:bCs/>
                <w:color w:val="000000"/>
                <w:sz w:val="18"/>
                <w:szCs w:val="18"/>
              </w:rPr>
            </w:pPr>
          </w:p>
        </w:tc>
        <w:tc>
          <w:tcPr>
            <w:tcW w:w="665" w:type="dxa"/>
            <w:vMerge/>
            <w:vAlign w:val="center"/>
          </w:tcPr>
          <w:p w:rsidR="00000000" w:rsidRDefault="00114E80">
            <w:pPr>
              <w:spacing w:line="240" w:lineRule="exact"/>
              <w:jc w:val="center"/>
              <w:rPr>
                <w:rFonts w:eastAsia="等线"/>
                <w:bCs/>
                <w:color w:val="000000"/>
                <w:sz w:val="18"/>
                <w:szCs w:val="18"/>
              </w:rPr>
            </w:pPr>
          </w:p>
        </w:tc>
        <w:tc>
          <w:tcPr>
            <w:tcW w:w="651" w:type="dxa"/>
            <w:vMerge/>
            <w:vAlign w:val="center"/>
          </w:tcPr>
          <w:p w:rsidR="00000000" w:rsidRDefault="00114E80">
            <w:pPr>
              <w:spacing w:line="240" w:lineRule="exact"/>
              <w:jc w:val="center"/>
              <w:rPr>
                <w:bCs/>
                <w:color w:val="000000"/>
                <w:sz w:val="18"/>
                <w:szCs w:val="18"/>
              </w:rPr>
            </w:pPr>
          </w:p>
        </w:tc>
        <w:tc>
          <w:tcPr>
            <w:tcW w:w="615" w:type="dxa"/>
            <w:vMerge/>
            <w:vAlign w:val="center"/>
          </w:tcPr>
          <w:p w:rsidR="00000000" w:rsidRDefault="00114E80">
            <w:pPr>
              <w:spacing w:line="240" w:lineRule="exact"/>
              <w:jc w:val="center"/>
              <w:rPr>
                <w:bCs/>
                <w:color w:val="000000"/>
                <w:sz w:val="18"/>
                <w:szCs w:val="18"/>
              </w:rPr>
            </w:pPr>
          </w:p>
        </w:tc>
        <w:tc>
          <w:tcPr>
            <w:tcW w:w="1666" w:type="dxa"/>
            <w:vMerge/>
            <w:vAlign w:val="center"/>
          </w:tcPr>
          <w:p w:rsidR="00000000" w:rsidRDefault="00114E80">
            <w:pPr>
              <w:spacing w:line="240" w:lineRule="exact"/>
              <w:jc w:val="center"/>
              <w:rPr>
                <w:bCs/>
                <w:color w:val="000000"/>
                <w:sz w:val="18"/>
                <w:szCs w:val="18"/>
              </w:rPr>
            </w:pPr>
          </w:p>
        </w:tc>
        <w:tc>
          <w:tcPr>
            <w:tcW w:w="1633" w:type="dxa"/>
            <w:vMerge/>
            <w:vAlign w:val="center"/>
          </w:tcPr>
          <w:p w:rsidR="00000000" w:rsidRDefault="00114E80">
            <w:pPr>
              <w:spacing w:line="240" w:lineRule="exact"/>
              <w:jc w:val="center"/>
              <w:rPr>
                <w:bCs/>
                <w:color w:val="000000"/>
                <w:sz w:val="18"/>
                <w:szCs w:val="18"/>
              </w:rPr>
            </w:pPr>
          </w:p>
        </w:tc>
        <w:tc>
          <w:tcPr>
            <w:tcW w:w="1531" w:type="dxa"/>
            <w:vMerge/>
            <w:vAlign w:val="center"/>
          </w:tcPr>
          <w:p w:rsidR="00000000" w:rsidRDefault="00114E80">
            <w:pPr>
              <w:spacing w:line="240" w:lineRule="exact"/>
              <w:jc w:val="center"/>
              <w:rPr>
                <w:bCs/>
                <w:color w:val="000000"/>
                <w:sz w:val="18"/>
                <w:szCs w:val="18"/>
              </w:rPr>
            </w:pPr>
          </w:p>
        </w:tc>
        <w:tc>
          <w:tcPr>
            <w:tcW w:w="567" w:type="dxa"/>
            <w:vMerge/>
            <w:vAlign w:val="center"/>
          </w:tcPr>
          <w:p w:rsidR="00000000" w:rsidRDefault="00114E80">
            <w:pPr>
              <w:spacing w:line="240" w:lineRule="exact"/>
              <w:jc w:val="center"/>
              <w:rPr>
                <w:bCs/>
                <w:color w:val="000000"/>
                <w:sz w:val="18"/>
                <w:szCs w:val="18"/>
              </w:rPr>
            </w:pPr>
          </w:p>
        </w:tc>
        <w:tc>
          <w:tcPr>
            <w:tcW w:w="645" w:type="dxa"/>
            <w:vMerge/>
            <w:vAlign w:val="center"/>
          </w:tcPr>
          <w:p w:rsidR="00000000" w:rsidRDefault="00114E80">
            <w:pPr>
              <w:spacing w:line="240" w:lineRule="exact"/>
              <w:jc w:val="center"/>
              <w:rPr>
                <w:rFonts w:eastAsia="等线"/>
                <w:bCs/>
                <w:color w:val="000000"/>
                <w:sz w:val="18"/>
                <w:szCs w:val="18"/>
              </w:rPr>
            </w:pPr>
          </w:p>
        </w:tc>
        <w:tc>
          <w:tcPr>
            <w:tcW w:w="985" w:type="dxa"/>
            <w:vMerge/>
            <w:vAlign w:val="center"/>
          </w:tcPr>
          <w:p w:rsidR="00000000" w:rsidRDefault="00114E80">
            <w:pPr>
              <w:spacing w:line="240" w:lineRule="exact"/>
              <w:jc w:val="center"/>
              <w:rPr>
                <w:bCs/>
                <w:color w:val="000000"/>
                <w:sz w:val="18"/>
                <w:szCs w:val="18"/>
              </w:rPr>
            </w:pPr>
          </w:p>
        </w:tc>
        <w:tc>
          <w:tcPr>
            <w:tcW w:w="925" w:type="dxa"/>
            <w:vMerge/>
            <w:vAlign w:val="center"/>
          </w:tcPr>
          <w:p w:rsidR="00000000" w:rsidRDefault="00114E80">
            <w:pPr>
              <w:spacing w:line="240" w:lineRule="exact"/>
              <w:jc w:val="center"/>
              <w:rPr>
                <w:bCs/>
                <w:color w:val="000000"/>
                <w:sz w:val="18"/>
                <w:szCs w:val="18"/>
              </w:rPr>
            </w:pP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糊，粉、液剂或胶体。通常为过氧化物，如过氧化氢、过氧化脲等。通过氧化</w:t>
            </w:r>
            <w:r>
              <w:rPr>
                <w:bCs/>
                <w:color w:val="000000"/>
                <w:sz w:val="18"/>
                <w:szCs w:val="18"/>
              </w:rPr>
              <w:t>-</w:t>
            </w:r>
            <w:r>
              <w:rPr>
                <w:bCs/>
                <w:color w:val="000000"/>
                <w:sz w:val="18"/>
                <w:szCs w:val="18"/>
              </w:rPr>
              <w:t>还原反应起到漂白作用。</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在牙齿漂白设备照射下，用于牙齿的漂白。</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死髓牙漂白胶、牙齿漂白剂、牙齿漂白胶、牙齿漂白贴</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3587"/>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lastRenderedPageBreak/>
              <w:t>15</w:t>
            </w:r>
          </w:p>
        </w:tc>
        <w:tc>
          <w:tcPr>
            <w:tcW w:w="66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口腔义齿制作材料</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口腔义齿制作材料</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w:t>
            </w:r>
            <w:r>
              <w:rPr>
                <w:bCs/>
                <w:color w:val="000000"/>
                <w:sz w:val="18"/>
                <w:szCs w:val="18"/>
              </w:rPr>
              <w:t>7</w:t>
            </w:r>
            <w:r>
              <w:rPr>
                <w:bCs/>
                <w:color w:val="000000"/>
                <w:sz w:val="18"/>
                <w:szCs w:val="18"/>
              </w:rPr>
              <w:t>增材制造用金属、陶瓷义齿制作材料</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通常为采用钛、钴铬合金和钛合金等金属及陶瓷材料制成的粉末。</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用于通过增材制造技术（如</w:t>
            </w:r>
            <w:r>
              <w:rPr>
                <w:bCs/>
                <w:color w:val="000000"/>
                <w:sz w:val="18"/>
                <w:szCs w:val="18"/>
              </w:rPr>
              <w:t>3D</w:t>
            </w:r>
            <w:r>
              <w:rPr>
                <w:bCs/>
                <w:color w:val="000000"/>
                <w:sz w:val="18"/>
                <w:szCs w:val="18"/>
              </w:rPr>
              <w:t>打印技术），制作定制式义齿，包括金属烤瓷冠、金属烤瓷桥、金属冠、金属桥、全瓷冠、全瓷桥等。</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牙科</w:t>
            </w:r>
            <w:r>
              <w:rPr>
                <w:bCs/>
                <w:color w:val="000000"/>
                <w:sz w:val="18"/>
                <w:szCs w:val="18"/>
              </w:rPr>
              <w:t>3D</w:t>
            </w:r>
            <w:r>
              <w:rPr>
                <w:bCs/>
                <w:color w:val="000000"/>
                <w:sz w:val="18"/>
                <w:szCs w:val="18"/>
              </w:rPr>
              <w:t>打印用钴铬合金粉末、增材制造全瓷义齿用氧化锆浆料</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r>
      <w:tr w:rsidR="00000000">
        <w:trPr>
          <w:trHeight w:val="220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1</w:t>
            </w:r>
            <w:r>
              <w:rPr>
                <w:bCs/>
                <w:color w:val="000000"/>
                <w:sz w:val="18"/>
                <w:szCs w:val="18"/>
              </w:rPr>
              <w:t>6</w:t>
            </w:r>
          </w:p>
        </w:tc>
        <w:tc>
          <w:tcPr>
            <w:tcW w:w="66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08</w:t>
            </w:r>
            <w:r>
              <w:rPr>
                <w:bCs/>
                <w:color w:val="000000"/>
                <w:sz w:val="18"/>
                <w:szCs w:val="18"/>
              </w:rPr>
              <w:t>口腔植入及组织重建材料</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种植辅助材料</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w:t>
            </w:r>
          </w:p>
        </w:tc>
        <w:tc>
          <w:tcPr>
            <w:tcW w:w="64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08</w:t>
            </w:r>
            <w:r>
              <w:rPr>
                <w:bCs/>
                <w:color w:val="000000"/>
                <w:sz w:val="18"/>
                <w:szCs w:val="18"/>
              </w:rPr>
              <w:t>口腔植入及组织重建材料</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种植辅助材料</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通常由金属和高分子材料制成</w:t>
            </w:r>
            <w:r>
              <w:rPr>
                <w:bCs/>
                <w:color w:val="000000"/>
                <w:sz w:val="18"/>
                <w:szCs w:val="18"/>
              </w:rPr>
              <w:t>。</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通过增材制造技术（如</w:t>
            </w:r>
            <w:r>
              <w:rPr>
                <w:bCs/>
                <w:color w:val="000000"/>
                <w:sz w:val="18"/>
                <w:szCs w:val="18"/>
              </w:rPr>
              <w:t>3D</w:t>
            </w:r>
            <w:r>
              <w:rPr>
                <w:bCs/>
                <w:color w:val="000000"/>
                <w:sz w:val="18"/>
                <w:szCs w:val="18"/>
              </w:rPr>
              <w:t>打印技术）制成。用于辅助种植体植入的定位。</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个性化</w:t>
            </w:r>
            <w:r>
              <w:rPr>
                <w:bCs/>
                <w:color w:val="000000"/>
                <w:sz w:val="18"/>
                <w:szCs w:val="18"/>
              </w:rPr>
              <w:t>牙科种植用导板</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r>
      <w:tr w:rsidR="00000000">
        <w:trPr>
          <w:trHeight w:val="2241"/>
          <w:jc w:val="center"/>
        </w:trPr>
        <w:tc>
          <w:tcPr>
            <w:tcW w:w="474" w:type="dxa"/>
            <w:vAlign w:val="center"/>
          </w:tcPr>
          <w:p w:rsidR="00000000" w:rsidRDefault="00114E80">
            <w:pPr>
              <w:spacing w:line="240" w:lineRule="exact"/>
              <w:jc w:val="center"/>
              <w:rPr>
                <w:rFonts w:hint="eastAsia"/>
                <w:bCs/>
                <w:color w:val="000000"/>
                <w:sz w:val="18"/>
                <w:szCs w:val="18"/>
              </w:rPr>
            </w:pPr>
            <w:r>
              <w:rPr>
                <w:bCs/>
                <w:color w:val="000000"/>
                <w:sz w:val="18"/>
                <w:szCs w:val="18"/>
              </w:rPr>
              <w:t>1</w:t>
            </w:r>
            <w:r>
              <w:rPr>
                <w:rFonts w:hint="eastAsia"/>
                <w:bCs/>
                <w:color w:val="000000"/>
                <w:sz w:val="18"/>
                <w:szCs w:val="18"/>
              </w:rPr>
              <w:t>7</w:t>
            </w:r>
          </w:p>
        </w:tc>
        <w:tc>
          <w:tcPr>
            <w:tcW w:w="66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其他口腔材料</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牙齿漂白材料</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糊，粉、液剂或胶体。通常为过氧化物，如过氧化氢、过氧化脲等。通过氧化</w:t>
            </w:r>
            <w:r>
              <w:rPr>
                <w:bCs/>
                <w:color w:val="000000"/>
                <w:sz w:val="18"/>
                <w:szCs w:val="18"/>
              </w:rPr>
              <w:t>-</w:t>
            </w:r>
            <w:r>
              <w:rPr>
                <w:bCs/>
                <w:color w:val="000000"/>
                <w:sz w:val="18"/>
                <w:szCs w:val="18"/>
              </w:rPr>
              <w:t>还原反应起到漂白作用。</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用于牙齿的漂白。</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死髓牙漂白胶、牙齿漂白剂、牙齿漂白胶、牙齿漂白贴</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Align w:val="center"/>
          </w:tcPr>
          <w:p w:rsidR="00000000" w:rsidRDefault="00114E80">
            <w:pPr>
              <w:spacing w:line="240" w:lineRule="exact"/>
              <w:jc w:val="center"/>
              <w:rPr>
                <w:rFonts w:eastAsia="等线"/>
                <w:bCs/>
                <w:color w:val="000000"/>
                <w:sz w:val="18"/>
                <w:szCs w:val="18"/>
              </w:rPr>
            </w:pPr>
            <w:r>
              <w:rPr>
                <w:rFonts w:eastAsia="等线"/>
                <w:bCs/>
                <w:color w:val="000000"/>
                <w:sz w:val="18"/>
                <w:szCs w:val="18"/>
              </w:rPr>
              <w:t>17</w:t>
            </w:r>
            <w:r>
              <w:rPr>
                <w:bCs/>
                <w:color w:val="000000"/>
                <w:sz w:val="18"/>
                <w:szCs w:val="18"/>
              </w:rPr>
              <w:t>口腔科器械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其他口腔材料</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牙齿漂白材料</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糊，粉、液剂或胶体。通常为过氧化物，如过氧化氢、过氧化脲等。通过氧化</w:t>
            </w:r>
            <w:r>
              <w:rPr>
                <w:bCs/>
                <w:color w:val="000000"/>
                <w:sz w:val="18"/>
                <w:szCs w:val="18"/>
              </w:rPr>
              <w:t>-</w:t>
            </w:r>
            <w:r>
              <w:rPr>
                <w:bCs/>
                <w:color w:val="000000"/>
                <w:sz w:val="18"/>
                <w:szCs w:val="18"/>
              </w:rPr>
              <w:t>还原反应起到漂白作用。过氧化物含量（以过氧化氢计）大于</w:t>
            </w:r>
            <w:r>
              <w:rPr>
                <w:bCs/>
                <w:color w:val="000000"/>
                <w:sz w:val="18"/>
                <w:szCs w:val="18"/>
              </w:rPr>
              <w:t>3.0%</w:t>
            </w:r>
            <w:r>
              <w:rPr>
                <w:bCs/>
                <w:color w:val="000000"/>
                <w:sz w:val="18"/>
                <w:szCs w:val="18"/>
              </w:rPr>
              <w:t>。</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Align w:val="center"/>
          </w:tcPr>
          <w:p w:rsidR="00000000" w:rsidRDefault="00114E80">
            <w:pPr>
              <w:spacing w:line="240" w:lineRule="exact"/>
              <w:jc w:val="center"/>
              <w:rPr>
                <w:rFonts w:hint="eastAsia"/>
                <w:bCs/>
                <w:color w:val="000000"/>
                <w:sz w:val="18"/>
                <w:szCs w:val="18"/>
              </w:rPr>
            </w:pPr>
            <w:r>
              <w:rPr>
                <w:bCs/>
                <w:color w:val="000000"/>
                <w:sz w:val="18"/>
                <w:szCs w:val="18"/>
              </w:rPr>
              <w:lastRenderedPageBreak/>
              <w:t>1</w:t>
            </w:r>
            <w:r>
              <w:rPr>
                <w:rFonts w:hint="eastAsia"/>
                <w:bCs/>
                <w:color w:val="000000"/>
                <w:sz w:val="18"/>
                <w:szCs w:val="18"/>
              </w:rPr>
              <w:t>8</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18</w:t>
            </w:r>
            <w:r>
              <w:rPr>
                <w:bCs/>
                <w:color w:val="000000"/>
                <w:sz w:val="18"/>
                <w:szCs w:val="18"/>
              </w:rPr>
              <w:t>妇产科、辅助生殖和避孕器械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妊娠控制器械</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18</w:t>
            </w:r>
            <w:r>
              <w:rPr>
                <w:bCs/>
                <w:color w:val="000000"/>
                <w:sz w:val="18"/>
                <w:szCs w:val="18"/>
              </w:rPr>
              <w:t>妇产科、辅助生殖和避孕器械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避孕节育器械</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rFonts w:hint="eastAsia"/>
                <w:bCs/>
                <w:color w:val="000000"/>
                <w:sz w:val="18"/>
                <w:szCs w:val="18"/>
              </w:rPr>
              <w:t>19</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18</w:t>
            </w:r>
            <w:r>
              <w:rPr>
                <w:bCs/>
                <w:color w:val="000000"/>
                <w:sz w:val="18"/>
                <w:szCs w:val="18"/>
              </w:rPr>
              <w:t>妇产科、辅助生殖和避孕器械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妊娠控制器械</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屏障式避孕器械</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通常由天然胶乳或合成乳胶或聚氨酯薄膜制成，开口端为完整卷边的鞘套物。非无菌提供。</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用于生殖道局部范围内，用物理方法（机械阻挡）不让精子到达子宫口处，以此阻断精子和卵子相遇而达到避孕目的。</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天然橡胶胶乳避孕套、男用合成橡胶避孕套、女用避孕套、避孕帽</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18</w:t>
            </w:r>
            <w:r>
              <w:rPr>
                <w:bCs/>
                <w:color w:val="000000"/>
                <w:sz w:val="18"/>
                <w:szCs w:val="18"/>
              </w:rPr>
              <w:t>妇产科</w:t>
            </w:r>
            <w:r>
              <w:rPr>
                <w:bCs/>
                <w:color w:val="000000"/>
                <w:sz w:val="18"/>
                <w:szCs w:val="18"/>
              </w:rPr>
              <w:t>、辅助生殖和避孕器械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避孕节育器械</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屏障式避孕器械</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通常由天然胶乳或合成乳胶或聚氨酯薄膜制成，开口端为完整卷边的鞘套物。</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2</w:t>
            </w:r>
            <w:r>
              <w:rPr>
                <w:rFonts w:hint="eastAsia"/>
                <w:bCs/>
                <w:color w:val="000000"/>
                <w:sz w:val="18"/>
                <w:szCs w:val="18"/>
              </w:rPr>
              <w:t>0</w:t>
            </w:r>
          </w:p>
        </w:tc>
        <w:tc>
          <w:tcPr>
            <w:tcW w:w="665" w:type="dxa"/>
            <w:vAlign w:val="center"/>
          </w:tcPr>
          <w:p w:rsidR="00000000" w:rsidRDefault="00114E80">
            <w:pPr>
              <w:widowControl/>
              <w:spacing w:line="240" w:lineRule="exact"/>
              <w:jc w:val="center"/>
              <w:rPr>
                <w:bCs/>
                <w:color w:val="000000"/>
                <w:kern w:val="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生化分析</w:t>
            </w:r>
            <w:r>
              <w:rPr>
                <w:bCs/>
                <w:color w:val="000000"/>
                <w:sz w:val="18"/>
                <w:szCs w:val="18"/>
              </w:rPr>
              <w:t>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生化分析仪器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通常由样品器、取样装置、反应池或反应管道、保温器、检测器、微处理器等中的一种或几种组成。原理一般为分光光度法、浊度比色法、离子选择性电极法、荧光法、反射光度法、差示电位法等。</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与适配试剂配合使用，用于人体样本中待测物的定性和</w:t>
            </w:r>
            <w:r>
              <w:rPr>
                <w:bCs/>
                <w:color w:val="000000"/>
                <w:sz w:val="18"/>
                <w:szCs w:val="18"/>
              </w:rPr>
              <w:t>/</w:t>
            </w:r>
            <w:r>
              <w:rPr>
                <w:bCs/>
                <w:color w:val="000000"/>
                <w:sz w:val="18"/>
                <w:szCs w:val="18"/>
              </w:rPr>
              <w:t>或定量分析。</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全自动生化分析仪、半自动生化分析仪、干式生化分析仪、全自</w:t>
            </w:r>
            <w:r>
              <w:rPr>
                <w:bCs/>
                <w:color w:val="000000"/>
                <w:sz w:val="18"/>
                <w:szCs w:val="18"/>
              </w:rPr>
              <w:t>动干式生化分析仪、新生儿总胆红素测定仪、生化分析仪、氧自由基生化分析仪、肌酐分析仪、胆红素分析仪、尿微量白蛋白分析仪、血红蛋白干化学分析仪、血红蛋白分析仪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生化分析</w:t>
            </w:r>
            <w:r>
              <w:rPr>
                <w:bCs/>
                <w:color w:val="000000"/>
                <w:sz w:val="18"/>
                <w:szCs w:val="18"/>
              </w:rPr>
              <w:t>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01</w:t>
            </w:r>
            <w:r>
              <w:rPr>
                <w:bCs/>
                <w:color w:val="000000"/>
                <w:sz w:val="18"/>
                <w:szCs w:val="18"/>
              </w:rPr>
              <w:t>生化分析仪器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通常由样品器、取样装置、反应池或反应管道、保温器、检测器、微处理器等中的一种或几种组成。原理一般为分光光度法、透射比浊法、离子选择性电极法、荧光法、反射光度法、差示电位法等。</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4203"/>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lastRenderedPageBreak/>
              <w:t>2</w:t>
            </w:r>
            <w:r>
              <w:rPr>
                <w:rFonts w:hint="eastAsia"/>
                <w:bCs/>
                <w:color w:val="000000"/>
                <w:sz w:val="18"/>
                <w:szCs w:val="18"/>
              </w:rPr>
              <w:t>1</w:t>
            </w:r>
          </w:p>
        </w:tc>
        <w:tc>
          <w:tcPr>
            <w:tcW w:w="665" w:type="dxa"/>
            <w:vAlign w:val="center"/>
          </w:tcPr>
          <w:p w:rsidR="00000000" w:rsidRDefault="00114E80">
            <w:pPr>
              <w:widowControl/>
              <w:spacing w:line="240" w:lineRule="exact"/>
              <w:jc w:val="center"/>
              <w:rPr>
                <w:bCs/>
                <w:color w:val="000000"/>
                <w:kern w:val="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免疫分析设备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免疫印迹仪器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通常由蠕动泵模块、加样模块、孵育模块</w:t>
            </w:r>
            <w:r>
              <w:rPr>
                <w:bCs/>
                <w:color w:val="000000"/>
                <w:sz w:val="18"/>
                <w:szCs w:val="18"/>
              </w:rPr>
              <w:t>、温控模块等组成。原理一般为用电转移的方法将蛋白转移到固相膜上，最后进行免疫学检测。</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与适配试剂配合使用，用于人体样本中待测物的定性和</w:t>
            </w:r>
            <w:r>
              <w:rPr>
                <w:bCs/>
                <w:color w:val="000000"/>
                <w:sz w:val="18"/>
                <w:szCs w:val="18"/>
              </w:rPr>
              <w:t>/</w:t>
            </w:r>
            <w:r>
              <w:rPr>
                <w:bCs/>
                <w:color w:val="000000"/>
                <w:sz w:val="18"/>
                <w:szCs w:val="18"/>
              </w:rPr>
              <w:t>或定量分析。</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全自动蛋白印迹仪、全自动免疫印迹仪、胎儿纤维连接蛋白分析仪、过敏源</w:t>
            </w:r>
            <w:r>
              <w:rPr>
                <w:bCs/>
                <w:color w:val="000000"/>
                <w:sz w:val="18"/>
                <w:szCs w:val="18"/>
              </w:rPr>
              <w:t>IgE</w:t>
            </w:r>
            <w:r>
              <w:rPr>
                <w:bCs/>
                <w:color w:val="000000"/>
                <w:sz w:val="18"/>
                <w:szCs w:val="18"/>
              </w:rPr>
              <w:t>抗体检测仪、全自动过敏原</w:t>
            </w:r>
            <w:r>
              <w:rPr>
                <w:bCs/>
                <w:color w:val="000000"/>
                <w:sz w:val="18"/>
                <w:szCs w:val="18"/>
              </w:rPr>
              <w:t>IgE</w:t>
            </w:r>
            <w:r>
              <w:rPr>
                <w:bCs/>
                <w:color w:val="000000"/>
                <w:sz w:val="18"/>
                <w:szCs w:val="18"/>
              </w:rPr>
              <w:t>抗体分析仪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免疫分析设备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免疫印迹仪器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通常由蠕动泵模块、加样模块、温控模块、检测分析模块等组成。原理一般为直接在膜上进行抗原抗体反应后显色、拍照或扫描分析。</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全自动蛋白印迹仪、全自动免疫印迹仪、胎儿纤维连接蛋白分析仪、过</w:t>
            </w:r>
            <w:r>
              <w:rPr>
                <w:bCs/>
                <w:color w:val="000000"/>
                <w:sz w:val="18"/>
                <w:szCs w:val="18"/>
              </w:rPr>
              <w:t>敏源</w:t>
            </w:r>
            <w:r>
              <w:rPr>
                <w:bCs/>
                <w:color w:val="000000"/>
                <w:sz w:val="18"/>
                <w:szCs w:val="18"/>
              </w:rPr>
              <w:t>IgE</w:t>
            </w:r>
            <w:r>
              <w:rPr>
                <w:bCs/>
                <w:color w:val="000000"/>
                <w:sz w:val="18"/>
                <w:szCs w:val="18"/>
              </w:rPr>
              <w:t>抗体检测仪、全自动过敏原</w:t>
            </w:r>
            <w:r>
              <w:rPr>
                <w:bCs/>
                <w:color w:val="000000"/>
                <w:sz w:val="18"/>
                <w:szCs w:val="18"/>
              </w:rPr>
              <w:t>IgE</w:t>
            </w:r>
            <w:r>
              <w:rPr>
                <w:bCs/>
                <w:color w:val="000000"/>
                <w:sz w:val="18"/>
                <w:szCs w:val="18"/>
              </w:rPr>
              <w:t>抗体分析仪、免疫印迹分析仪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3828"/>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2</w:t>
            </w:r>
            <w:r>
              <w:rPr>
                <w:rFonts w:hint="eastAsia"/>
                <w:bCs/>
                <w:color w:val="000000"/>
                <w:sz w:val="18"/>
                <w:szCs w:val="18"/>
              </w:rPr>
              <w:t>2</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免疫分析设备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09</w:t>
            </w:r>
            <w:r>
              <w:rPr>
                <w:bCs/>
                <w:color w:val="000000"/>
                <w:sz w:val="18"/>
                <w:szCs w:val="18"/>
              </w:rPr>
              <w:t>生化免疫分析仪器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通常由生化分析模块和免疫分析模块组成。</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与适配试剂配合使用，用于人体样本中待测物的定性和</w:t>
            </w:r>
            <w:r>
              <w:rPr>
                <w:bCs/>
                <w:color w:val="000000"/>
                <w:sz w:val="18"/>
                <w:szCs w:val="18"/>
              </w:rPr>
              <w:t>/</w:t>
            </w:r>
            <w:r>
              <w:rPr>
                <w:bCs/>
                <w:color w:val="000000"/>
                <w:sz w:val="18"/>
                <w:szCs w:val="18"/>
              </w:rPr>
              <w:t>或定量分析。</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模块化生化免疫分析系统、全自动生化免疫分析仪、临床检验系统。</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免疫分析设备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09</w:t>
            </w:r>
            <w:r>
              <w:rPr>
                <w:bCs/>
                <w:color w:val="000000"/>
                <w:sz w:val="18"/>
                <w:szCs w:val="18"/>
              </w:rPr>
              <w:t>生化免疫分析仪器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模块化生化免疫分析系统、全自动生化免疫分析仪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Merge w:val="restart"/>
            <w:vAlign w:val="center"/>
          </w:tcPr>
          <w:p w:rsidR="00000000" w:rsidRDefault="00114E80">
            <w:pPr>
              <w:spacing w:line="240" w:lineRule="exact"/>
              <w:jc w:val="center"/>
              <w:rPr>
                <w:bCs/>
                <w:color w:val="000000"/>
                <w:sz w:val="18"/>
                <w:szCs w:val="18"/>
              </w:rPr>
            </w:pPr>
            <w:r>
              <w:rPr>
                <w:bCs/>
                <w:color w:val="000000"/>
                <w:sz w:val="18"/>
                <w:szCs w:val="18"/>
              </w:rPr>
              <w:lastRenderedPageBreak/>
              <w:t>2</w:t>
            </w:r>
            <w:r>
              <w:rPr>
                <w:rFonts w:hint="eastAsia"/>
                <w:bCs/>
                <w:color w:val="000000"/>
                <w:sz w:val="18"/>
                <w:szCs w:val="18"/>
              </w:rPr>
              <w:t>3</w:t>
            </w:r>
          </w:p>
        </w:tc>
        <w:tc>
          <w:tcPr>
            <w:tcW w:w="665" w:type="dxa"/>
            <w:vMerge w:val="restart"/>
            <w:vAlign w:val="center"/>
          </w:tcPr>
          <w:p w:rsidR="00000000" w:rsidRDefault="00114E80">
            <w:pPr>
              <w:widowControl/>
              <w:spacing w:line="240" w:lineRule="exact"/>
              <w:jc w:val="center"/>
              <w:rPr>
                <w:bCs/>
                <w:color w:val="000000"/>
                <w:kern w:val="0"/>
                <w:sz w:val="18"/>
                <w:szCs w:val="18"/>
              </w:rPr>
            </w:pPr>
            <w:r>
              <w:rPr>
                <w:bCs/>
                <w:color w:val="000000"/>
                <w:sz w:val="18"/>
                <w:szCs w:val="18"/>
              </w:rPr>
              <w:t>22</w:t>
            </w:r>
            <w:r>
              <w:rPr>
                <w:bCs/>
                <w:color w:val="000000"/>
                <w:sz w:val="18"/>
                <w:szCs w:val="18"/>
              </w:rPr>
              <w:t>临床检验器械</w:t>
            </w:r>
          </w:p>
        </w:tc>
        <w:tc>
          <w:tcPr>
            <w:tcW w:w="651" w:type="dxa"/>
            <w:vMerge w:val="restart"/>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分子生物学</w:t>
            </w:r>
            <w:r>
              <w:rPr>
                <w:bCs/>
                <w:color w:val="000000"/>
                <w:sz w:val="18"/>
                <w:szCs w:val="18"/>
              </w:rPr>
              <w:t>分析设备</w:t>
            </w:r>
          </w:p>
        </w:tc>
        <w:tc>
          <w:tcPr>
            <w:tcW w:w="615" w:type="dxa"/>
            <w:vMerge w:val="restart"/>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核酸扩增分析仪器</w:t>
            </w:r>
          </w:p>
        </w:tc>
        <w:tc>
          <w:tcPr>
            <w:tcW w:w="1666" w:type="dxa"/>
            <w:vMerge w:val="restart"/>
            <w:vAlign w:val="center"/>
          </w:tcPr>
          <w:p w:rsidR="00000000" w:rsidRDefault="00114E80">
            <w:pPr>
              <w:spacing w:line="240" w:lineRule="exact"/>
              <w:jc w:val="center"/>
              <w:rPr>
                <w:bCs/>
                <w:color w:val="000000"/>
                <w:sz w:val="18"/>
                <w:szCs w:val="18"/>
              </w:rPr>
            </w:pPr>
            <w:r>
              <w:rPr>
                <w:bCs/>
                <w:color w:val="000000"/>
                <w:sz w:val="18"/>
                <w:szCs w:val="18"/>
              </w:rPr>
              <w:t>通常由控制部件、热盖部件、热循环部件、光电部件、传动部件、嵌入式软件和分析软件、电源部件等组成。原理一般为利用温度控制，为核酸的体外扩增提供适宜环境，采集和分析扩增过程中产生的光、电信号。</w:t>
            </w:r>
          </w:p>
        </w:tc>
        <w:tc>
          <w:tcPr>
            <w:tcW w:w="1633" w:type="dxa"/>
            <w:vMerge w:val="restart"/>
            <w:vAlign w:val="center"/>
          </w:tcPr>
          <w:p w:rsidR="00000000" w:rsidRDefault="00114E80">
            <w:pPr>
              <w:spacing w:line="240" w:lineRule="exact"/>
              <w:jc w:val="center"/>
              <w:rPr>
                <w:bCs/>
                <w:color w:val="000000"/>
                <w:sz w:val="18"/>
                <w:szCs w:val="18"/>
              </w:rPr>
            </w:pPr>
            <w:r>
              <w:rPr>
                <w:bCs/>
                <w:color w:val="000000"/>
                <w:sz w:val="18"/>
                <w:szCs w:val="18"/>
              </w:rPr>
              <w:t>与适配试剂配合使用，用于样本基因的核酸体外扩增与分析。</w:t>
            </w:r>
          </w:p>
        </w:tc>
        <w:tc>
          <w:tcPr>
            <w:tcW w:w="1531" w:type="dxa"/>
            <w:vMerge w:val="restart"/>
            <w:vAlign w:val="center"/>
          </w:tcPr>
          <w:p w:rsidR="00000000" w:rsidRDefault="00114E80">
            <w:pPr>
              <w:spacing w:line="240" w:lineRule="exact"/>
              <w:jc w:val="center"/>
              <w:rPr>
                <w:bCs/>
                <w:color w:val="000000"/>
                <w:sz w:val="18"/>
                <w:szCs w:val="18"/>
              </w:rPr>
            </w:pPr>
            <w:r>
              <w:rPr>
                <w:bCs/>
                <w:color w:val="000000"/>
                <w:sz w:val="18"/>
                <w:szCs w:val="18"/>
              </w:rPr>
              <w:t>核酸扩增检测分析仪、实时荧光定量</w:t>
            </w:r>
            <w:r>
              <w:rPr>
                <w:bCs/>
                <w:color w:val="000000"/>
                <w:sz w:val="18"/>
                <w:szCs w:val="18"/>
              </w:rPr>
              <w:t>PCR</w:t>
            </w:r>
            <w:r>
              <w:rPr>
                <w:bCs/>
                <w:color w:val="000000"/>
                <w:sz w:val="18"/>
                <w:szCs w:val="18"/>
              </w:rPr>
              <w:t>分析仪、全自动</w:t>
            </w:r>
            <w:r>
              <w:rPr>
                <w:bCs/>
                <w:color w:val="000000"/>
                <w:sz w:val="18"/>
                <w:szCs w:val="18"/>
              </w:rPr>
              <w:t>PCR</w:t>
            </w:r>
            <w:r>
              <w:rPr>
                <w:bCs/>
                <w:color w:val="000000"/>
                <w:sz w:val="18"/>
                <w:szCs w:val="18"/>
              </w:rPr>
              <w:t>分析系统、全自动荧光</w:t>
            </w:r>
            <w:r>
              <w:rPr>
                <w:bCs/>
                <w:color w:val="000000"/>
                <w:sz w:val="18"/>
                <w:szCs w:val="18"/>
              </w:rPr>
              <w:t>PCR</w:t>
            </w:r>
            <w:r>
              <w:rPr>
                <w:bCs/>
                <w:color w:val="000000"/>
                <w:sz w:val="18"/>
                <w:szCs w:val="18"/>
              </w:rPr>
              <w:t>分析仪、全自动核酸检测分析系统、实时定量</w:t>
            </w:r>
            <w:r>
              <w:rPr>
                <w:bCs/>
                <w:color w:val="000000"/>
                <w:sz w:val="18"/>
                <w:szCs w:val="18"/>
              </w:rPr>
              <w:t>PCR</w:t>
            </w:r>
            <w:r>
              <w:rPr>
                <w:bCs/>
                <w:color w:val="000000"/>
                <w:sz w:val="18"/>
                <w:szCs w:val="18"/>
              </w:rPr>
              <w:t>仪、恒温核酸扩增分析仪</w:t>
            </w:r>
          </w:p>
        </w:tc>
        <w:tc>
          <w:tcPr>
            <w:tcW w:w="567" w:type="dxa"/>
            <w:vMerge w:val="restart"/>
            <w:vAlign w:val="center"/>
          </w:tcPr>
          <w:p w:rsidR="00000000" w:rsidRDefault="00114E80">
            <w:pPr>
              <w:spacing w:line="240" w:lineRule="exact"/>
              <w:jc w:val="center"/>
              <w:rPr>
                <w:bCs/>
                <w:color w:val="000000"/>
                <w:sz w:val="18"/>
                <w:szCs w:val="18"/>
              </w:rPr>
            </w:pPr>
            <w:r>
              <w:rPr>
                <w:bCs/>
                <w:color w:val="000000"/>
                <w:sz w:val="18"/>
                <w:szCs w:val="18"/>
              </w:rPr>
              <w:t>Ⅲ</w:t>
            </w:r>
          </w:p>
        </w:tc>
        <w:tc>
          <w:tcPr>
            <w:tcW w:w="645" w:type="dxa"/>
            <w:vMerge w:val="restart"/>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Merge w:val="restart"/>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分子生物学</w:t>
            </w:r>
            <w:r>
              <w:rPr>
                <w:bCs/>
                <w:color w:val="000000"/>
                <w:sz w:val="18"/>
                <w:szCs w:val="18"/>
              </w:rPr>
              <w:t>分析设备</w:t>
            </w:r>
          </w:p>
        </w:tc>
        <w:tc>
          <w:tcPr>
            <w:tcW w:w="925" w:type="dxa"/>
            <w:vMerge w:val="restart"/>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核酸扩增分析仪器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通常由控制部件、温控部件、光电部件、传动部件</w:t>
            </w:r>
            <w:r>
              <w:rPr>
                <w:bCs/>
                <w:color w:val="000000"/>
                <w:sz w:val="18"/>
                <w:szCs w:val="18"/>
              </w:rPr>
              <w:t>、软件、电源部件等组成。原理一般为利用温度控制，为核酸的体外扩增提供适宜环境，采集和分析扩增过程中产生的光、电信号。</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与适配试剂配合使用，用于样本基因的核酸体外扩增与分析。</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核酸扩增检测分析仪、实时荧光定量</w:t>
            </w:r>
            <w:r>
              <w:rPr>
                <w:bCs/>
                <w:color w:val="000000"/>
                <w:sz w:val="18"/>
                <w:szCs w:val="18"/>
              </w:rPr>
              <w:t>PCR</w:t>
            </w:r>
            <w:r>
              <w:rPr>
                <w:bCs/>
                <w:color w:val="000000"/>
                <w:sz w:val="18"/>
                <w:szCs w:val="18"/>
              </w:rPr>
              <w:t>分析仪、全自动</w:t>
            </w:r>
            <w:r>
              <w:rPr>
                <w:bCs/>
                <w:color w:val="000000"/>
                <w:sz w:val="18"/>
                <w:szCs w:val="18"/>
              </w:rPr>
              <w:t>PCR</w:t>
            </w:r>
            <w:r>
              <w:rPr>
                <w:bCs/>
                <w:color w:val="000000"/>
                <w:sz w:val="18"/>
                <w:szCs w:val="18"/>
              </w:rPr>
              <w:t>分析系统、全自动荧光</w:t>
            </w:r>
            <w:r>
              <w:rPr>
                <w:bCs/>
                <w:color w:val="000000"/>
                <w:sz w:val="18"/>
                <w:szCs w:val="18"/>
              </w:rPr>
              <w:t>PCR</w:t>
            </w:r>
            <w:r>
              <w:rPr>
                <w:bCs/>
                <w:color w:val="000000"/>
                <w:sz w:val="18"/>
                <w:szCs w:val="18"/>
              </w:rPr>
              <w:t>分析仪、全自动核酸检测分析系统、实时定量</w:t>
            </w:r>
            <w:r>
              <w:rPr>
                <w:bCs/>
                <w:color w:val="000000"/>
                <w:sz w:val="18"/>
                <w:szCs w:val="18"/>
              </w:rPr>
              <w:t>PCR</w:t>
            </w:r>
            <w:r>
              <w:rPr>
                <w:bCs/>
                <w:color w:val="000000"/>
                <w:sz w:val="18"/>
                <w:szCs w:val="18"/>
              </w:rPr>
              <w:t>仪、恒温核酸扩增分析仪、实时荧光</w:t>
            </w:r>
            <w:r>
              <w:rPr>
                <w:bCs/>
                <w:color w:val="000000"/>
                <w:sz w:val="18"/>
                <w:szCs w:val="18"/>
              </w:rPr>
              <w:t>PCR</w:t>
            </w:r>
            <w:r>
              <w:rPr>
                <w:bCs/>
                <w:color w:val="000000"/>
                <w:sz w:val="18"/>
                <w:szCs w:val="18"/>
              </w:rPr>
              <w:t>分析仪</w:t>
            </w:r>
          </w:p>
        </w:tc>
        <w:tc>
          <w:tcPr>
            <w:tcW w:w="567" w:type="dxa"/>
            <w:vMerge w:val="restart"/>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Merge/>
            <w:vAlign w:val="center"/>
          </w:tcPr>
          <w:p w:rsidR="00000000" w:rsidRDefault="00114E80">
            <w:pPr>
              <w:spacing w:line="240" w:lineRule="exact"/>
              <w:jc w:val="center"/>
              <w:rPr>
                <w:bCs/>
                <w:color w:val="000000"/>
                <w:sz w:val="18"/>
                <w:szCs w:val="18"/>
              </w:rPr>
            </w:pPr>
          </w:p>
        </w:tc>
        <w:tc>
          <w:tcPr>
            <w:tcW w:w="665" w:type="dxa"/>
            <w:vMerge/>
            <w:vAlign w:val="center"/>
          </w:tcPr>
          <w:p w:rsidR="00000000" w:rsidRDefault="00114E80">
            <w:pPr>
              <w:spacing w:line="240" w:lineRule="exact"/>
              <w:rPr>
                <w:bCs/>
                <w:color w:val="000000"/>
                <w:sz w:val="18"/>
                <w:szCs w:val="18"/>
              </w:rPr>
            </w:pPr>
          </w:p>
        </w:tc>
        <w:tc>
          <w:tcPr>
            <w:tcW w:w="651" w:type="dxa"/>
            <w:vMerge/>
            <w:vAlign w:val="center"/>
          </w:tcPr>
          <w:p w:rsidR="00000000" w:rsidRDefault="00114E80">
            <w:pPr>
              <w:spacing w:line="240" w:lineRule="exact"/>
              <w:rPr>
                <w:bCs/>
                <w:color w:val="000000"/>
                <w:sz w:val="18"/>
                <w:szCs w:val="18"/>
              </w:rPr>
            </w:pPr>
          </w:p>
        </w:tc>
        <w:tc>
          <w:tcPr>
            <w:tcW w:w="615" w:type="dxa"/>
            <w:vMerge/>
            <w:vAlign w:val="center"/>
          </w:tcPr>
          <w:p w:rsidR="00000000" w:rsidRDefault="00114E80">
            <w:pPr>
              <w:spacing w:line="240" w:lineRule="exact"/>
              <w:rPr>
                <w:bCs/>
                <w:color w:val="000000"/>
                <w:sz w:val="18"/>
                <w:szCs w:val="18"/>
              </w:rPr>
            </w:pPr>
          </w:p>
        </w:tc>
        <w:tc>
          <w:tcPr>
            <w:tcW w:w="1666" w:type="dxa"/>
            <w:vMerge/>
            <w:vAlign w:val="center"/>
          </w:tcPr>
          <w:p w:rsidR="00000000" w:rsidRDefault="00114E80">
            <w:pPr>
              <w:spacing w:line="240" w:lineRule="exact"/>
              <w:rPr>
                <w:bCs/>
                <w:color w:val="000000"/>
                <w:sz w:val="18"/>
                <w:szCs w:val="18"/>
              </w:rPr>
            </w:pPr>
          </w:p>
        </w:tc>
        <w:tc>
          <w:tcPr>
            <w:tcW w:w="1633" w:type="dxa"/>
            <w:vMerge/>
            <w:vAlign w:val="center"/>
          </w:tcPr>
          <w:p w:rsidR="00000000" w:rsidRDefault="00114E80">
            <w:pPr>
              <w:spacing w:line="240" w:lineRule="exact"/>
              <w:rPr>
                <w:bCs/>
                <w:color w:val="000000"/>
                <w:sz w:val="18"/>
                <w:szCs w:val="18"/>
              </w:rPr>
            </w:pPr>
          </w:p>
        </w:tc>
        <w:tc>
          <w:tcPr>
            <w:tcW w:w="1531" w:type="dxa"/>
            <w:vMerge/>
            <w:vAlign w:val="center"/>
          </w:tcPr>
          <w:p w:rsidR="00000000" w:rsidRDefault="00114E80">
            <w:pPr>
              <w:spacing w:line="240" w:lineRule="exact"/>
              <w:rPr>
                <w:bCs/>
                <w:color w:val="000000"/>
                <w:sz w:val="18"/>
                <w:szCs w:val="18"/>
              </w:rPr>
            </w:pPr>
          </w:p>
        </w:tc>
        <w:tc>
          <w:tcPr>
            <w:tcW w:w="567" w:type="dxa"/>
            <w:vMerge/>
            <w:vAlign w:val="center"/>
          </w:tcPr>
          <w:p w:rsidR="00000000" w:rsidRDefault="00114E80">
            <w:pPr>
              <w:spacing w:line="240" w:lineRule="exact"/>
              <w:rPr>
                <w:bCs/>
                <w:color w:val="000000"/>
                <w:sz w:val="18"/>
                <w:szCs w:val="18"/>
              </w:rPr>
            </w:pPr>
          </w:p>
        </w:tc>
        <w:tc>
          <w:tcPr>
            <w:tcW w:w="645" w:type="dxa"/>
            <w:vMerge/>
            <w:vAlign w:val="center"/>
          </w:tcPr>
          <w:p w:rsidR="00000000" w:rsidRDefault="00114E80">
            <w:pPr>
              <w:spacing w:line="240" w:lineRule="exact"/>
              <w:rPr>
                <w:bCs/>
                <w:color w:val="000000"/>
                <w:sz w:val="18"/>
                <w:szCs w:val="18"/>
              </w:rPr>
            </w:pPr>
          </w:p>
        </w:tc>
        <w:tc>
          <w:tcPr>
            <w:tcW w:w="985" w:type="dxa"/>
            <w:vMerge/>
            <w:vAlign w:val="center"/>
          </w:tcPr>
          <w:p w:rsidR="00000000" w:rsidRDefault="00114E80">
            <w:pPr>
              <w:spacing w:line="240" w:lineRule="exact"/>
              <w:rPr>
                <w:bCs/>
                <w:color w:val="000000"/>
                <w:sz w:val="18"/>
                <w:szCs w:val="18"/>
              </w:rPr>
            </w:pPr>
          </w:p>
        </w:tc>
        <w:tc>
          <w:tcPr>
            <w:tcW w:w="925" w:type="dxa"/>
            <w:vMerge/>
            <w:vAlign w:val="center"/>
          </w:tcPr>
          <w:p w:rsidR="00000000" w:rsidRDefault="00114E80">
            <w:pPr>
              <w:spacing w:line="240" w:lineRule="exact"/>
              <w:rPr>
                <w:bCs/>
                <w:color w:val="000000"/>
                <w:sz w:val="18"/>
                <w:szCs w:val="18"/>
              </w:rPr>
            </w:pP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通常由样本核酸分配体系或模块、扩增模块、信号采集分析模块、软件、电源部件等组成。样本核酸分配体系或模块采用的原理主要为通过微流控芯</w:t>
            </w:r>
            <w:r>
              <w:rPr>
                <w:bCs/>
                <w:color w:val="000000"/>
                <w:sz w:val="18"/>
                <w:szCs w:val="18"/>
              </w:rPr>
              <w:t>片或形成微小液滴的方式达到模板单分子分配，从而进行单独、平行的</w:t>
            </w:r>
            <w:r>
              <w:rPr>
                <w:bCs/>
                <w:color w:val="000000"/>
                <w:sz w:val="18"/>
                <w:szCs w:val="18"/>
              </w:rPr>
              <w:t xml:space="preserve"> PCR </w:t>
            </w:r>
            <w:r>
              <w:rPr>
                <w:bCs/>
                <w:color w:val="000000"/>
                <w:sz w:val="18"/>
                <w:szCs w:val="18"/>
              </w:rPr>
              <w:t>反应。扩增模块原理则和核酸扩增仪器一致。信号采集分析模块原理一般为通过采集荧光信号的有无判定单个反应体系中模板分子的存在，进行检测分析。</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与适配试剂配合使用，用于样本的核酸体外扩增与分析。</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数字</w:t>
            </w:r>
            <w:r>
              <w:rPr>
                <w:bCs/>
                <w:color w:val="000000"/>
                <w:sz w:val="18"/>
                <w:szCs w:val="18"/>
              </w:rPr>
              <w:t>PCR</w:t>
            </w:r>
            <w:r>
              <w:rPr>
                <w:bCs/>
                <w:color w:val="000000"/>
                <w:sz w:val="18"/>
                <w:szCs w:val="18"/>
              </w:rPr>
              <w:t>分析系统、数字</w:t>
            </w:r>
            <w:r>
              <w:rPr>
                <w:bCs/>
                <w:color w:val="000000"/>
                <w:sz w:val="18"/>
                <w:szCs w:val="18"/>
              </w:rPr>
              <w:t>PCR</w:t>
            </w:r>
            <w:r>
              <w:rPr>
                <w:bCs/>
                <w:color w:val="000000"/>
                <w:sz w:val="18"/>
                <w:szCs w:val="18"/>
              </w:rPr>
              <w:t>芯片阅读系统、数字</w:t>
            </w:r>
            <w:r>
              <w:rPr>
                <w:bCs/>
                <w:color w:val="000000"/>
                <w:sz w:val="18"/>
                <w:szCs w:val="18"/>
              </w:rPr>
              <w:t>PCR</w:t>
            </w:r>
            <w:r>
              <w:rPr>
                <w:bCs/>
                <w:color w:val="000000"/>
                <w:sz w:val="18"/>
                <w:szCs w:val="18"/>
              </w:rPr>
              <w:t>仪</w:t>
            </w:r>
          </w:p>
        </w:tc>
        <w:tc>
          <w:tcPr>
            <w:tcW w:w="567" w:type="dxa"/>
            <w:vMerge/>
            <w:vAlign w:val="center"/>
          </w:tcPr>
          <w:p w:rsidR="00000000" w:rsidRDefault="00114E80">
            <w:pPr>
              <w:spacing w:line="240" w:lineRule="exact"/>
              <w:rPr>
                <w:bCs/>
                <w:color w:val="000000"/>
                <w:sz w:val="18"/>
                <w:szCs w:val="18"/>
              </w:rPr>
            </w:pPr>
          </w:p>
        </w:tc>
      </w:tr>
      <w:tr w:rsidR="00000000">
        <w:trPr>
          <w:trHeight w:val="5600"/>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lastRenderedPageBreak/>
              <w:t>2</w:t>
            </w:r>
            <w:r>
              <w:rPr>
                <w:rFonts w:hint="eastAsia"/>
                <w:bCs/>
                <w:color w:val="000000"/>
                <w:sz w:val="18"/>
                <w:szCs w:val="18"/>
              </w:rPr>
              <w:t>4</w:t>
            </w:r>
          </w:p>
        </w:tc>
        <w:tc>
          <w:tcPr>
            <w:tcW w:w="665" w:type="dxa"/>
            <w:vAlign w:val="center"/>
          </w:tcPr>
          <w:p w:rsidR="00000000" w:rsidRDefault="00114E80">
            <w:pPr>
              <w:widowControl/>
              <w:spacing w:line="240" w:lineRule="exact"/>
              <w:jc w:val="center"/>
              <w:rPr>
                <w:bCs/>
                <w:color w:val="000000"/>
                <w:kern w:val="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微生物分析设备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微生物质谱鉴定仪器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通常可包括标本预处理站、标本板、控制质谱仪主机的数据采集站和质谱仪主机（基质辅助激光解吸电离离子源和飞行时间质量检测器、</w:t>
            </w:r>
            <w:r>
              <w:rPr>
                <w:bCs/>
                <w:color w:val="000000"/>
                <w:sz w:val="18"/>
                <w:szCs w:val="18"/>
              </w:rPr>
              <w:t>可选反射器的垂直离子飞行管）、随机软件等组成。原理一般为利用基质辅助激光解吸电离离子源（</w:t>
            </w:r>
            <w:r>
              <w:rPr>
                <w:bCs/>
                <w:color w:val="000000"/>
                <w:sz w:val="18"/>
                <w:szCs w:val="18"/>
              </w:rPr>
              <w:t>MALDI</w:t>
            </w:r>
            <w:r>
              <w:rPr>
                <w:bCs/>
                <w:color w:val="000000"/>
                <w:sz w:val="18"/>
                <w:szCs w:val="18"/>
              </w:rPr>
              <w:t>）和飞行时间质量分析器（</w:t>
            </w:r>
            <w:r>
              <w:rPr>
                <w:bCs/>
                <w:color w:val="000000"/>
                <w:sz w:val="18"/>
                <w:szCs w:val="18"/>
              </w:rPr>
              <w:t>TOF</w:t>
            </w:r>
            <w:r>
              <w:rPr>
                <w:bCs/>
                <w:color w:val="000000"/>
                <w:sz w:val="18"/>
                <w:szCs w:val="18"/>
              </w:rPr>
              <w:t>）的原理。</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用于对临床分离出的微生物（细菌、真菌和分枝杆菌）进行鉴定。</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微生物质谱鉴定仪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06</w:t>
            </w:r>
            <w:r>
              <w:rPr>
                <w:bCs/>
                <w:color w:val="000000"/>
                <w:sz w:val="18"/>
                <w:szCs w:val="18"/>
              </w:rPr>
              <w:t>微生物分析设备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05</w:t>
            </w:r>
            <w:r>
              <w:rPr>
                <w:bCs/>
                <w:color w:val="000000"/>
                <w:sz w:val="18"/>
                <w:szCs w:val="18"/>
              </w:rPr>
              <w:t>微生物质谱鉴定仪器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可包括样本板、质谱仪主机（基质辅助激光解吸电离离子源和飞行时间质量检测器、可选反射器的垂直离子飞行管）、包含临床常见或重要菌种的质谱指纹图谱数据库在内的软件等组成。原理一般利用基质辅助激光解吸电离飞行时间质谱系统采集临床病原</w:t>
            </w:r>
            <w:r>
              <w:rPr>
                <w:bCs/>
                <w:color w:val="000000"/>
                <w:sz w:val="18"/>
                <w:szCs w:val="18"/>
              </w:rPr>
              <w:t>微生物样本核糖体蛋白的指纹图谱，并与数据库中的菌种指纹图进行比对，从而给出鉴定信息。</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2398"/>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2</w:t>
            </w:r>
            <w:r>
              <w:rPr>
                <w:rFonts w:hint="eastAsia"/>
                <w:bCs/>
                <w:color w:val="000000"/>
                <w:sz w:val="18"/>
                <w:szCs w:val="18"/>
              </w:rPr>
              <w:t>5</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07</w:t>
            </w:r>
            <w:r>
              <w:rPr>
                <w:bCs/>
                <w:color w:val="000000"/>
                <w:sz w:val="18"/>
                <w:szCs w:val="18"/>
              </w:rPr>
              <w:t>扫描图像分析系统</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图像扫描仪器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通常由光学成像系统、图像采集系统、计算机、软件等组成。原理一般为以照相扫描的方式将载片或者切片上的细胞呈现为扫描图像。</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用于对临床样本的显微图像进行扫描、观察等。</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病理切片扫描仪、显微镜扫描系统</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07</w:t>
            </w:r>
            <w:r>
              <w:rPr>
                <w:bCs/>
                <w:color w:val="000000"/>
                <w:sz w:val="18"/>
                <w:szCs w:val="18"/>
              </w:rPr>
              <w:t>扫描图像分析系统</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02</w:t>
            </w:r>
            <w:r>
              <w:rPr>
                <w:bCs/>
                <w:color w:val="000000"/>
                <w:sz w:val="18"/>
                <w:szCs w:val="18"/>
              </w:rPr>
              <w:t>图像扫描仪器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通常由光学成像系统、图像采集系统、图像工作站、软件等组成。原理一般为以照相扫描</w:t>
            </w:r>
            <w:r>
              <w:rPr>
                <w:bCs/>
                <w:color w:val="000000"/>
                <w:sz w:val="18"/>
                <w:szCs w:val="18"/>
              </w:rPr>
              <w:t>的方式将样本或样本处理结果呈现为图像。</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用于对临床样本或样本处理结果进行扫描、观察等。</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病理切片扫描仪、显微镜扫描系统、电泳扫描仪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lastRenderedPageBreak/>
              <w:t>2</w:t>
            </w:r>
            <w:r>
              <w:rPr>
                <w:rFonts w:hint="eastAsia"/>
                <w:bCs/>
                <w:color w:val="000000"/>
                <w:sz w:val="18"/>
                <w:szCs w:val="18"/>
              </w:rPr>
              <w:t>6</w:t>
            </w:r>
          </w:p>
        </w:tc>
        <w:tc>
          <w:tcPr>
            <w:tcW w:w="66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其他医用分析设备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质谱检测系统</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通常由进样模块、离子化模块、检测模块、真空泵模块、信号放大模块、软件、计算机系统等组成。原理一般为将样品转化为运动的离子碎片，在磁场</w:t>
            </w:r>
            <w:r>
              <w:rPr>
                <w:bCs/>
                <w:color w:val="000000"/>
                <w:sz w:val="18"/>
                <w:szCs w:val="18"/>
              </w:rPr>
              <w:t>/</w:t>
            </w:r>
            <w:r>
              <w:rPr>
                <w:bCs/>
                <w:color w:val="000000"/>
                <w:sz w:val="18"/>
                <w:szCs w:val="18"/>
              </w:rPr>
              <w:t>电场中按核质比大小进行分离，从而达到分析的目的。</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用于临床上对被测物进行鉴别及检测。</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三重四极杆质谱仪、液相色谱串联质谱系统、质谱仪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其他医用分析</w:t>
            </w:r>
            <w:r>
              <w:rPr>
                <w:bCs/>
                <w:color w:val="000000"/>
                <w:sz w:val="18"/>
                <w:szCs w:val="18"/>
              </w:rPr>
              <w:t>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03</w:t>
            </w:r>
            <w:r>
              <w:rPr>
                <w:bCs/>
                <w:color w:val="000000"/>
                <w:sz w:val="18"/>
                <w:szCs w:val="18"/>
              </w:rPr>
              <w:t>质谱检测系统</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通常由进样模块（质谱与色谱联机时，则进样模块由色谱仪代替）、离子化模块、质量分析模块、信号检测模块、数据处理模块、真空系统模块等组成。原理一般是使样本中的目标成分转化为运动的离子，在电场</w:t>
            </w:r>
            <w:r>
              <w:rPr>
                <w:bCs/>
                <w:color w:val="000000"/>
                <w:sz w:val="18"/>
                <w:szCs w:val="18"/>
              </w:rPr>
              <w:t>/</w:t>
            </w:r>
            <w:r>
              <w:rPr>
                <w:bCs/>
                <w:color w:val="000000"/>
                <w:sz w:val="18"/>
                <w:szCs w:val="18"/>
              </w:rPr>
              <w:t>磁场中按质荷比大小进行分离，从而达到分析的目的。</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用于临床上对被测物进行定性、定量检测。</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三重四极杆质谱仪、液相色谱串联质谱系统、质谱仪、超高效液相色谱串联质谱系统、飞行时间质谱系统、液体芯片飞行时间质谱系统</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r w:rsidR="00000000">
        <w:trPr>
          <w:trHeight w:val="1695"/>
          <w:jc w:val="center"/>
        </w:trPr>
        <w:tc>
          <w:tcPr>
            <w:tcW w:w="474" w:type="dxa"/>
            <w:vAlign w:val="center"/>
          </w:tcPr>
          <w:p w:rsidR="00000000" w:rsidRDefault="00114E80">
            <w:pPr>
              <w:spacing w:line="240" w:lineRule="exact"/>
              <w:jc w:val="center"/>
              <w:rPr>
                <w:bCs/>
                <w:color w:val="000000"/>
                <w:sz w:val="18"/>
                <w:szCs w:val="18"/>
              </w:rPr>
            </w:pPr>
            <w:r>
              <w:rPr>
                <w:bCs/>
                <w:color w:val="000000"/>
                <w:sz w:val="18"/>
                <w:szCs w:val="18"/>
              </w:rPr>
              <w:t>2</w:t>
            </w:r>
            <w:r>
              <w:rPr>
                <w:rFonts w:hint="eastAsia"/>
                <w:bCs/>
                <w:color w:val="000000"/>
                <w:sz w:val="18"/>
                <w:szCs w:val="18"/>
              </w:rPr>
              <w:t>7</w:t>
            </w:r>
          </w:p>
        </w:tc>
        <w:tc>
          <w:tcPr>
            <w:tcW w:w="665" w:type="dxa"/>
            <w:vAlign w:val="center"/>
          </w:tcPr>
          <w:p w:rsidR="00000000" w:rsidRDefault="00114E80">
            <w:pPr>
              <w:widowControl/>
              <w:spacing w:line="240" w:lineRule="exact"/>
              <w:jc w:val="center"/>
              <w:rPr>
                <w:bCs/>
                <w:color w:val="000000"/>
                <w:kern w:val="0"/>
                <w:sz w:val="18"/>
                <w:szCs w:val="18"/>
              </w:rPr>
            </w:pPr>
            <w:r>
              <w:rPr>
                <w:bCs/>
                <w:color w:val="000000"/>
                <w:sz w:val="18"/>
                <w:szCs w:val="18"/>
              </w:rPr>
              <w:t>22</w:t>
            </w:r>
            <w:r>
              <w:rPr>
                <w:bCs/>
                <w:color w:val="000000"/>
                <w:sz w:val="18"/>
                <w:szCs w:val="18"/>
              </w:rPr>
              <w:t>临床检验器械</w:t>
            </w:r>
          </w:p>
        </w:tc>
        <w:tc>
          <w:tcPr>
            <w:tcW w:w="651"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其他医用分析设备</w:t>
            </w:r>
          </w:p>
        </w:tc>
        <w:tc>
          <w:tcPr>
            <w:tcW w:w="61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液相色谱分析仪器</w:t>
            </w:r>
          </w:p>
        </w:tc>
        <w:tc>
          <w:tcPr>
            <w:tcW w:w="1666" w:type="dxa"/>
            <w:vAlign w:val="center"/>
          </w:tcPr>
          <w:p w:rsidR="00000000" w:rsidRDefault="00114E80">
            <w:pPr>
              <w:spacing w:line="240" w:lineRule="exact"/>
              <w:jc w:val="center"/>
              <w:rPr>
                <w:bCs/>
                <w:color w:val="000000"/>
                <w:sz w:val="18"/>
                <w:szCs w:val="18"/>
              </w:rPr>
            </w:pPr>
            <w:r>
              <w:rPr>
                <w:bCs/>
                <w:color w:val="000000"/>
                <w:sz w:val="18"/>
                <w:szCs w:val="18"/>
              </w:rPr>
              <w:t>通常由进样模</w:t>
            </w:r>
            <w:r>
              <w:rPr>
                <w:bCs/>
                <w:color w:val="000000"/>
                <w:sz w:val="18"/>
                <w:szCs w:val="18"/>
              </w:rPr>
              <w:t>块，流动相供给模块和色谱柱温控模块等组成。原理一般为液相色谱法等。</w:t>
            </w:r>
          </w:p>
        </w:tc>
        <w:tc>
          <w:tcPr>
            <w:tcW w:w="1633" w:type="dxa"/>
            <w:vAlign w:val="center"/>
          </w:tcPr>
          <w:p w:rsidR="00000000" w:rsidRDefault="00114E80">
            <w:pPr>
              <w:spacing w:line="240" w:lineRule="exact"/>
              <w:jc w:val="center"/>
              <w:rPr>
                <w:bCs/>
                <w:color w:val="000000"/>
                <w:sz w:val="18"/>
                <w:szCs w:val="18"/>
              </w:rPr>
            </w:pPr>
            <w:r>
              <w:rPr>
                <w:bCs/>
                <w:color w:val="000000"/>
                <w:sz w:val="18"/>
                <w:szCs w:val="18"/>
              </w:rPr>
              <w:t>用于人体样本中被测物的定量检测。</w:t>
            </w:r>
          </w:p>
        </w:tc>
        <w:tc>
          <w:tcPr>
            <w:tcW w:w="1531" w:type="dxa"/>
            <w:vAlign w:val="center"/>
          </w:tcPr>
          <w:p w:rsidR="00000000" w:rsidRDefault="00114E80">
            <w:pPr>
              <w:spacing w:line="240" w:lineRule="exact"/>
              <w:jc w:val="center"/>
              <w:rPr>
                <w:bCs/>
                <w:color w:val="000000"/>
                <w:sz w:val="18"/>
                <w:szCs w:val="18"/>
              </w:rPr>
            </w:pPr>
            <w:r>
              <w:rPr>
                <w:bCs/>
                <w:color w:val="000000"/>
                <w:sz w:val="18"/>
                <w:szCs w:val="18"/>
              </w:rPr>
              <w:t>糖化血红蛋白分析仪、全自动糖化血红蛋白分析仪、变异血红蛋白分析仪、液相色谱分析仪</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Ⅱ</w:t>
            </w:r>
          </w:p>
        </w:tc>
        <w:tc>
          <w:tcPr>
            <w:tcW w:w="645" w:type="dxa"/>
            <w:vAlign w:val="center"/>
          </w:tcPr>
          <w:p w:rsidR="00000000" w:rsidRDefault="00114E80">
            <w:pPr>
              <w:spacing w:line="240" w:lineRule="exact"/>
              <w:jc w:val="center"/>
              <w:rPr>
                <w:bCs/>
                <w:color w:val="000000"/>
                <w:sz w:val="18"/>
                <w:szCs w:val="18"/>
              </w:rPr>
            </w:pPr>
            <w:r>
              <w:rPr>
                <w:bCs/>
                <w:color w:val="000000"/>
                <w:sz w:val="18"/>
                <w:szCs w:val="18"/>
              </w:rPr>
              <w:t>22</w:t>
            </w:r>
            <w:r>
              <w:rPr>
                <w:bCs/>
                <w:color w:val="000000"/>
                <w:sz w:val="18"/>
                <w:szCs w:val="18"/>
              </w:rPr>
              <w:t>临床检验器械</w:t>
            </w:r>
          </w:p>
        </w:tc>
        <w:tc>
          <w:tcPr>
            <w:tcW w:w="985" w:type="dxa"/>
            <w:vAlign w:val="center"/>
          </w:tcPr>
          <w:p w:rsidR="00000000" w:rsidRDefault="00114E80">
            <w:pPr>
              <w:spacing w:line="240" w:lineRule="exact"/>
              <w:jc w:val="center"/>
              <w:rPr>
                <w:bCs/>
                <w:color w:val="000000"/>
                <w:sz w:val="18"/>
                <w:szCs w:val="18"/>
              </w:rPr>
            </w:pPr>
            <w:r>
              <w:rPr>
                <w:bCs/>
                <w:color w:val="000000"/>
                <w:sz w:val="18"/>
                <w:szCs w:val="18"/>
              </w:rPr>
              <w:t>10</w:t>
            </w:r>
            <w:r>
              <w:rPr>
                <w:bCs/>
                <w:color w:val="000000"/>
                <w:sz w:val="18"/>
                <w:szCs w:val="18"/>
              </w:rPr>
              <w:t>其他医用分析设备</w:t>
            </w:r>
          </w:p>
        </w:tc>
        <w:tc>
          <w:tcPr>
            <w:tcW w:w="925" w:type="dxa"/>
            <w:vAlign w:val="center"/>
          </w:tcPr>
          <w:p w:rsidR="00000000" w:rsidRDefault="00114E80">
            <w:pPr>
              <w:spacing w:line="240" w:lineRule="exact"/>
              <w:jc w:val="center"/>
              <w:rPr>
                <w:bCs/>
                <w:color w:val="000000"/>
                <w:sz w:val="18"/>
                <w:szCs w:val="18"/>
              </w:rPr>
            </w:pPr>
            <w:r>
              <w:rPr>
                <w:bCs/>
                <w:color w:val="000000"/>
                <w:sz w:val="18"/>
                <w:szCs w:val="18"/>
              </w:rPr>
              <w:t>04</w:t>
            </w:r>
            <w:r>
              <w:rPr>
                <w:bCs/>
                <w:color w:val="000000"/>
                <w:sz w:val="18"/>
                <w:szCs w:val="18"/>
              </w:rPr>
              <w:t>液相色谱分析仪器</w:t>
            </w:r>
          </w:p>
        </w:tc>
        <w:tc>
          <w:tcPr>
            <w:tcW w:w="1813" w:type="dxa"/>
            <w:vAlign w:val="center"/>
          </w:tcPr>
          <w:p w:rsidR="00000000" w:rsidRDefault="00114E80">
            <w:pPr>
              <w:spacing w:line="240" w:lineRule="exact"/>
              <w:jc w:val="center"/>
              <w:rPr>
                <w:bCs/>
                <w:color w:val="000000"/>
                <w:sz w:val="18"/>
                <w:szCs w:val="18"/>
              </w:rPr>
            </w:pPr>
            <w:r>
              <w:rPr>
                <w:bCs/>
                <w:color w:val="000000"/>
                <w:sz w:val="18"/>
                <w:szCs w:val="18"/>
              </w:rPr>
              <w:t>通常由进样模块，流动相供给模块和色谱柱温控模块、检测器模块等组成。原理一般为液相色谱法等。</w:t>
            </w:r>
          </w:p>
        </w:tc>
        <w:tc>
          <w:tcPr>
            <w:tcW w:w="1114"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1473" w:type="dxa"/>
            <w:vAlign w:val="center"/>
          </w:tcPr>
          <w:p w:rsidR="00000000" w:rsidRDefault="00114E80">
            <w:pPr>
              <w:spacing w:line="240" w:lineRule="exact"/>
              <w:jc w:val="center"/>
              <w:rPr>
                <w:bCs/>
                <w:color w:val="000000"/>
                <w:sz w:val="18"/>
                <w:szCs w:val="18"/>
              </w:rPr>
            </w:pPr>
            <w:r>
              <w:rPr>
                <w:bCs/>
                <w:color w:val="000000"/>
                <w:sz w:val="18"/>
                <w:szCs w:val="18"/>
              </w:rPr>
              <w:t>无变化</w:t>
            </w:r>
          </w:p>
        </w:tc>
        <w:tc>
          <w:tcPr>
            <w:tcW w:w="567" w:type="dxa"/>
            <w:vAlign w:val="center"/>
          </w:tcPr>
          <w:p w:rsidR="00000000" w:rsidRDefault="00114E80">
            <w:pPr>
              <w:spacing w:line="240" w:lineRule="exact"/>
              <w:jc w:val="center"/>
              <w:rPr>
                <w:bCs/>
                <w:color w:val="000000"/>
                <w:sz w:val="18"/>
                <w:szCs w:val="18"/>
              </w:rPr>
            </w:pPr>
            <w:r>
              <w:rPr>
                <w:bCs/>
                <w:color w:val="000000"/>
                <w:sz w:val="18"/>
                <w:szCs w:val="18"/>
              </w:rPr>
              <w:t>无变化</w:t>
            </w:r>
          </w:p>
        </w:tc>
      </w:tr>
    </w:tbl>
    <w:p w:rsidR="00114E80" w:rsidRDefault="00114E80">
      <w:pPr>
        <w:rPr>
          <w:rFonts w:ascii="仿宋_GB2312" w:eastAsia="仿宋_GB2312" w:hAnsi="华文仿宋" w:hint="eastAsia"/>
          <w:sz w:val="32"/>
          <w:szCs w:val="32"/>
        </w:rPr>
      </w:pPr>
      <w:bookmarkStart w:id="0" w:name="_GoBack"/>
      <w:bookmarkEnd w:id="0"/>
    </w:p>
    <w:sectPr w:rsidR="00114E80" w:rsidSect="008E1945">
      <w:pgSz w:w="16838" w:h="11906" w:orient="landscape"/>
      <w:pgMar w:top="1134" w:right="1134" w:bottom="1134" w:left="1134" w:header="851" w:footer="850" w:gutter="0"/>
      <w:cols w:space="720"/>
      <w:docGrid w:type="linesAndChars" w:linePitch="3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E80" w:rsidRDefault="00114E80">
      <w:r>
        <w:separator/>
      </w:r>
    </w:p>
  </w:endnote>
  <w:endnote w:type="continuationSeparator" w:id="0">
    <w:p w:rsidR="00114E80" w:rsidRDefault="0011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E80" w:rsidRDefault="00114E80">
      <w:r>
        <w:separator/>
      </w:r>
    </w:p>
  </w:footnote>
  <w:footnote w:type="continuationSeparator" w:id="0">
    <w:p w:rsidR="00114E80" w:rsidRDefault="00114E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8"/>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16D27"/>
    <w:rsid w:val="00016E93"/>
    <w:rsid w:val="00051450"/>
    <w:rsid w:val="00071507"/>
    <w:rsid w:val="000A2989"/>
    <w:rsid w:val="000E0170"/>
    <w:rsid w:val="00101F08"/>
    <w:rsid w:val="00114E80"/>
    <w:rsid w:val="001257F6"/>
    <w:rsid w:val="00157D65"/>
    <w:rsid w:val="00164368"/>
    <w:rsid w:val="00186786"/>
    <w:rsid w:val="001B61C4"/>
    <w:rsid w:val="001C492C"/>
    <w:rsid w:val="001D3923"/>
    <w:rsid w:val="001D7B00"/>
    <w:rsid w:val="001F3FB0"/>
    <w:rsid w:val="00204B69"/>
    <w:rsid w:val="00247F9A"/>
    <w:rsid w:val="00277D15"/>
    <w:rsid w:val="002A510C"/>
    <w:rsid w:val="002A7F53"/>
    <w:rsid w:val="002F2CC3"/>
    <w:rsid w:val="00323910"/>
    <w:rsid w:val="003330A7"/>
    <w:rsid w:val="0035031B"/>
    <w:rsid w:val="00351116"/>
    <w:rsid w:val="00352FFE"/>
    <w:rsid w:val="0036326B"/>
    <w:rsid w:val="00372BED"/>
    <w:rsid w:val="003B39B2"/>
    <w:rsid w:val="003B452F"/>
    <w:rsid w:val="003C4A36"/>
    <w:rsid w:val="003D08E2"/>
    <w:rsid w:val="003D78E8"/>
    <w:rsid w:val="003E7CB8"/>
    <w:rsid w:val="00405AE4"/>
    <w:rsid w:val="004218DC"/>
    <w:rsid w:val="00453B18"/>
    <w:rsid w:val="004A48F4"/>
    <w:rsid w:val="004A5C4E"/>
    <w:rsid w:val="004D7576"/>
    <w:rsid w:val="004F27D3"/>
    <w:rsid w:val="0050179C"/>
    <w:rsid w:val="005410CE"/>
    <w:rsid w:val="005455A8"/>
    <w:rsid w:val="0056324D"/>
    <w:rsid w:val="00564625"/>
    <w:rsid w:val="0056661D"/>
    <w:rsid w:val="00593C49"/>
    <w:rsid w:val="005B2A3E"/>
    <w:rsid w:val="005B404F"/>
    <w:rsid w:val="005D20CB"/>
    <w:rsid w:val="005D7D24"/>
    <w:rsid w:val="005E7595"/>
    <w:rsid w:val="005F4ADA"/>
    <w:rsid w:val="006052CA"/>
    <w:rsid w:val="00612531"/>
    <w:rsid w:val="006428CA"/>
    <w:rsid w:val="0067038A"/>
    <w:rsid w:val="00673EAB"/>
    <w:rsid w:val="00690209"/>
    <w:rsid w:val="006D3D5E"/>
    <w:rsid w:val="006E0E17"/>
    <w:rsid w:val="00727597"/>
    <w:rsid w:val="007350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8E1945"/>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3515"/>
    <w:rsid w:val="00C92BC0"/>
    <w:rsid w:val="00CA2B21"/>
    <w:rsid w:val="00CC6505"/>
    <w:rsid w:val="00CD27CB"/>
    <w:rsid w:val="00CE7A0B"/>
    <w:rsid w:val="00D03FFD"/>
    <w:rsid w:val="00D53A64"/>
    <w:rsid w:val="00D61B72"/>
    <w:rsid w:val="00DD4D3D"/>
    <w:rsid w:val="00DD5C43"/>
    <w:rsid w:val="00DF1936"/>
    <w:rsid w:val="00E05A99"/>
    <w:rsid w:val="00E21EF7"/>
    <w:rsid w:val="00E41212"/>
    <w:rsid w:val="00E41A1A"/>
    <w:rsid w:val="00E73776"/>
    <w:rsid w:val="00ED2031"/>
    <w:rsid w:val="00F64776"/>
    <w:rsid w:val="00F6624B"/>
    <w:rsid w:val="00F8685B"/>
    <w:rsid w:val="00FA60C8"/>
    <w:rsid w:val="00FD22E5"/>
    <w:rsid w:val="00FD443E"/>
    <w:rsid w:val="00FD754D"/>
    <w:rsid w:val="07F485AE"/>
    <w:rsid w:val="0BEC7EA0"/>
    <w:rsid w:val="0F9E0E77"/>
    <w:rsid w:val="175F6AD7"/>
    <w:rsid w:val="25F76553"/>
    <w:rsid w:val="2A8D465A"/>
    <w:rsid w:val="3FEF5305"/>
    <w:rsid w:val="43E2636A"/>
    <w:rsid w:val="4C1A048F"/>
    <w:rsid w:val="4F7E03B6"/>
    <w:rsid w:val="4FFB5CB9"/>
    <w:rsid w:val="4FFBA0DC"/>
    <w:rsid w:val="591D3208"/>
    <w:rsid w:val="5BDF6B61"/>
    <w:rsid w:val="5D7DEACF"/>
    <w:rsid w:val="5F297A5F"/>
    <w:rsid w:val="63E446CD"/>
    <w:rsid w:val="66FD4FA0"/>
    <w:rsid w:val="6ADF2683"/>
    <w:rsid w:val="6DDFAF5A"/>
    <w:rsid w:val="6DFFE320"/>
    <w:rsid w:val="6E532BFB"/>
    <w:rsid w:val="6F4F97A0"/>
    <w:rsid w:val="6FD6BB1D"/>
    <w:rsid w:val="73EFB654"/>
    <w:rsid w:val="761D1DFD"/>
    <w:rsid w:val="773F70F3"/>
    <w:rsid w:val="77DF3A9D"/>
    <w:rsid w:val="77ED53B3"/>
    <w:rsid w:val="79FE33E5"/>
    <w:rsid w:val="79FF73D1"/>
    <w:rsid w:val="7AAFD09C"/>
    <w:rsid w:val="7ACF678D"/>
    <w:rsid w:val="7BDF908D"/>
    <w:rsid w:val="7BFF189C"/>
    <w:rsid w:val="7C6695B7"/>
    <w:rsid w:val="7D7F8933"/>
    <w:rsid w:val="7DF6268D"/>
    <w:rsid w:val="7EBCEF83"/>
    <w:rsid w:val="7ED62E8A"/>
    <w:rsid w:val="7EF5DC3D"/>
    <w:rsid w:val="7EFEC2FD"/>
    <w:rsid w:val="7F7B0709"/>
    <w:rsid w:val="7F7F34A7"/>
    <w:rsid w:val="7FEF80A6"/>
    <w:rsid w:val="7FFD13B3"/>
    <w:rsid w:val="7FFF05D4"/>
    <w:rsid w:val="8CB336C4"/>
    <w:rsid w:val="9FFF1640"/>
    <w:rsid w:val="A7EF3C36"/>
    <w:rsid w:val="BA3BF979"/>
    <w:rsid w:val="BD9A8220"/>
    <w:rsid w:val="BEF95872"/>
    <w:rsid w:val="BFE76621"/>
    <w:rsid w:val="DF77AF79"/>
    <w:rsid w:val="DFDF9394"/>
    <w:rsid w:val="E6FF6724"/>
    <w:rsid w:val="E7DB3300"/>
    <w:rsid w:val="EEE54128"/>
    <w:rsid w:val="EFFD69A6"/>
    <w:rsid w:val="F67B6C34"/>
    <w:rsid w:val="F6FD48E1"/>
    <w:rsid w:val="F7CFA888"/>
    <w:rsid w:val="F7FB36A8"/>
    <w:rsid w:val="F997C2DA"/>
    <w:rsid w:val="FBDFF1A0"/>
    <w:rsid w:val="FC7A8B8B"/>
    <w:rsid w:val="FDFFBDAF"/>
    <w:rsid w:val="FDFFD889"/>
    <w:rsid w:val="FEFFC1CE"/>
    <w:rsid w:val="FEFFD154"/>
    <w:rsid w:val="FF7DF98D"/>
    <w:rsid w:val="FFED3C98"/>
    <w:rsid w:val="FFFF62A4"/>
    <w:rsid w:val="FFFFC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D8F5FFF-D78D-44C2-BE27-EE4DD738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1099</Words>
  <Characters>6266</Characters>
  <Application>Microsoft Office Word</Application>
  <DocSecurity>0</DocSecurity>
  <Lines>52</Lines>
  <Paragraphs>14</Paragraphs>
  <ScaleCrop>false</ScaleCrop>
  <Company>Xtzj.Com</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2022-03-30T05:43:00Z</cp:lastPrinted>
  <dcterms:created xsi:type="dcterms:W3CDTF">2022-03-30T06:51:00Z</dcterms:created>
  <dcterms:modified xsi:type="dcterms:W3CDTF">2022-03-30T06:51:00Z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