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705" w:rsidRDefault="00D664AA">
      <w:pPr>
        <w:spacing w:line="540" w:lineRule="exact"/>
        <w:rPr>
          <w:rFonts w:ascii="方正小标宋简体" w:eastAsia="方正小标宋简体" w:hAnsi="黑体" w:cs="Times New Roman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cs="Times New Roman" w:hint="eastAsia"/>
          <w:sz w:val="44"/>
          <w:szCs w:val="44"/>
        </w:rPr>
        <w:t>附件</w:t>
      </w:r>
    </w:p>
    <w:p w:rsidR="00957705" w:rsidRDefault="00957705">
      <w:pPr>
        <w:tabs>
          <w:tab w:val="left" w:pos="3144"/>
        </w:tabs>
        <w:spacing w:line="360" w:lineRule="auto"/>
        <w:jc w:val="left"/>
        <w:rPr>
          <w:rFonts w:ascii="方正小标宋简体" w:eastAsia="方正小标宋简体" w:hAnsi="黑体" w:cs="Times New Roman"/>
          <w:sz w:val="44"/>
          <w:szCs w:val="44"/>
        </w:rPr>
      </w:pPr>
    </w:p>
    <w:p w:rsidR="00957705" w:rsidRDefault="00D664AA">
      <w:pPr>
        <w:spacing w:line="540" w:lineRule="exact"/>
        <w:ind w:firstLineChars="200" w:firstLine="880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硝呋太尔口服制剂说明书修订</w:t>
      </w:r>
      <w:r>
        <w:rPr>
          <w:rFonts w:ascii="方正小标宋简体" w:eastAsia="方正小标宋简体" w:hAnsi="黑体" w:cs="Times New Roman" w:hint="eastAsia"/>
          <w:sz w:val="44"/>
          <w:szCs w:val="44"/>
        </w:rPr>
        <w:t>要求</w:t>
      </w:r>
    </w:p>
    <w:p w:rsidR="00957705" w:rsidRDefault="00957705">
      <w:pPr>
        <w:spacing w:line="540" w:lineRule="exact"/>
        <w:ind w:firstLineChars="200" w:firstLine="880"/>
        <w:rPr>
          <w:rFonts w:ascii="方正小标宋简体" w:eastAsia="方正小标宋简体" w:hAnsi="黑体" w:cs="Times New Roman"/>
          <w:sz w:val="44"/>
          <w:szCs w:val="44"/>
        </w:rPr>
      </w:pPr>
    </w:p>
    <w:p w:rsidR="00957705" w:rsidRDefault="00D664AA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一、【不良反应】项下修订为以下内容：</w:t>
      </w:r>
    </w:p>
    <w:p w:rsidR="00957705" w:rsidRDefault="00D664AA">
      <w:pPr>
        <w:spacing w:line="54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上市后监测到硝呋太尔口服制剂以下不良反应（发生率未知）：</w:t>
      </w:r>
      <w:r>
        <w:rPr>
          <w:rFonts w:ascii="仿宋" w:eastAsia="仿宋" w:hAnsi="仿宋" w:cs="Times New Roman"/>
          <w:b/>
          <w:sz w:val="32"/>
          <w:szCs w:val="32"/>
        </w:rPr>
        <w:t xml:space="preserve"> </w:t>
      </w:r>
    </w:p>
    <w:p w:rsidR="00957705" w:rsidRDefault="00D664AA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皮肤及皮下组织类疾病：皮疹、瘙痒、荨麻疹、红斑、药疹、斑丘疹、皮肤肿胀、多汗；</w:t>
      </w:r>
    </w:p>
    <w:p w:rsidR="00957705" w:rsidRDefault="00D664AA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胃肠系统疾病：恶心、呕吐、腹痛、腹泻、腹部不适、腹胀、口干、口苦、肠胃气胀；</w:t>
      </w:r>
    </w:p>
    <w:p w:rsidR="00957705" w:rsidRDefault="00D664AA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神经系统疾病</w:t>
      </w:r>
      <w:r>
        <w:rPr>
          <w:rFonts w:ascii="仿宋" w:eastAsia="仿宋" w:hAnsi="仿宋" w:cs="Times New Roman" w:hint="eastAsia"/>
          <w:sz w:val="32"/>
          <w:szCs w:val="32"/>
        </w:rPr>
        <w:t>:</w:t>
      </w:r>
      <w:r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>头晕、眩晕、头痛、嗜睡、失眠、感觉减退、麻木；</w:t>
      </w:r>
    </w:p>
    <w:p w:rsidR="00957705" w:rsidRDefault="00D664AA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全身性疾病及给药部位反应：胸部不适、发热、乏力、疼痛、水肿（面部、粘膜、外周）、双硫仑样反应；</w:t>
      </w:r>
    </w:p>
    <w:p w:rsidR="00957705" w:rsidRDefault="00D664AA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免疫系统疾病：过敏反应、过敏样反应、过敏性休克；</w:t>
      </w:r>
    </w:p>
    <w:p w:rsidR="00957705" w:rsidRDefault="00D664AA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生殖系统疾病：外阴阴道瘙痒、外阴阴道肿胀、外阴阴道灼烧感；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</w:p>
    <w:p w:rsidR="00957705" w:rsidRDefault="00D664AA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其他：呼吸困难、喉头水肿、心悸、潮红、关节痛、耳鸣、血尿、尿液变色、黄疸、转氨酶升高、溶血性贫血。</w:t>
      </w:r>
    </w:p>
    <w:p w:rsidR="00957705" w:rsidRDefault="00D664AA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二、在【禁忌】项下增加以下内容：</w:t>
      </w:r>
    </w:p>
    <w:p w:rsidR="00957705" w:rsidRDefault="00D664AA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葡萄糖</w:t>
      </w:r>
      <w:r>
        <w:rPr>
          <w:rFonts w:ascii="仿宋" w:eastAsia="仿宋" w:hAnsi="仿宋" w:cs="Times New Roman" w:hint="eastAsia"/>
          <w:sz w:val="32"/>
          <w:szCs w:val="32"/>
        </w:rPr>
        <w:t>-6-</w:t>
      </w:r>
      <w:r>
        <w:rPr>
          <w:rFonts w:ascii="仿宋" w:eastAsia="仿宋" w:hAnsi="仿宋" w:cs="Times New Roman" w:hint="eastAsia"/>
          <w:sz w:val="32"/>
          <w:szCs w:val="32"/>
        </w:rPr>
        <w:t>磷酸脱氢酶缺乏症（俗称蚕豆病）患者禁用。</w:t>
      </w:r>
    </w:p>
    <w:p w:rsidR="00957705" w:rsidRDefault="00D664AA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三、【注意事项】项下修订为以下内容：</w:t>
      </w:r>
    </w:p>
    <w:p w:rsidR="00957705" w:rsidRDefault="00D664AA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1.</w:t>
      </w:r>
      <w:r>
        <w:rPr>
          <w:rFonts w:ascii="仿宋" w:eastAsia="仿宋" w:hAnsi="仿宋" w:cs="Times New Roman" w:hint="eastAsia"/>
          <w:sz w:val="32"/>
          <w:szCs w:val="32"/>
        </w:rPr>
        <w:t>口服本品期间饮酒或并用含乙醇类其他药品，可引起双硫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仑样反应，表现为皮肤潮红、瘙痒、发热、头痛、恶心、腹痛、心动过速、血压升高、胸闷、烦躁等，故服药期间禁止饮酒，并避免使用含乙醇类其他药品。</w:t>
      </w:r>
    </w:p>
    <w:p w:rsidR="00957705" w:rsidRDefault="00D664AA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2.</w:t>
      </w:r>
      <w:r>
        <w:rPr>
          <w:rFonts w:ascii="仿宋" w:eastAsia="仿宋" w:hAnsi="仿宋" w:cs="Times New Roman" w:hint="eastAsia"/>
          <w:sz w:val="32"/>
          <w:szCs w:val="32"/>
        </w:rPr>
        <w:t>葡萄糖</w:t>
      </w:r>
      <w:r>
        <w:rPr>
          <w:rFonts w:ascii="仿宋" w:eastAsia="仿宋" w:hAnsi="仿宋" w:cs="Times New Roman" w:hint="eastAsia"/>
          <w:sz w:val="32"/>
          <w:szCs w:val="32"/>
        </w:rPr>
        <w:t>-6-</w:t>
      </w:r>
      <w:r>
        <w:rPr>
          <w:rFonts w:ascii="仿宋" w:eastAsia="仿宋" w:hAnsi="仿宋" w:cs="Times New Roman" w:hint="eastAsia"/>
          <w:sz w:val="32"/>
          <w:szCs w:val="32"/>
        </w:rPr>
        <w:t>磷酸脱</w:t>
      </w:r>
      <w:r>
        <w:rPr>
          <w:rFonts w:ascii="仿宋" w:eastAsia="仿宋" w:hAnsi="仿宋" w:cs="Times New Roman" w:hint="eastAsia"/>
          <w:sz w:val="32"/>
          <w:szCs w:val="32"/>
        </w:rPr>
        <w:t>氢酶缺乏症患者使用本品可致溶血性贫血。</w:t>
      </w:r>
    </w:p>
    <w:p w:rsidR="00957705" w:rsidRDefault="0095770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57705" w:rsidRDefault="00957705">
      <w:pPr>
        <w:rPr>
          <w:sz w:val="32"/>
          <w:szCs w:val="32"/>
        </w:rPr>
      </w:pPr>
    </w:p>
    <w:sectPr w:rsidR="00957705">
      <w:footerReference w:type="default" r:id="rId7"/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4AA" w:rsidRDefault="00D664AA">
      <w:r>
        <w:separator/>
      </w:r>
    </w:p>
  </w:endnote>
  <w:endnote w:type="continuationSeparator" w:id="0">
    <w:p w:rsidR="00D664AA" w:rsidRDefault="00D6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032768"/>
    </w:sdtPr>
    <w:sdtEndPr/>
    <w:sdtContent>
      <w:p w:rsidR="00957705" w:rsidRDefault="00D664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217" w:rsidRPr="00431217">
          <w:rPr>
            <w:noProof/>
            <w:lang w:val="zh-CN"/>
          </w:rPr>
          <w:t>2</w:t>
        </w:r>
        <w:r>
          <w:fldChar w:fldCharType="end"/>
        </w:r>
      </w:p>
    </w:sdtContent>
  </w:sdt>
  <w:p w:rsidR="00957705" w:rsidRDefault="009577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4AA" w:rsidRDefault="00D664AA">
      <w:r>
        <w:separator/>
      </w:r>
    </w:p>
  </w:footnote>
  <w:footnote w:type="continuationSeparator" w:id="0">
    <w:p w:rsidR="00D664AA" w:rsidRDefault="00D66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0E"/>
    <w:rsid w:val="FFFC21EF"/>
    <w:rsid w:val="00007FD5"/>
    <w:rsid w:val="00010560"/>
    <w:rsid w:val="00027DDE"/>
    <w:rsid w:val="00064376"/>
    <w:rsid w:val="000962AA"/>
    <w:rsid w:val="000D5788"/>
    <w:rsid w:val="00103EBB"/>
    <w:rsid w:val="0011340D"/>
    <w:rsid w:val="00141F77"/>
    <w:rsid w:val="001653D5"/>
    <w:rsid w:val="001B6C36"/>
    <w:rsid w:val="00216842"/>
    <w:rsid w:val="00222B9A"/>
    <w:rsid w:val="00293BF5"/>
    <w:rsid w:val="002A2A25"/>
    <w:rsid w:val="002A75E1"/>
    <w:rsid w:val="002C2EA1"/>
    <w:rsid w:val="002F6446"/>
    <w:rsid w:val="00346401"/>
    <w:rsid w:val="00357C07"/>
    <w:rsid w:val="003B5059"/>
    <w:rsid w:val="003C377A"/>
    <w:rsid w:val="003C5965"/>
    <w:rsid w:val="003E4276"/>
    <w:rsid w:val="003E4E24"/>
    <w:rsid w:val="003F4FA9"/>
    <w:rsid w:val="00400B3D"/>
    <w:rsid w:val="00431217"/>
    <w:rsid w:val="00455155"/>
    <w:rsid w:val="00462CA2"/>
    <w:rsid w:val="004634A0"/>
    <w:rsid w:val="004702E8"/>
    <w:rsid w:val="004969D4"/>
    <w:rsid w:val="004A5ED2"/>
    <w:rsid w:val="004F22BE"/>
    <w:rsid w:val="0050204C"/>
    <w:rsid w:val="00534E49"/>
    <w:rsid w:val="005B799A"/>
    <w:rsid w:val="00605694"/>
    <w:rsid w:val="00642E5C"/>
    <w:rsid w:val="00661466"/>
    <w:rsid w:val="006857E9"/>
    <w:rsid w:val="006B00DF"/>
    <w:rsid w:val="007462C6"/>
    <w:rsid w:val="007509A9"/>
    <w:rsid w:val="00773FE8"/>
    <w:rsid w:val="007A02C8"/>
    <w:rsid w:val="007A3148"/>
    <w:rsid w:val="007C287E"/>
    <w:rsid w:val="007C67AB"/>
    <w:rsid w:val="007E361D"/>
    <w:rsid w:val="007E3807"/>
    <w:rsid w:val="00897301"/>
    <w:rsid w:val="008A41F9"/>
    <w:rsid w:val="008B7443"/>
    <w:rsid w:val="008C469D"/>
    <w:rsid w:val="0091363D"/>
    <w:rsid w:val="00957705"/>
    <w:rsid w:val="009757F7"/>
    <w:rsid w:val="00A33C20"/>
    <w:rsid w:val="00A42847"/>
    <w:rsid w:val="00A97DD7"/>
    <w:rsid w:val="00AA6364"/>
    <w:rsid w:val="00AB79E8"/>
    <w:rsid w:val="00AD5827"/>
    <w:rsid w:val="00AE4193"/>
    <w:rsid w:val="00B426D4"/>
    <w:rsid w:val="00B9280E"/>
    <w:rsid w:val="00C13B39"/>
    <w:rsid w:val="00C62D7B"/>
    <w:rsid w:val="00CC3FD4"/>
    <w:rsid w:val="00D0110E"/>
    <w:rsid w:val="00D567EE"/>
    <w:rsid w:val="00D664AA"/>
    <w:rsid w:val="00DB75AB"/>
    <w:rsid w:val="00DD47CE"/>
    <w:rsid w:val="00DE4742"/>
    <w:rsid w:val="00E06532"/>
    <w:rsid w:val="00E302C3"/>
    <w:rsid w:val="00E63F67"/>
    <w:rsid w:val="00E66EBB"/>
    <w:rsid w:val="00E75B3F"/>
    <w:rsid w:val="00EA2F46"/>
    <w:rsid w:val="00EB0C8A"/>
    <w:rsid w:val="00EB2A3E"/>
    <w:rsid w:val="00EB34BF"/>
    <w:rsid w:val="00ED0EF3"/>
    <w:rsid w:val="00EF1658"/>
    <w:rsid w:val="00EF75BF"/>
    <w:rsid w:val="00F21502"/>
    <w:rsid w:val="00F31451"/>
    <w:rsid w:val="00F41476"/>
    <w:rsid w:val="00F41B68"/>
    <w:rsid w:val="00F558CF"/>
    <w:rsid w:val="00F6087B"/>
    <w:rsid w:val="1F9D4044"/>
    <w:rsid w:val="79FB6E6F"/>
    <w:rsid w:val="7E77C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BB6A3-6A03-4425-9549-5D8DF17E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吴桂芝</dc:creator>
  <cp:lastModifiedBy>pc</cp:lastModifiedBy>
  <cp:revision>2</cp:revision>
  <dcterms:created xsi:type="dcterms:W3CDTF">2022-01-26T05:56:00Z</dcterms:created>
  <dcterms:modified xsi:type="dcterms:W3CDTF">2022-01-26T05:56:00Z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