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0709DC1F" w:rsidR="00694DF7" w:rsidRPr="005D4618" w:rsidRDefault="00694DF7" w:rsidP="001B361B">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5D4618">
        <w:rPr>
          <w:rFonts w:ascii="Times New Roman" w:eastAsia="黑体" w:hAnsi="Times New Roman" w:cs="Times New Roman"/>
          <w:b w:val="0"/>
          <w:bCs w:val="0"/>
        </w:rPr>
        <w:t>附件</w:t>
      </w:r>
    </w:p>
    <w:p w14:paraId="0B7EA350" w14:textId="77777777" w:rsidR="001B361B" w:rsidRPr="005D4618" w:rsidRDefault="001B361B" w:rsidP="001B361B">
      <w:pPr>
        <w:spacing w:line="600" w:lineRule="exact"/>
      </w:pPr>
    </w:p>
    <w:p w14:paraId="6932F05C" w14:textId="1C634409" w:rsidR="00AD56E3" w:rsidRPr="005D4618" w:rsidRDefault="00F570CF" w:rsidP="001B361B">
      <w:pPr>
        <w:spacing w:line="600" w:lineRule="exact"/>
        <w:jc w:val="center"/>
        <w:rPr>
          <w:rFonts w:eastAsia="方正小标宋简体"/>
          <w:bCs/>
          <w:sz w:val="40"/>
          <w:szCs w:val="36"/>
        </w:rPr>
      </w:pPr>
      <w:r w:rsidRPr="005D4618">
        <w:rPr>
          <w:rFonts w:eastAsia="方正小标宋简体"/>
          <w:bCs/>
          <w:sz w:val="44"/>
          <w:szCs w:val="44"/>
        </w:rPr>
        <w:t>静脉曲张闭合胶产品审评要点</w:t>
      </w:r>
    </w:p>
    <w:p w14:paraId="623BE5FE" w14:textId="77777777" w:rsidR="00AD56E3" w:rsidRPr="005D4618" w:rsidRDefault="00AD56E3" w:rsidP="001B361B">
      <w:pPr>
        <w:spacing w:line="600" w:lineRule="exact"/>
        <w:ind w:firstLine="636"/>
        <w:jc w:val="left"/>
        <w:rPr>
          <w:rFonts w:eastAsia="仿宋_GB2312"/>
          <w:color w:val="000000"/>
          <w:sz w:val="32"/>
          <w:szCs w:val="32"/>
        </w:rPr>
      </w:pPr>
    </w:p>
    <w:bookmarkEnd w:id="0"/>
    <w:bookmarkEnd w:id="1"/>
    <w:bookmarkEnd w:id="2"/>
    <w:bookmarkEnd w:id="3"/>
    <w:bookmarkEnd w:id="4"/>
    <w:p w14:paraId="2B6B606F" w14:textId="77777777" w:rsidR="005D4618" w:rsidRPr="005D4618" w:rsidRDefault="005D4618" w:rsidP="005D4618">
      <w:pPr>
        <w:snapToGrid w:val="0"/>
        <w:spacing w:line="520" w:lineRule="exact"/>
        <w:ind w:firstLineChars="200" w:firstLine="640"/>
        <w:rPr>
          <w:rFonts w:eastAsia="黑体"/>
          <w:color w:val="000000"/>
          <w:sz w:val="32"/>
          <w:szCs w:val="32"/>
        </w:rPr>
      </w:pPr>
      <w:r w:rsidRPr="005D4618">
        <w:rPr>
          <w:rFonts w:eastAsia="黑体"/>
          <w:color w:val="000000"/>
          <w:sz w:val="32"/>
          <w:szCs w:val="32"/>
        </w:rPr>
        <w:t>一、适用范围</w:t>
      </w:r>
    </w:p>
    <w:p w14:paraId="515F43BC"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静脉曲张闭合胶产品通常由以</w:t>
      </w:r>
      <w:r w:rsidRPr="005D4618">
        <w:rPr>
          <w:rFonts w:eastAsia="仿宋_GB2312"/>
          <w:color w:val="000000"/>
          <w:sz w:val="32"/>
          <w:szCs w:val="32"/>
        </w:rPr>
        <w:t>α-</w:t>
      </w:r>
      <w:r w:rsidRPr="005D4618">
        <w:rPr>
          <w:rFonts w:eastAsia="仿宋_GB2312"/>
          <w:color w:val="000000"/>
          <w:sz w:val="32"/>
          <w:szCs w:val="32"/>
        </w:rPr>
        <w:t>氰基丙烯酸正丁酯为主要成分的粘合剂组成，包含或者不包含输送系统。用于经超声诊断为症状性静脉回流的患者下肢大隐静脉主干等曲张的血管闭塞治疗。</w:t>
      </w:r>
    </w:p>
    <w:p w14:paraId="4EB67317"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该项审评要点适用于粘合剂部分的技术审评。产品若包含输送系统，应根据相关标准制定输送系统</w:t>
      </w:r>
      <w:proofErr w:type="gramStart"/>
      <w:r w:rsidRPr="005D4618">
        <w:rPr>
          <w:rFonts w:eastAsia="仿宋_GB2312"/>
          <w:color w:val="000000"/>
          <w:sz w:val="32"/>
          <w:szCs w:val="32"/>
        </w:rPr>
        <w:t>需评价</w:t>
      </w:r>
      <w:proofErr w:type="gramEnd"/>
      <w:r w:rsidRPr="005D4618">
        <w:rPr>
          <w:rFonts w:eastAsia="仿宋_GB2312"/>
          <w:color w:val="000000"/>
          <w:sz w:val="32"/>
          <w:szCs w:val="32"/>
        </w:rPr>
        <w:t>的项目指标。对于粘合剂的包装材料，需按照药包</w:t>
      </w:r>
      <w:proofErr w:type="gramStart"/>
      <w:r w:rsidRPr="005D4618">
        <w:rPr>
          <w:rFonts w:eastAsia="仿宋_GB2312"/>
          <w:color w:val="000000"/>
          <w:sz w:val="32"/>
          <w:szCs w:val="32"/>
        </w:rPr>
        <w:t>材相关</w:t>
      </w:r>
      <w:proofErr w:type="gramEnd"/>
      <w:r w:rsidRPr="005D4618">
        <w:rPr>
          <w:rFonts w:eastAsia="仿宋_GB2312"/>
          <w:color w:val="000000"/>
          <w:sz w:val="32"/>
          <w:szCs w:val="32"/>
        </w:rPr>
        <w:t>要求进行适宜的评价。</w:t>
      </w:r>
    </w:p>
    <w:p w14:paraId="486A137E"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分类编码是</w:t>
      </w:r>
      <w:r w:rsidRPr="005D4618">
        <w:rPr>
          <w:rFonts w:eastAsia="仿宋_GB2312"/>
          <w:color w:val="000000"/>
          <w:sz w:val="32"/>
          <w:szCs w:val="32"/>
        </w:rPr>
        <w:t>13-07-08</w:t>
      </w:r>
      <w:r w:rsidRPr="005D4618">
        <w:rPr>
          <w:rFonts w:eastAsia="仿宋_GB2312"/>
          <w:color w:val="000000"/>
          <w:sz w:val="32"/>
          <w:szCs w:val="32"/>
        </w:rPr>
        <w:t>。</w:t>
      </w:r>
    </w:p>
    <w:p w14:paraId="287AB652" w14:textId="77777777" w:rsidR="005D4618" w:rsidRPr="005D4618" w:rsidRDefault="005D4618" w:rsidP="005D4618">
      <w:pPr>
        <w:snapToGrid w:val="0"/>
        <w:spacing w:line="520" w:lineRule="exact"/>
        <w:ind w:firstLineChars="200" w:firstLine="640"/>
        <w:rPr>
          <w:rFonts w:eastAsia="黑体"/>
          <w:color w:val="000000"/>
          <w:sz w:val="32"/>
          <w:szCs w:val="32"/>
        </w:rPr>
      </w:pPr>
      <w:r w:rsidRPr="005D4618">
        <w:rPr>
          <w:rFonts w:eastAsia="黑体"/>
          <w:color w:val="000000"/>
          <w:sz w:val="32"/>
          <w:szCs w:val="32"/>
        </w:rPr>
        <w:t>二、参考文件</w:t>
      </w:r>
    </w:p>
    <w:p w14:paraId="06B130B3" w14:textId="77777777" w:rsidR="005D4618" w:rsidRPr="005D4618" w:rsidRDefault="005D4618" w:rsidP="005D4618">
      <w:pPr>
        <w:snapToGrid w:val="0"/>
        <w:spacing w:line="520" w:lineRule="exact"/>
        <w:ind w:firstLineChars="200" w:firstLine="640"/>
        <w:rPr>
          <w:rFonts w:eastAsia="仿宋"/>
          <w:color w:val="000000"/>
          <w:sz w:val="32"/>
          <w:szCs w:val="32"/>
        </w:rPr>
      </w:pPr>
      <w:r w:rsidRPr="005D4618">
        <w:rPr>
          <w:rFonts w:eastAsia="仿宋"/>
          <w:color w:val="000000"/>
          <w:sz w:val="32"/>
          <w:szCs w:val="32"/>
        </w:rPr>
        <w:t>α-</w:t>
      </w:r>
      <w:r w:rsidRPr="005D4618">
        <w:rPr>
          <w:rFonts w:eastAsia="仿宋"/>
          <w:color w:val="000000"/>
          <w:sz w:val="32"/>
          <w:szCs w:val="32"/>
        </w:rPr>
        <w:t>氰基丙烯酸酯类医用粘合剂注册审查指导原则（</w:t>
      </w:r>
      <w:r w:rsidRPr="005D4618">
        <w:rPr>
          <w:rFonts w:eastAsia="仿宋"/>
          <w:color w:val="000000"/>
          <w:sz w:val="32"/>
          <w:szCs w:val="32"/>
        </w:rPr>
        <w:t>2024</w:t>
      </w:r>
      <w:r w:rsidRPr="005D4618">
        <w:rPr>
          <w:rFonts w:eastAsia="仿宋"/>
          <w:color w:val="000000"/>
          <w:sz w:val="32"/>
          <w:szCs w:val="32"/>
        </w:rPr>
        <w:t>年修订版）</w:t>
      </w:r>
    </w:p>
    <w:p w14:paraId="56A5EC63" w14:textId="77777777" w:rsidR="005D4618" w:rsidRPr="005D4618" w:rsidRDefault="005D4618" w:rsidP="005D4618">
      <w:pPr>
        <w:snapToGrid w:val="0"/>
        <w:spacing w:line="520" w:lineRule="exact"/>
        <w:ind w:firstLineChars="200" w:firstLine="640"/>
        <w:rPr>
          <w:rFonts w:eastAsia="仿宋"/>
          <w:color w:val="000000"/>
          <w:sz w:val="32"/>
          <w:szCs w:val="32"/>
        </w:rPr>
      </w:pPr>
      <w:r w:rsidRPr="005D4618">
        <w:rPr>
          <w:rFonts w:eastAsia="仿宋"/>
          <w:color w:val="000000"/>
          <w:sz w:val="32"/>
          <w:szCs w:val="32"/>
        </w:rPr>
        <w:t>无源植入性医疗器械产品注册申报资料指导原则</w:t>
      </w:r>
    </w:p>
    <w:p w14:paraId="366A75FF" w14:textId="77777777" w:rsidR="005D4618" w:rsidRPr="005D4618" w:rsidRDefault="005D4618" w:rsidP="005D4618">
      <w:pPr>
        <w:snapToGrid w:val="0"/>
        <w:spacing w:line="520" w:lineRule="exact"/>
        <w:ind w:firstLineChars="200" w:firstLine="640"/>
        <w:rPr>
          <w:rFonts w:eastAsia="黑体"/>
          <w:color w:val="000000"/>
          <w:sz w:val="32"/>
          <w:szCs w:val="32"/>
        </w:rPr>
      </w:pPr>
      <w:r w:rsidRPr="005D4618">
        <w:rPr>
          <w:rFonts w:eastAsia="黑体"/>
          <w:color w:val="000000"/>
          <w:sz w:val="32"/>
          <w:szCs w:val="32"/>
        </w:rPr>
        <w:t>三、审评主要关注点</w:t>
      </w:r>
    </w:p>
    <w:p w14:paraId="2D3D7DEC"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在参照相关法规、规章、指导原则、标准的情况前提下，结合下列关注点开展技术审评。</w:t>
      </w:r>
    </w:p>
    <w:p w14:paraId="2B1488BF" w14:textId="77777777" w:rsidR="005D4618" w:rsidRPr="005D4618" w:rsidRDefault="005D4618" w:rsidP="005D4618">
      <w:pPr>
        <w:numPr>
          <w:ilvl w:val="0"/>
          <w:numId w:val="46"/>
        </w:numPr>
        <w:snapToGrid w:val="0"/>
        <w:spacing w:line="520" w:lineRule="exact"/>
        <w:rPr>
          <w:rFonts w:eastAsia="楷体"/>
          <w:color w:val="000000"/>
          <w:sz w:val="32"/>
          <w:szCs w:val="32"/>
        </w:rPr>
      </w:pPr>
      <w:r w:rsidRPr="005D4618">
        <w:rPr>
          <w:rFonts w:eastAsia="楷体"/>
          <w:color w:val="000000"/>
          <w:sz w:val="32"/>
          <w:szCs w:val="32"/>
        </w:rPr>
        <w:t>原材料</w:t>
      </w:r>
    </w:p>
    <w:p w14:paraId="4DCEE233" w14:textId="0B597922"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1.</w:t>
      </w:r>
      <w:r w:rsidRPr="005D4618">
        <w:rPr>
          <w:rFonts w:eastAsia="仿宋_GB2312"/>
          <w:color w:val="000000"/>
          <w:sz w:val="32"/>
          <w:szCs w:val="32"/>
        </w:rPr>
        <w:t>提供</w:t>
      </w:r>
      <w:proofErr w:type="gramStart"/>
      <w:r w:rsidRPr="005D4618">
        <w:rPr>
          <w:rFonts w:eastAsia="仿宋_GB2312"/>
          <w:color w:val="000000"/>
          <w:sz w:val="32"/>
          <w:szCs w:val="32"/>
        </w:rPr>
        <w:t>终产品</w:t>
      </w:r>
      <w:proofErr w:type="gramEnd"/>
      <w:r w:rsidRPr="005D4618">
        <w:rPr>
          <w:rFonts w:eastAsia="仿宋_GB2312"/>
          <w:color w:val="000000"/>
          <w:sz w:val="32"/>
          <w:szCs w:val="32"/>
        </w:rPr>
        <w:t>各组分的化学名称、商品名</w:t>
      </w:r>
      <w:r w:rsidRPr="005D4618">
        <w:rPr>
          <w:rFonts w:eastAsia="仿宋_GB2312"/>
          <w:color w:val="000000"/>
          <w:sz w:val="32"/>
          <w:szCs w:val="32"/>
        </w:rPr>
        <w:t>/</w:t>
      </w:r>
      <w:r w:rsidRPr="005D4618">
        <w:rPr>
          <w:rFonts w:eastAsia="仿宋_GB2312"/>
          <w:color w:val="000000"/>
          <w:sz w:val="32"/>
          <w:szCs w:val="32"/>
        </w:rPr>
        <w:t>牌号（若有）、</w:t>
      </w:r>
      <w:r w:rsidRPr="005D4618">
        <w:rPr>
          <w:rFonts w:eastAsia="仿宋_GB2312"/>
          <w:color w:val="000000"/>
          <w:sz w:val="32"/>
          <w:szCs w:val="32"/>
        </w:rPr>
        <w:t>CAS</w:t>
      </w:r>
      <w:r w:rsidRPr="005D4618">
        <w:rPr>
          <w:rFonts w:eastAsia="仿宋_GB2312"/>
          <w:color w:val="000000"/>
          <w:sz w:val="32"/>
          <w:szCs w:val="32"/>
        </w:rPr>
        <w:t>号、化学结构式</w:t>
      </w:r>
      <w:r w:rsidRPr="005D4618">
        <w:rPr>
          <w:rFonts w:eastAsia="仿宋_GB2312"/>
          <w:color w:val="000000"/>
          <w:sz w:val="32"/>
          <w:szCs w:val="32"/>
        </w:rPr>
        <w:t>/</w:t>
      </w:r>
      <w:r w:rsidRPr="005D4618">
        <w:rPr>
          <w:rFonts w:eastAsia="仿宋_GB2312"/>
          <w:color w:val="000000"/>
          <w:sz w:val="32"/>
          <w:szCs w:val="32"/>
        </w:rPr>
        <w:t>分子式、分子量。</w:t>
      </w:r>
    </w:p>
    <w:p w14:paraId="14C89E10" w14:textId="4EE4EE71"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lastRenderedPageBreak/>
        <w:t>2.</w:t>
      </w:r>
      <w:r w:rsidRPr="005D4618">
        <w:rPr>
          <w:rFonts w:eastAsia="仿宋_GB2312"/>
          <w:color w:val="000000"/>
          <w:sz w:val="32"/>
          <w:szCs w:val="32"/>
        </w:rPr>
        <w:t>提供原材料质量控制标准、测试方法及测试报告，质量控制项目包括但不限于</w:t>
      </w:r>
      <w:proofErr w:type="gramStart"/>
      <w:r w:rsidRPr="005D4618">
        <w:rPr>
          <w:rFonts w:eastAsia="仿宋_GB2312"/>
          <w:color w:val="000000"/>
          <w:sz w:val="32"/>
          <w:szCs w:val="32"/>
        </w:rPr>
        <w:t>终产品</w:t>
      </w:r>
      <w:proofErr w:type="gramEnd"/>
      <w:r w:rsidRPr="005D4618">
        <w:rPr>
          <w:rFonts w:eastAsia="仿宋_GB2312"/>
          <w:color w:val="000000"/>
          <w:sz w:val="32"/>
          <w:szCs w:val="32"/>
        </w:rPr>
        <w:t>各组分的纯度、杂质种类及含量、聚合物的分子量及其分布、特定基团比例等。需提供各项</w:t>
      </w:r>
      <w:proofErr w:type="gramStart"/>
      <w:r w:rsidRPr="005D4618">
        <w:rPr>
          <w:rFonts w:eastAsia="仿宋_GB2312"/>
          <w:color w:val="000000"/>
          <w:sz w:val="32"/>
          <w:szCs w:val="32"/>
        </w:rPr>
        <w:t>目接受</w:t>
      </w:r>
      <w:proofErr w:type="gramEnd"/>
      <w:r w:rsidRPr="005D4618">
        <w:rPr>
          <w:rFonts w:eastAsia="仿宋_GB2312"/>
          <w:color w:val="000000"/>
          <w:sz w:val="32"/>
          <w:szCs w:val="32"/>
        </w:rPr>
        <w:t>标准的制定依据及支持资料，如经静脉注射摄入的人体耐受量等。</w:t>
      </w:r>
    </w:p>
    <w:p w14:paraId="6F6495FD" w14:textId="5D9FE45E"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3</w:t>
      </w:r>
      <w:r>
        <w:rPr>
          <w:rFonts w:eastAsia="仿宋_GB2312"/>
          <w:color w:val="000000"/>
          <w:sz w:val="32"/>
          <w:szCs w:val="32"/>
        </w:rPr>
        <w:t>.</w:t>
      </w:r>
      <w:r w:rsidRPr="005D4618">
        <w:rPr>
          <w:rFonts w:eastAsia="仿宋_GB2312"/>
          <w:color w:val="000000"/>
          <w:sz w:val="32"/>
          <w:szCs w:val="32"/>
        </w:rPr>
        <w:t>收录于药典的成分需提供符合药典相关要求的测试报告，提供</w:t>
      </w:r>
      <w:proofErr w:type="gramStart"/>
      <w:r w:rsidRPr="005D4618">
        <w:rPr>
          <w:rFonts w:eastAsia="仿宋_GB2312"/>
          <w:color w:val="000000"/>
          <w:sz w:val="32"/>
          <w:szCs w:val="32"/>
        </w:rPr>
        <w:t>终产品</w:t>
      </w:r>
      <w:proofErr w:type="gramEnd"/>
      <w:r w:rsidRPr="005D4618">
        <w:rPr>
          <w:rFonts w:eastAsia="仿宋_GB2312"/>
          <w:color w:val="000000"/>
          <w:sz w:val="32"/>
          <w:szCs w:val="32"/>
        </w:rPr>
        <w:t>各组分药用辅料的备案证明文件。</w:t>
      </w:r>
    </w:p>
    <w:p w14:paraId="00DB0460" w14:textId="2FAFB749"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4</w:t>
      </w:r>
      <w:r>
        <w:rPr>
          <w:rFonts w:eastAsia="仿宋_GB2312"/>
          <w:color w:val="000000"/>
          <w:sz w:val="32"/>
          <w:szCs w:val="32"/>
        </w:rPr>
        <w:t>.</w:t>
      </w:r>
      <w:r w:rsidRPr="005D4618">
        <w:rPr>
          <w:rFonts w:eastAsia="仿宋_GB2312"/>
          <w:color w:val="000000"/>
          <w:sz w:val="32"/>
          <w:szCs w:val="32"/>
        </w:rPr>
        <w:t>涉及自行合成的</w:t>
      </w:r>
      <w:proofErr w:type="gramStart"/>
      <w:r w:rsidRPr="005D4618">
        <w:rPr>
          <w:rFonts w:eastAsia="仿宋_GB2312"/>
          <w:color w:val="000000"/>
          <w:sz w:val="32"/>
          <w:szCs w:val="32"/>
        </w:rPr>
        <w:t>终产品</w:t>
      </w:r>
      <w:proofErr w:type="gramEnd"/>
      <w:r w:rsidRPr="005D4618">
        <w:rPr>
          <w:rFonts w:eastAsia="仿宋_GB2312"/>
          <w:color w:val="000000"/>
          <w:sz w:val="32"/>
          <w:szCs w:val="32"/>
        </w:rPr>
        <w:t>组分，应明确其起始原材料，列明产品生产过程中由起始物质至</w:t>
      </w:r>
      <w:proofErr w:type="gramStart"/>
      <w:r w:rsidRPr="005D4618">
        <w:rPr>
          <w:rFonts w:eastAsia="仿宋_GB2312"/>
          <w:color w:val="000000"/>
          <w:sz w:val="32"/>
          <w:szCs w:val="32"/>
        </w:rPr>
        <w:t>终产品</w:t>
      </w:r>
      <w:proofErr w:type="gramEnd"/>
      <w:r w:rsidRPr="005D4618">
        <w:rPr>
          <w:rFonts w:eastAsia="仿宋_GB2312"/>
          <w:color w:val="000000"/>
          <w:sz w:val="32"/>
          <w:szCs w:val="32"/>
        </w:rPr>
        <w:t>过程中全部材料（主体成分及其原材料、全部辅料）所含化学成分的化学名称、商品名</w:t>
      </w:r>
      <w:r w:rsidRPr="005D4618">
        <w:rPr>
          <w:rFonts w:eastAsia="仿宋_GB2312"/>
          <w:color w:val="000000"/>
          <w:sz w:val="32"/>
          <w:szCs w:val="32"/>
        </w:rPr>
        <w:t>/</w:t>
      </w:r>
      <w:r w:rsidRPr="005D4618">
        <w:rPr>
          <w:rFonts w:eastAsia="仿宋_GB2312"/>
          <w:color w:val="000000"/>
          <w:sz w:val="32"/>
          <w:szCs w:val="32"/>
        </w:rPr>
        <w:t>材料代号、</w:t>
      </w:r>
      <w:r w:rsidRPr="005D4618">
        <w:rPr>
          <w:rFonts w:eastAsia="仿宋_GB2312"/>
          <w:color w:val="000000"/>
          <w:sz w:val="32"/>
          <w:szCs w:val="32"/>
        </w:rPr>
        <w:t>CAS</w:t>
      </w:r>
      <w:r w:rsidRPr="005D4618">
        <w:rPr>
          <w:rFonts w:eastAsia="仿宋_GB2312"/>
          <w:color w:val="000000"/>
          <w:sz w:val="32"/>
          <w:szCs w:val="32"/>
        </w:rPr>
        <w:t>号、化学结构式</w:t>
      </w:r>
      <w:r w:rsidRPr="005D4618">
        <w:rPr>
          <w:rFonts w:eastAsia="仿宋_GB2312"/>
          <w:color w:val="000000"/>
          <w:sz w:val="32"/>
          <w:szCs w:val="32"/>
        </w:rPr>
        <w:t>/</w:t>
      </w:r>
      <w:r w:rsidRPr="005D4618">
        <w:rPr>
          <w:rFonts w:eastAsia="仿宋_GB2312"/>
          <w:color w:val="000000"/>
          <w:sz w:val="32"/>
          <w:szCs w:val="32"/>
        </w:rPr>
        <w:t>分子式、分子量、纯度、符合的标准等基本信息，建议以列表的形式提供。需详述合成与纯化工艺，包括如何去除未反应的反应物、催化剂、如何减少副产物及溶剂残留等。并对合成后产物制定纯度指标，详述检测方法及验证过程。</w:t>
      </w:r>
    </w:p>
    <w:p w14:paraId="6D4374EB"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5.</w:t>
      </w:r>
      <w:r w:rsidRPr="005D4618">
        <w:rPr>
          <w:rFonts w:eastAsia="仿宋_GB2312"/>
          <w:color w:val="000000"/>
          <w:sz w:val="32"/>
          <w:szCs w:val="32"/>
        </w:rPr>
        <w:t>可以采用核磁共振、质谱或气相色谱等方法检测单体纯度、溶剂残留、催化剂残留及单体合成过程产生的一些反应物和中间体，确保符合</w:t>
      </w:r>
      <w:r w:rsidRPr="005D4618">
        <w:rPr>
          <w:rFonts w:eastAsia="仿宋_GB2312"/>
          <w:color w:val="000000"/>
          <w:sz w:val="32"/>
          <w:szCs w:val="32"/>
        </w:rPr>
        <w:t>GB/T 16886</w:t>
      </w:r>
      <w:r w:rsidRPr="005D4618">
        <w:rPr>
          <w:rFonts w:eastAsia="仿宋_GB2312"/>
          <w:color w:val="000000"/>
          <w:sz w:val="32"/>
          <w:szCs w:val="32"/>
        </w:rPr>
        <w:t>、</w:t>
      </w:r>
      <w:r w:rsidRPr="005D4618">
        <w:rPr>
          <w:rFonts w:eastAsia="仿宋_GB2312"/>
          <w:color w:val="000000"/>
          <w:sz w:val="32"/>
          <w:szCs w:val="32"/>
        </w:rPr>
        <w:t>ICH Q3C</w:t>
      </w:r>
      <w:r w:rsidRPr="005D4618">
        <w:rPr>
          <w:rFonts w:eastAsia="仿宋_GB2312"/>
          <w:color w:val="000000"/>
          <w:sz w:val="32"/>
          <w:szCs w:val="32"/>
        </w:rPr>
        <w:t>、</w:t>
      </w:r>
      <w:r w:rsidRPr="005D4618">
        <w:rPr>
          <w:rFonts w:eastAsia="仿宋_GB2312"/>
          <w:color w:val="000000"/>
          <w:sz w:val="32"/>
          <w:szCs w:val="32"/>
        </w:rPr>
        <w:t>Q3D</w:t>
      </w:r>
      <w:r w:rsidRPr="005D4618">
        <w:rPr>
          <w:rFonts w:eastAsia="仿宋_GB2312"/>
          <w:color w:val="000000"/>
          <w:sz w:val="32"/>
          <w:szCs w:val="32"/>
        </w:rPr>
        <w:t>及其他相关标准要求。对相关表征方法进行验证。</w:t>
      </w:r>
    </w:p>
    <w:p w14:paraId="4FE9555B" w14:textId="77777777" w:rsidR="005D4618" w:rsidRPr="005D4618" w:rsidRDefault="005D4618" w:rsidP="005D4618">
      <w:pPr>
        <w:snapToGrid w:val="0"/>
        <w:spacing w:line="520" w:lineRule="exact"/>
        <w:ind w:left="640"/>
        <w:rPr>
          <w:rFonts w:eastAsia="楷体"/>
          <w:color w:val="000000"/>
          <w:sz w:val="32"/>
          <w:szCs w:val="32"/>
        </w:rPr>
      </w:pPr>
      <w:r w:rsidRPr="005D4618">
        <w:rPr>
          <w:rFonts w:eastAsia="楷体"/>
          <w:color w:val="000000"/>
          <w:sz w:val="32"/>
          <w:szCs w:val="32"/>
        </w:rPr>
        <w:t>（二）产品配方</w:t>
      </w:r>
    </w:p>
    <w:p w14:paraId="457C5E59"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sz w:val="32"/>
          <w:szCs w:val="32"/>
        </w:rPr>
        <w:t>明确产品配方中各组分及具体含量，明确配方中各个组分在产品中的作用及其选择依据。明确配方中有无与</w:t>
      </w:r>
      <w:r w:rsidRPr="005D4618">
        <w:rPr>
          <w:rFonts w:eastAsia="仿宋_GB2312"/>
          <w:sz w:val="32"/>
          <w:szCs w:val="32"/>
        </w:rPr>
        <w:t>α-</w:t>
      </w:r>
      <w:r w:rsidRPr="005D4618">
        <w:rPr>
          <w:rFonts w:eastAsia="仿宋_GB2312"/>
          <w:sz w:val="32"/>
          <w:szCs w:val="32"/>
        </w:rPr>
        <w:t>氰基丙烯酸酯官能团发生反应的化学结构。需经过适宜的分析方法进行化学表征和组分含量测定。</w:t>
      </w:r>
      <w:r w:rsidRPr="005D4618">
        <w:rPr>
          <w:rFonts w:eastAsia="仿宋_GB2312"/>
          <w:color w:val="000000"/>
          <w:sz w:val="32"/>
          <w:szCs w:val="32"/>
        </w:rPr>
        <w:t>产品各组分的含量对产品性能影响较大，需结合质量控制要求对各组分含量的允差进行限定。需提供各成分</w:t>
      </w:r>
      <w:r w:rsidRPr="005D4618">
        <w:rPr>
          <w:rFonts w:eastAsia="仿宋_GB2312"/>
          <w:color w:val="000000"/>
          <w:sz w:val="32"/>
          <w:szCs w:val="32"/>
        </w:rPr>
        <w:lastRenderedPageBreak/>
        <w:t>含量的检测方法并进行方法学验证。</w:t>
      </w:r>
    </w:p>
    <w:p w14:paraId="4F3C5173" w14:textId="77777777" w:rsidR="005D4618" w:rsidRPr="005D4618" w:rsidRDefault="005D4618" w:rsidP="005D4618">
      <w:pPr>
        <w:adjustRightInd w:val="0"/>
        <w:snapToGrid w:val="0"/>
        <w:spacing w:line="520" w:lineRule="exact"/>
        <w:ind w:firstLineChars="200" w:firstLine="640"/>
        <w:rPr>
          <w:rFonts w:eastAsia="仿宋_GB2312"/>
          <w:color w:val="000000"/>
          <w:sz w:val="32"/>
          <w:szCs w:val="32"/>
        </w:rPr>
      </w:pPr>
      <w:r w:rsidRPr="005D4618">
        <w:rPr>
          <w:rFonts w:eastAsia="仿宋_GB2312"/>
          <w:sz w:val="32"/>
          <w:szCs w:val="32"/>
        </w:rPr>
        <w:t>从预期使用血管的临床需求角度确定产品的理想性能，涉及适宜的粘度、聚合速率</w:t>
      </w:r>
      <w:r w:rsidRPr="005D4618">
        <w:rPr>
          <w:rFonts w:eastAsia="仿宋_GB2312"/>
          <w:sz w:val="32"/>
          <w:szCs w:val="32"/>
        </w:rPr>
        <w:t>/</w:t>
      </w:r>
      <w:r w:rsidRPr="005D4618">
        <w:rPr>
          <w:rFonts w:eastAsia="仿宋_GB2312"/>
          <w:sz w:val="32"/>
          <w:szCs w:val="32"/>
        </w:rPr>
        <w:t>聚合时间、搭接剪切强度</w:t>
      </w:r>
      <w:r w:rsidRPr="005D4618">
        <w:rPr>
          <w:rFonts w:eastAsia="仿宋_GB2312"/>
          <w:sz w:val="32"/>
          <w:szCs w:val="32"/>
        </w:rPr>
        <w:t>/</w:t>
      </w:r>
      <w:r w:rsidRPr="005D4618">
        <w:rPr>
          <w:rFonts w:eastAsia="仿宋_GB2312"/>
          <w:sz w:val="32"/>
          <w:szCs w:val="32"/>
        </w:rPr>
        <w:t>聚合后柔韧性等方面，并提供其确定依据。</w:t>
      </w:r>
      <w:r w:rsidRPr="005D4618">
        <w:rPr>
          <w:rFonts w:eastAsia="仿宋_GB2312"/>
          <w:color w:val="000000"/>
          <w:sz w:val="32"/>
          <w:szCs w:val="32"/>
        </w:rPr>
        <w:t>提供产品配方优选验证资料，选择适宜的项目指标作为优选依据。例如，助剂种类、添加量等产品配方的不同，可能会造成固化时间和柔韧度差异较大，应根据临床需求、产品聚合放热和血管耐受情况等要求，匹配合适的固化时间和</w:t>
      </w:r>
      <w:proofErr w:type="gramStart"/>
      <w:r w:rsidRPr="005D4618">
        <w:rPr>
          <w:rFonts w:eastAsia="仿宋_GB2312"/>
          <w:color w:val="000000"/>
          <w:sz w:val="32"/>
          <w:szCs w:val="32"/>
        </w:rPr>
        <w:t>可</w:t>
      </w:r>
      <w:proofErr w:type="gramEnd"/>
      <w:r w:rsidRPr="005D4618">
        <w:rPr>
          <w:rFonts w:eastAsia="仿宋_GB2312"/>
          <w:color w:val="000000"/>
          <w:sz w:val="32"/>
          <w:szCs w:val="32"/>
        </w:rPr>
        <w:t>接受的柔韧度范围。</w:t>
      </w:r>
    </w:p>
    <w:p w14:paraId="580D8FCD" w14:textId="77777777" w:rsidR="005D4618" w:rsidRPr="005D4618" w:rsidRDefault="005D4618" w:rsidP="005D4618">
      <w:pPr>
        <w:snapToGrid w:val="0"/>
        <w:spacing w:line="520" w:lineRule="exact"/>
        <w:ind w:firstLineChars="200" w:firstLine="640"/>
        <w:rPr>
          <w:rFonts w:eastAsia="楷体"/>
          <w:color w:val="000000"/>
          <w:sz w:val="32"/>
          <w:szCs w:val="32"/>
        </w:rPr>
      </w:pPr>
      <w:r w:rsidRPr="005D4618">
        <w:rPr>
          <w:rFonts w:eastAsia="楷体"/>
          <w:color w:val="000000"/>
          <w:sz w:val="32"/>
          <w:szCs w:val="32"/>
        </w:rPr>
        <w:t>（三）产品的聚合反应</w:t>
      </w:r>
    </w:p>
    <w:p w14:paraId="1B52A250"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需详细说明产品的聚合机理，详述产品固化</w:t>
      </w:r>
      <w:r w:rsidRPr="005D4618">
        <w:rPr>
          <w:rFonts w:eastAsia="仿宋_GB2312"/>
          <w:color w:val="000000"/>
          <w:sz w:val="32"/>
          <w:szCs w:val="32"/>
        </w:rPr>
        <w:t>/</w:t>
      </w:r>
      <w:r w:rsidRPr="005D4618">
        <w:rPr>
          <w:rFonts w:eastAsia="仿宋_GB2312"/>
          <w:color w:val="000000"/>
          <w:sz w:val="32"/>
          <w:szCs w:val="32"/>
        </w:rPr>
        <w:t>聚合的反应过程，提供化学反应方程式，提供聚合反应产物、副产物的化学式，提供支持资料。</w:t>
      </w:r>
      <w:r w:rsidRPr="005D4618">
        <w:rPr>
          <w:rFonts w:eastAsia="仿宋_GB2312"/>
          <w:sz w:val="32"/>
          <w:szCs w:val="32"/>
        </w:rPr>
        <w:t>提供申报产品固化</w:t>
      </w:r>
      <w:r w:rsidRPr="005D4618">
        <w:rPr>
          <w:rFonts w:eastAsia="仿宋_GB2312"/>
          <w:sz w:val="32"/>
          <w:szCs w:val="32"/>
        </w:rPr>
        <w:t>/</w:t>
      </w:r>
      <w:r w:rsidRPr="005D4618">
        <w:rPr>
          <w:rFonts w:eastAsia="仿宋_GB2312"/>
          <w:sz w:val="32"/>
          <w:szCs w:val="32"/>
        </w:rPr>
        <w:t>聚合程度的体外及体内研究资料：</w:t>
      </w:r>
    </w:p>
    <w:p w14:paraId="4C298DAF"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1.</w:t>
      </w:r>
      <w:r w:rsidRPr="005D4618">
        <w:rPr>
          <w:rFonts w:eastAsia="仿宋_GB2312"/>
          <w:color w:val="000000"/>
          <w:sz w:val="32"/>
          <w:szCs w:val="32"/>
        </w:rPr>
        <w:t>体外试验研究需模拟临床使用条件，包括温度（如</w:t>
      </w:r>
      <w:r w:rsidRPr="005D4618">
        <w:rPr>
          <w:rFonts w:eastAsia="仿宋_GB2312"/>
          <w:color w:val="000000"/>
          <w:sz w:val="32"/>
          <w:szCs w:val="32"/>
        </w:rPr>
        <w:t>37</w:t>
      </w:r>
      <w:r w:rsidRPr="005D4618">
        <w:rPr>
          <w:color w:val="000000"/>
          <w:sz w:val="32"/>
          <w:szCs w:val="32"/>
        </w:rPr>
        <w:t>℃</w:t>
      </w:r>
      <w:r w:rsidRPr="005D4618">
        <w:rPr>
          <w:rFonts w:eastAsia="仿宋_GB2312"/>
          <w:color w:val="000000"/>
          <w:sz w:val="32"/>
          <w:szCs w:val="32"/>
        </w:rPr>
        <w:t>）、酸碱度、介质（如血浆、血清）条件等，提供试验条件的设定依据，明确申报产品开始和完全固化时间及固化程度判定方法及其标准。</w:t>
      </w:r>
    </w:p>
    <w:p w14:paraId="712D5C5F" w14:textId="77777777" w:rsidR="005D4618" w:rsidRPr="005D4618" w:rsidRDefault="005D4618" w:rsidP="005D4618">
      <w:pPr>
        <w:numPr>
          <w:ilvl w:val="255"/>
          <w:numId w:val="0"/>
        </w:numPr>
        <w:ind w:firstLineChars="200" w:firstLine="640"/>
        <w:rPr>
          <w:rFonts w:eastAsia="仿宋_GB2312"/>
          <w:color w:val="000000"/>
          <w:sz w:val="32"/>
          <w:szCs w:val="32"/>
        </w:rPr>
      </w:pPr>
      <w:r w:rsidRPr="005D4618">
        <w:rPr>
          <w:rFonts w:eastAsia="仿宋_GB2312"/>
          <w:color w:val="000000"/>
          <w:sz w:val="32"/>
          <w:szCs w:val="32"/>
        </w:rPr>
        <w:t>2.</w:t>
      </w:r>
      <w:r w:rsidRPr="005D4618">
        <w:rPr>
          <w:rFonts w:eastAsia="仿宋_GB2312"/>
          <w:color w:val="000000"/>
          <w:sz w:val="32"/>
          <w:szCs w:val="32"/>
        </w:rPr>
        <w:t>提供体内研究试验条件的设定依据，明确申报产品完全固化判定方法及其标准。</w:t>
      </w:r>
    </w:p>
    <w:p w14:paraId="743D94A1"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3.</w:t>
      </w:r>
      <w:r w:rsidRPr="005D4618">
        <w:rPr>
          <w:rFonts w:eastAsia="仿宋_GB2312"/>
          <w:color w:val="000000"/>
          <w:sz w:val="32"/>
          <w:szCs w:val="32"/>
        </w:rPr>
        <w:t>开展产品聚合反应程度测试相关的方法学验证，确定固化完全时间并明确对应的评价指标。</w:t>
      </w:r>
    </w:p>
    <w:p w14:paraId="797BE8E2"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4.</w:t>
      </w:r>
      <w:proofErr w:type="gramStart"/>
      <w:r w:rsidRPr="005D4618">
        <w:rPr>
          <w:rFonts w:eastAsia="仿宋_GB2312"/>
          <w:color w:val="000000"/>
          <w:sz w:val="32"/>
          <w:szCs w:val="32"/>
        </w:rPr>
        <w:t>终产品</w:t>
      </w:r>
      <w:proofErr w:type="gramEnd"/>
      <w:r w:rsidRPr="005D4618">
        <w:rPr>
          <w:rFonts w:eastAsia="仿宋_GB2312"/>
          <w:color w:val="000000"/>
          <w:sz w:val="32"/>
          <w:szCs w:val="32"/>
        </w:rPr>
        <w:t>评价指标</w:t>
      </w:r>
      <w:proofErr w:type="gramStart"/>
      <w:r w:rsidRPr="005D4618">
        <w:rPr>
          <w:rFonts w:eastAsia="仿宋_GB2312"/>
          <w:color w:val="000000"/>
          <w:sz w:val="32"/>
          <w:szCs w:val="32"/>
        </w:rPr>
        <w:t>宜包括</w:t>
      </w:r>
      <w:proofErr w:type="gramEnd"/>
      <w:r w:rsidRPr="005D4618">
        <w:rPr>
          <w:rFonts w:eastAsia="仿宋_GB2312"/>
          <w:color w:val="000000"/>
          <w:sz w:val="32"/>
          <w:szCs w:val="32"/>
        </w:rPr>
        <w:t>分子量、分子量分布、玻璃化转变温度、小分子残留等高分子物理、化学等指标。对聚合后样品取样，可设计类似方法，通过凝胶渗透色谱（</w:t>
      </w:r>
      <w:r w:rsidRPr="005D4618">
        <w:rPr>
          <w:rFonts w:eastAsia="仿宋_GB2312"/>
          <w:color w:val="000000"/>
          <w:sz w:val="32"/>
          <w:szCs w:val="32"/>
        </w:rPr>
        <w:t>GPC</w:t>
      </w:r>
      <w:r w:rsidRPr="005D4618">
        <w:rPr>
          <w:rFonts w:eastAsia="仿宋_GB2312"/>
          <w:color w:val="000000"/>
          <w:sz w:val="32"/>
          <w:szCs w:val="32"/>
        </w:rPr>
        <w:t>）等实验方法测</w:t>
      </w:r>
      <w:r w:rsidRPr="005D4618">
        <w:rPr>
          <w:rFonts w:eastAsia="仿宋_GB2312"/>
          <w:color w:val="000000"/>
          <w:sz w:val="32"/>
          <w:szCs w:val="32"/>
        </w:rPr>
        <w:lastRenderedPageBreak/>
        <w:t>试聚合物的分子量及分子量分布。</w:t>
      </w:r>
    </w:p>
    <w:p w14:paraId="21A224CF"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5.</w:t>
      </w:r>
      <w:r w:rsidRPr="005D4618">
        <w:rPr>
          <w:rFonts w:eastAsia="仿宋_GB2312"/>
          <w:color w:val="000000"/>
          <w:sz w:val="32"/>
          <w:szCs w:val="32"/>
        </w:rPr>
        <w:t>开展系统研究分析该产品在聚合反应过程中可能产生的所有物质，包括可能的</w:t>
      </w:r>
      <w:proofErr w:type="gramStart"/>
      <w:r w:rsidRPr="005D4618">
        <w:rPr>
          <w:rFonts w:eastAsia="仿宋_GB2312"/>
          <w:color w:val="000000"/>
          <w:sz w:val="32"/>
          <w:szCs w:val="32"/>
        </w:rPr>
        <w:t>寡</w:t>
      </w:r>
      <w:proofErr w:type="gramEnd"/>
      <w:r w:rsidRPr="005D4618">
        <w:rPr>
          <w:rFonts w:eastAsia="仿宋_GB2312"/>
          <w:color w:val="000000"/>
          <w:sz w:val="32"/>
          <w:szCs w:val="32"/>
        </w:rPr>
        <w:t>聚物、聚合物、副产物及产品中添加的其他助剂成分，需分别对固化前状态、固化过程中状态（未完全固化之前）及固化后状态的样品进行化学表征研究。例如：通过液相色谱、气相色谱、核磁、质谱等方法定量，可考虑采用实时红外光谱仪监测固化过程中的双键转化率，可采用傅里叶变换红外确认固化样品中的双键残留，可</w:t>
      </w:r>
      <w:proofErr w:type="gramStart"/>
      <w:r w:rsidRPr="005D4618">
        <w:rPr>
          <w:rFonts w:eastAsia="仿宋_GB2312"/>
          <w:color w:val="000000"/>
          <w:sz w:val="32"/>
          <w:szCs w:val="32"/>
        </w:rPr>
        <w:t>采用氘代氯仿</w:t>
      </w:r>
      <w:proofErr w:type="gramEnd"/>
      <w:r w:rsidRPr="005D4618">
        <w:rPr>
          <w:rFonts w:eastAsia="仿宋_GB2312"/>
          <w:color w:val="000000"/>
          <w:sz w:val="32"/>
          <w:szCs w:val="32"/>
        </w:rPr>
        <w:t>等为溶剂溶解聚合物，利用核磁共振氢谱（</w:t>
      </w:r>
      <w:r w:rsidRPr="005D4618">
        <w:rPr>
          <w:rFonts w:eastAsia="仿宋_GB2312"/>
          <w:color w:val="000000"/>
          <w:sz w:val="32"/>
          <w:szCs w:val="32"/>
        </w:rPr>
        <w:t>H-NMR</w:t>
      </w:r>
      <w:r w:rsidRPr="005D4618">
        <w:rPr>
          <w:rFonts w:eastAsia="仿宋_GB2312"/>
          <w:color w:val="000000"/>
          <w:sz w:val="32"/>
          <w:szCs w:val="32"/>
        </w:rPr>
        <w:t>）确认聚合物中是否有单体残留情况（检测</w:t>
      </w:r>
      <w:proofErr w:type="gramStart"/>
      <w:r w:rsidRPr="005D4618">
        <w:rPr>
          <w:rFonts w:eastAsia="仿宋_GB2312"/>
          <w:color w:val="000000"/>
          <w:sz w:val="32"/>
          <w:szCs w:val="32"/>
        </w:rPr>
        <w:t>烯</w:t>
      </w:r>
      <w:proofErr w:type="gramEnd"/>
      <w:r w:rsidRPr="005D4618">
        <w:rPr>
          <w:rFonts w:eastAsia="仿宋_GB2312"/>
          <w:color w:val="000000"/>
          <w:sz w:val="32"/>
          <w:szCs w:val="32"/>
        </w:rPr>
        <w:t>双键特征峰）。对不同状态样品的化学表征结果进行对比分析，结合研究资料分析对物质评估的充分性。若涉及浸提介质，考虑选择多种不同极性（如极性、非极性、混合介质）进行验证并提供选择依据。若无法选择多种介质，应充分说明理由。化学表征需提交固化制样方法及其依据，若认为固化前及固化后化学表征可以代表固化中化学表征，需提交相关证据。</w:t>
      </w:r>
    </w:p>
    <w:p w14:paraId="646AD2AB"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6.</w:t>
      </w:r>
      <w:r w:rsidRPr="005D4618">
        <w:rPr>
          <w:rFonts w:eastAsia="仿宋_GB2312"/>
          <w:color w:val="000000"/>
          <w:sz w:val="32"/>
          <w:szCs w:val="32"/>
        </w:rPr>
        <w:t>提供聚合反应放热研究。</w:t>
      </w:r>
    </w:p>
    <w:p w14:paraId="7120D02C" w14:textId="77777777" w:rsidR="005D4618" w:rsidRPr="005D4618" w:rsidRDefault="005D4618" w:rsidP="005D4618">
      <w:pPr>
        <w:snapToGrid w:val="0"/>
        <w:spacing w:line="520" w:lineRule="exact"/>
        <w:ind w:left="640"/>
        <w:rPr>
          <w:rFonts w:eastAsia="楷体"/>
          <w:color w:val="000000"/>
          <w:sz w:val="32"/>
          <w:szCs w:val="32"/>
        </w:rPr>
      </w:pPr>
      <w:r w:rsidRPr="005D4618">
        <w:rPr>
          <w:rFonts w:eastAsia="楷体"/>
          <w:color w:val="000000"/>
          <w:sz w:val="32"/>
          <w:szCs w:val="32"/>
        </w:rPr>
        <w:t>（四）物理化学性能</w:t>
      </w:r>
    </w:p>
    <w:p w14:paraId="12DF10F6"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产品的所有体外研究尽可能模拟体内实际情况，对研究方法进行分析验证并提供依据，对体内体外的研究结果进行对比分析。</w:t>
      </w:r>
    </w:p>
    <w:p w14:paraId="129A7347"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粘合剂物理性能包括但不限于以下指标：外观、装量（上下限）、动力粘度（上下限）、固化时间（上下限）、柔韧度、粘结强度（包括搭接</w:t>
      </w:r>
      <w:r w:rsidRPr="005D4618">
        <w:rPr>
          <w:rFonts w:eastAsia="仿宋_GB2312"/>
          <w:color w:val="000000"/>
          <w:sz w:val="32"/>
          <w:szCs w:val="32"/>
        </w:rPr>
        <w:t>-</w:t>
      </w:r>
      <w:r w:rsidRPr="005D4618">
        <w:rPr>
          <w:rFonts w:eastAsia="仿宋_GB2312"/>
          <w:color w:val="000000"/>
          <w:sz w:val="32"/>
          <w:szCs w:val="32"/>
        </w:rPr>
        <w:t>剪切拉伸承载强度、</w:t>
      </w:r>
      <w:r w:rsidRPr="005D4618">
        <w:rPr>
          <w:rFonts w:eastAsia="仿宋_GB2312"/>
          <w:color w:val="000000"/>
          <w:sz w:val="32"/>
          <w:szCs w:val="32"/>
        </w:rPr>
        <w:t>T-</w:t>
      </w:r>
      <w:r w:rsidRPr="005D4618">
        <w:rPr>
          <w:rFonts w:eastAsia="仿宋_GB2312"/>
          <w:color w:val="000000"/>
          <w:sz w:val="32"/>
          <w:szCs w:val="32"/>
        </w:rPr>
        <w:t>剥离拉伸承载强度、拉伸强度、闭合强度）。</w:t>
      </w:r>
    </w:p>
    <w:p w14:paraId="4A453053"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化学性能包括但不限于以下指标：含量（包括主成分含量和</w:t>
      </w:r>
      <w:r w:rsidRPr="005D4618">
        <w:rPr>
          <w:rFonts w:eastAsia="仿宋_GB2312"/>
          <w:color w:val="000000"/>
          <w:sz w:val="32"/>
          <w:szCs w:val="32"/>
        </w:rPr>
        <w:lastRenderedPageBreak/>
        <w:t>各种添加剂如稳定剂、阻聚剂等含量）、酸碱度、重金属含量、聚合热、含水量、不期望物质的残留量、固化后产物、固化后单体残留、溶剂残留。</w:t>
      </w:r>
    </w:p>
    <w:p w14:paraId="5B5BCF92"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需结合临床血液环境开展模拟测试明确产品的固化时间和聚合热峰值并确定可接受范围。</w:t>
      </w:r>
    </w:p>
    <w:p w14:paraId="6C36F1B2"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为评价在血管中的粘结牢固度，在性能研究中需</w:t>
      </w:r>
      <w:r w:rsidRPr="005D4618">
        <w:rPr>
          <w:rFonts w:eastAsia="仿宋_GB2312"/>
          <w:sz w:val="32"/>
          <w:szCs w:val="32"/>
        </w:rPr>
        <w:t>构建体外模拟测试体系（如离体血管模型、离体血管压力实验装置），</w:t>
      </w:r>
      <w:r w:rsidRPr="005D4618">
        <w:rPr>
          <w:rFonts w:eastAsia="仿宋_GB2312"/>
          <w:color w:val="000000"/>
          <w:sz w:val="32"/>
          <w:szCs w:val="32"/>
        </w:rPr>
        <w:t>评价在高于静脉压力情况下产品粘结强度情况</w:t>
      </w:r>
      <w:r w:rsidRPr="005D4618">
        <w:rPr>
          <w:rFonts w:eastAsia="仿宋_GB2312"/>
          <w:sz w:val="32"/>
          <w:szCs w:val="32"/>
        </w:rPr>
        <w:t>、剥离力及抗血流冲击性能</w:t>
      </w:r>
      <w:r w:rsidRPr="005D4618">
        <w:rPr>
          <w:rFonts w:eastAsia="仿宋_GB2312"/>
          <w:color w:val="000000"/>
          <w:sz w:val="32"/>
          <w:szCs w:val="32"/>
        </w:rPr>
        <w:t>。对于离体血管及压力的选择需说明确定的依据。</w:t>
      </w:r>
    </w:p>
    <w:p w14:paraId="12E33BD1" w14:textId="77777777" w:rsidR="005D4618" w:rsidRPr="005D4618" w:rsidRDefault="005D4618" w:rsidP="005D4618">
      <w:pPr>
        <w:snapToGrid w:val="0"/>
        <w:spacing w:line="520" w:lineRule="exact"/>
        <w:ind w:firstLineChars="200" w:firstLine="640"/>
        <w:rPr>
          <w:rFonts w:eastAsia="楷体"/>
          <w:color w:val="000000"/>
          <w:sz w:val="32"/>
          <w:szCs w:val="32"/>
        </w:rPr>
      </w:pPr>
      <w:r w:rsidRPr="005D4618">
        <w:rPr>
          <w:rFonts w:eastAsia="楷体"/>
          <w:color w:val="000000"/>
          <w:sz w:val="32"/>
          <w:szCs w:val="32"/>
        </w:rPr>
        <w:t>（五）生物学评价</w:t>
      </w:r>
    </w:p>
    <w:p w14:paraId="327A8809"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按照风险管理对申报产品的生物学风险进行评价，涉及产品所用材料及固化前后与人体接触过程、原材料质量控制、固化过程各类产物生成、聚合热、固化</w:t>
      </w:r>
      <w:proofErr w:type="gramStart"/>
      <w:r w:rsidRPr="005D4618">
        <w:rPr>
          <w:rFonts w:eastAsia="仿宋_GB2312"/>
          <w:color w:val="000000"/>
          <w:sz w:val="32"/>
          <w:szCs w:val="32"/>
        </w:rPr>
        <w:t>后材料</w:t>
      </w:r>
      <w:proofErr w:type="gramEnd"/>
      <w:r w:rsidRPr="005D4618">
        <w:rPr>
          <w:rFonts w:eastAsia="仿宋_GB2312"/>
          <w:color w:val="000000"/>
          <w:sz w:val="32"/>
          <w:szCs w:val="32"/>
        </w:rPr>
        <w:t>降解代谢、化学表征及毒理学分析、生物学试验结果、体内暴露量、临床安全性事件等，形成申报产品的生物学评价综合分析报告。</w:t>
      </w:r>
    </w:p>
    <w:p w14:paraId="21C18335"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该产品为持久接触循环血液的植入器械，生物学评价终点包括细胞毒性、皮内反应、皮肤致敏、急性全身毒性、亚急性全身毒性、亚慢性全身毒性、慢性全身毒性、遗传毒性试验、溶血、凝血、热原、植入后局部反应、致癌性等。需要结合粘合剂材料（包括加工助剂等）的临床应用史、可沥滤物化学表征、毒理学评估内容，综合评价申报产品慢性毒性、致癌性风险。</w:t>
      </w:r>
    </w:p>
    <w:p w14:paraId="17D35C1A"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生物学评价过程中应重点关注该类产品整个接触周期的生物学风险，包括固化前各成分、固化中不期望物质、固化后成分和降解产物。</w:t>
      </w:r>
    </w:p>
    <w:p w14:paraId="22810EBD"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lastRenderedPageBreak/>
        <w:t>对于产品固化中不期望物质的表征可以结合样品制备、可浸提物及可沥滤物试验条件，结合产品聚合反应过程和固化时间研究及各组成成分的安全性评价内容进行综合分析。</w:t>
      </w:r>
      <w:r w:rsidRPr="005D4618">
        <w:rPr>
          <w:rFonts w:eastAsia="仿宋_GB2312"/>
          <w:color w:val="000000"/>
          <w:sz w:val="32"/>
          <w:szCs w:val="32"/>
        </w:rPr>
        <w:t xml:space="preserve"> </w:t>
      </w:r>
    </w:p>
    <w:p w14:paraId="4C1F3277"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1.</w:t>
      </w:r>
      <w:r w:rsidRPr="005D4618">
        <w:rPr>
          <w:rFonts w:eastAsia="仿宋_GB2312"/>
          <w:color w:val="000000"/>
          <w:sz w:val="32"/>
          <w:szCs w:val="32"/>
        </w:rPr>
        <w:t>化学表征及毒理学分析需要满足以下要求：</w:t>
      </w:r>
    </w:p>
    <w:p w14:paraId="63DFD5D9" w14:textId="77777777" w:rsidR="005D4618" w:rsidRPr="005D4618" w:rsidRDefault="005D4618" w:rsidP="005D4618">
      <w:pPr>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1</w:t>
      </w:r>
      <w:r w:rsidRPr="005D4618">
        <w:rPr>
          <w:rFonts w:eastAsia="仿宋_GB2312"/>
          <w:color w:val="000000"/>
          <w:sz w:val="32"/>
          <w:szCs w:val="32"/>
        </w:rPr>
        <w:t>）需提供临床最大允许暴露量。</w:t>
      </w:r>
    </w:p>
    <w:p w14:paraId="1D1BBEC6"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2</w:t>
      </w:r>
      <w:r w:rsidRPr="005D4618">
        <w:rPr>
          <w:rFonts w:eastAsia="仿宋_GB2312"/>
          <w:color w:val="000000"/>
          <w:sz w:val="32"/>
          <w:szCs w:val="32"/>
        </w:rPr>
        <w:t>）化学表征研究需覆盖产品在不同阶段如固化前、固化过程中及固化后的风险。</w:t>
      </w:r>
    </w:p>
    <w:p w14:paraId="4C727CB5"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3</w:t>
      </w:r>
      <w:r w:rsidRPr="005D4618">
        <w:rPr>
          <w:rFonts w:eastAsia="仿宋_GB2312"/>
          <w:color w:val="000000"/>
          <w:sz w:val="32"/>
          <w:szCs w:val="32"/>
        </w:rPr>
        <w:t>）按照</w:t>
      </w:r>
      <w:r w:rsidRPr="005D4618">
        <w:rPr>
          <w:rFonts w:eastAsia="仿宋_GB2312"/>
          <w:color w:val="000000"/>
          <w:sz w:val="32"/>
          <w:szCs w:val="32"/>
        </w:rPr>
        <w:t xml:space="preserve">GB/T 16886.17 </w:t>
      </w:r>
      <w:r w:rsidRPr="005D4618">
        <w:rPr>
          <w:rFonts w:eastAsia="仿宋_GB2312"/>
          <w:color w:val="000000"/>
          <w:sz w:val="32"/>
          <w:szCs w:val="32"/>
        </w:rPr>
        <w:t>和</w:t>
      </w:r>
      <w:r w:rsidRPr="005D4618">
        <w:rPr>
          <w:rFonts w:eastAsia="仿宋_GB2312"/>
          <w:color w:val="000000"/>
          <w:sz w:val="32"/>
          <w:szCs w:val="32"/>
        </w:rPr>
        <w:t>GB/T 16886.18</w:t>
      </w:r>
      <w:r w:rsidRPr="005D4618">
        <w:rPr>
          <w:rFonts w:eastAsia="仿宋_GB2312"/>
          <w:color w:val="000000"/>
          <w:sz w:val="32"/>
          <w:szCs w:val="32"/>
        </w:rPr>
        <w:t>，对识别物质的生物学风险开展毒理学分析。</w:t>
      </w:r>
    </w:p>
    <w:p w14:paraId="5F27103B"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4</w:t>
      </w:r>
      <w:r w:rsidRPr="005D4618">
        <w:rPr>
          <w:rFonts w:eastAsia="仿宋_GB2312"/>
          <w:color w:val="000000"/>
          <w:sz w:val="32"/>
          <w:szCs w:val="32"/>
        </w:rPr>
        <w:t>）按照</w:t>
      </w:r>
      <w:r w:rsidRPr="005D4618">
        <w:rPr>
          <w:rFonts w:eastAsia="仿宋_GB2312"/>
          <w:color w:val="000000"/>
          <w:sz w:val="32"/>
          <w:szCs w:val="32"/>
        </w:rPr>
        <w:t>GB/T16886.17</w:t>
      </w:r>
      <w:r w:rsidRPr="005D4618">
        <w:rPr>
          <w:rFonts w:eastAsia="仿宋_GB2312"/>
          <w:color w:val="000000"/>
          <w:sz w:val="32"/>
          <w:szCs w:val="32"/>
        </w:rPr>
        <w:t>要求建议</w:t>
      </w:r>
      <w:r w:rsidRPr="005D4618">
        <w:rPr>
          <w:rFonts w:eastAsia="仿宋_GB2312"/>
          <w:color w:val="000000"/>
          <w:sz w:val="32"/>
          <w:szCs w:val="32"/>
        </w:rPr>
        <w:t>MOS</w:t>
      </w:r>
      <w:r w:rsidRPr="005D4618">
        <w:rPr>
          <w:rFonts w:eastAsia="仿宋_GB2312"/>
          <w:color w:val="000000"/>
          <w:sz w:val="32"/>
          <w:szCs w:val="32"/>
        </w:rPr>
        <w:t>计算时对同一类化合物合并考虑。</w:t>
      </w:r>
    </w:p>
    <w:p w14:paraId="4CC9F3EC" w14:textId="77777777" w:rsid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5</w:t>
      </w:r>
      <w:r w:rsidRPr="005D4618">
        <w:rPr>
          <w:rFonts w:eastAsia="仿宋_GB2312"/>
          <w:color w:val="000000"/>
          <w:sz w:val="32"/>
          <w:szCs w:val="32"/>
        </w:rPr>
        <w:t>）对产品中甲醛释放量的风险进行评估。</w:t>
      </w:r>
    </w:p>
    <w:p w14:paraId="2A0FE5B2" w14:textId="2BBC5D26" w:rsidR="005D4618" w:rsidRPr="005D4618" w:rsidRDefault="005D4618" w:rsidP="005D4618">
      <w:pPr>
        <w:snapToGrid w:val="0"/>
        <w:spacing w:line="520" w:lineRule="exact"/>
        <w:ind w:firstLineChars="200" w:firstLine="640"/>
        <w:rPr>
          <w:rFonts w:eastAsia="仿宋_GB2312"/>
          <w:color w:val="000000"/>
          <w:sz w:val="32"/>
          <w:szCs w:val="32"/>
        </w:rPr>
      </w:pPr>
      <w:r>
        <w:rPr>
          <w:rFonts w:eastAsia="仿宋_GB2312"/>
          <w:color w:val="000000"/>
          <w:sz w:val="32"/>
          <w:szCs w:val="32"/>
        </w:rPr>
        <w:t>2.</w:t>
      </w:r>
      <w:r w:rsidRPr="005D4618">
        <w:rPr>
          <w:rFonts w:eastAsia="仿宋_GB2312"/>
          <w:color w:val="000000"/>
          <w:sz w:val="32"/>
          <w:szCs w:val="32"/>
        </w:rPr>
        <w:t>生物相容性试验需满足以下要求：</w:t>
      </w:r>
    </w:p>
    <w:p w14:paraId="3EEB9470"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1</w:t>
      </w:r>
      <w:r w:rsidRPr="005D4618">
        <w:rPr>
          <w:rFonts w:eastAsia="仿宋_GB2312"/>
          <w:color w:val="000000"/>
          <w:sz w:val="32"/>
          <w:szCs w:val="32"/>
        </w:rPr>
        <w:t>）需覆盖产品在不同阶段如固化前、固化过程中及固化后的风险。</w:t>
      </w:r>
    </w:p>
    <w:p w14:paraId="6EAA5E0F"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2</w:t>
      </w:r>
      <w:r w:rsidRPr="005D4618">
        <w:rPr>
          <w:rFonts w:eastAsia="仿宋_GB2312"/>
          <w:color w:val="000000"/>
          <w:sz w:val="32"/>
          <w:szCs w:val="32"/>
        </w:rPr>
        <w:t>）对于固化前状态，优先选择原液开展生物学试验，对于无法使用原液的项目论证分析并提供支持资料。</w:t>
      </w:r>
    </w:p>
    <w:p w14:paraId="18E74955"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对于固化过程中的状态，基于各组分混合后的聚合动力学研究，结合化学表征的研究结果，选择适宜的固化时间制备试验浸提液，或者选择固化前状态的样品浸</w:t>
      </w:r>
      <w:proofErr w:type="gramStart"/>
      <w:r w:rsidRPr="005D4618">
        <w:rPr>
          <w:rFonts w:eastAsia="仿宋_GB2312"/>
          <w:color w:val="000000"/>
          <w:sz w:val="32"/>
          <w:szCs w:val="32"/>
        </w:rPr>
        <w:t>提时间</w:t>
      </w:r>
      <w:proofErr w:type="gramEnd"/>
      <w:r w:rsidRPr="005D4618">
        <w:rPr>
          <w:rFonts w:eastAsia="仿宋_GB2312"/>
          <w:color w:val="000000"/>
          <w:sz w:val="32"/>
          <w:szCs w:val="32"/>
        </w:rPr>
        <w:t>适当延长，覆盖固化过程中样品的浸提状态，开展生物学试验。</w:t>
      </w:r>
    </w:p>
    <w:p w14:paraId="7BF4FA4C"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3</w:t>
      </w:r>
      <w:r w:rsidRPr="005D4618">
        <w:rPr>
          <w:rFonts w:eastAsia="仿宋_GB2312"/>
          <w:color w:val="000000"/>
          <w:sz w:val="32"/>
          <w:szCs w:val="32"/>
        </w:rPr>
        <w:t>）对于固化后状态，进行生物学试验之前应对样品制备方法进行研究。提供样品是否完全固化的测试数据，如聚合度和残留单体等指标的证据，研究资料中明确固化介质和固化时间。</w:t>
      </w:r>
      <w:r w:rsidRPr="005D4618">
        <w:rPr>
          <w:rFonts w:eastAsia="仿宋_GB2312"/>
          <w:color w:val="000000"/>
          <w:sz w:val="32"/>
          <w:szCs w:val="32"/>
        </w:rPr>
        <w:lastRenderedPageBreak/>
        <w:t>体外固化方法应尽可能模拟临床体内实际情况，对研究方法进行分析验证并提供依据，并与体内的研究结果进行对比分析。需要明确生物学试验方法（如液面上</w:t>
      </w:r>
      <w:r w:rsidRPr="005D4618">
        <w:rPr>
          <w:rFonts w:eastAsia="仿宋_GB2312"/>
          <w:color w:val="000000"/>
          <w:sz w:val="32"/>
          <w:szCs w:val="32"/>
        </w:rPr>
        <w:t>/</w:t>
      </w:r>
      <w:r w:rsidRPr="005D4618">
        <w:rPr>
          <w:rFonts w:eastAsia="仿宋_GB2312"/>
          <w:color w:val="000000"/>
          <w:sz w:val="32"/>
          <w:szCs w:val="32"/>
        </w:rPr>
        <w:t>下固化等）及确定依据，选择合适的固化方法制</w:t>
      </w:r>
      <w:proofErr w:type="gramStart"/>
      <w:r w:rsidRPr="005D4618">
        <w:rPr>
          <w:rFonts w:eastAsia="仿宋_GB2312"/>
          <w:color w:val="000000"/>
          <w:sz w:val="32"/>
          <w:szCs w:val="32"/>
        </w:rPr>
        <w:t>样开展</w:t>
      </w:r>
      <w:proofErr w:type="gramEnd"/>
      <w:r w:rsidRPr="005D4618">
        <w:rPr>
          <w:rFonts w:eastAsia="仿宋_GB2312"/>
          <w:color w:val="000000"/>
          <w:sz w:val="32"/>
          <w:szCs w:val="32"/>
        </w:rPr>
        <w:t>生物学试验。建议采用可模拟血液环境的介质。</w:t>
      </w:r>
    </w:p>
    <w:p w14:paraId="00332D33"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4</w:t>
      </w:r>
      <w:r w:rsidRPr="005D4618">
        <w:rPr>
          <w:rFonts w:eastAsia="仿宋_GB2312"/>
          <w:color w:val="000000"/>
          <w:sz w:val="32"/>
          <w:szCs w:val="32"/>
        </w:rPr>
        <w:t>）若细胞毒性试验出现阳性结果，需分析细胞毒性阳性的可能原因，提供相关验证资料，不仅限于甲醛。对于引起细胞毒性的物质进行定量分析，需要分析相关成分及含量与毒理学的相关性，评估与体内暴露量的关系。根据体内暴露剂量评价细胞毒性稀释倍数是否合理。应对于生物学评价结果是否提示生物学风险进行分析。</w:t>
      </w:r>
    </w:p>
    <w:p w14:paraId="4659AD1B"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5</w:t>
      </w:r>
      <w:r w:rsidRPr="005D4618">
        <w:rPr>
          <w:rFonts w:eastAsia="仿宋_GB2312"/>
          <w:color w:val="000000"/>
          <w:sz w:val="32"/>
          <w:szCs w:val="32"/>
        </w:rPr>
        <w:t>）若存在细胞毒性，可能对体外遗传毒性结果产生影响，参照细胞毒性试验分析遗传毒试验中成分及含量与毒理学的相关性，提供体内遗传毒性研究并提供相关研究资料。</w:t>
      </w:r>
    </w:p>
    <w:p w14:paraId="7952CBC2"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6</w:t>
      </w:r>
      <w:r w:rsidRPr="005D4618">
        <w:rPr>
          <w:rFonts w:eastAsia="仿宋_GB2312"/>
          <w:color w:val="000000"/>
          <w:sz w:val="32"/>
          <w:szCs w:val="32"/>
        </w:rPr>
        <w:t>）以下表格中各生物学终点的评价要求和方式仅供参考，申报人可根据产品特点选择合适的评价方法。表格中对于固化前、固化中及固化后的选择主要提示需涵盖固化各阶段的风险。</w:t>
      </w:r>
    </w:p>
    <w:tbl>
      <w:tblPr>
        <w:tblStyle w:val="16"/>
        <w:tblW w:w="0" w:type="auto"/>
        <w:jc w:val="center"/>
        <w:tblLook w:val="04A0" w:firstRow="1" w:lastRow="0" w:firstColumn="1" w:lastColumn="0" w:noHBand="0" w:noVBand="1"/>
      </w:tblPr>
      <w:tblGrid>
        <w:gridCol w:w="704"/>
        <w:gridCol w:w="2081"/>
        <w:gridCol w:w="1397"/>
        <w:gridCol w:w="1395"/>
        <w:gridCol w:w="1398"/>
      </w:tblGrid>
      <w:tr w:rsidR="005D4618" w:rsidRPr="005D4618" w14:paraId="0DDB3719" w14:textId="77777777" w:rsidTr="00E03C35">
        <w:trPr>
          <w:jc w:val="center"/>
        </w:trPr>
        <w:tc>
          <w:tcPr>
            <w:tcW w:w="704" w:type="dxa"/>
          </w:tcPr>
          <w:p w14:paraId="785FCFBA"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序号</w:t>
            </w:r>
          </w:p>
        </w:tc>
        <w:tc>
          <w:tcPr>
            <w:tcW w:w="2081" w:type="dxa"/>
          </w:tcPr>
          <w:p w14:paraId="0EB11553"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生物学终点</w:t>
            </w:r>
          </w:p>
        </w:tc>
        <w:tc>
          <w:tcPr>
            <w:tcW w:w="1397" w:type="dxa"/>
          </w:tcPr>
          <w:p w14:paraId="3A8BC348"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固化前</w:t>
            </w:r>
          </w:p>
        </w:tc>
        <w:tc>
          <w:tcPr>
            <w:tcW w:w="1395" w:type="dxa"/>
          </w:tcPr>
          <w:p w14:paraId="1ECF687E" w14:textId="77777777" w:rsidR="005D4618" w:rsidRPr="005D4618" w:rsidRDefault="005D4618" w:rsidP="005D4618">
            <w:pPr>
              <w:snapToGrid w:val="0"/>
              <w:spacing w:line="520" w:lineRule="exact"/>
              <w:jc w:val="center"/>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固化中</w:t>
            </w:r>
          </w:p>
        </w:tc>
        <w:tc>
          <w:tcPr>
            <w:tcW w:w="1398" w:type="dxa"/>
          </w:tcPr>
          <w:p w14:paraId="15E85A41"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固化后</w:t>
            </w:r>
          </w:p>
        </w:tc>
      </w:tr>
      <w:tr w:rsidR="005D4618" w:rsidRPr="005D4618" w14:paraId="00538EBC" w14:textId="77777777" w:rsidTr="00E03C35">
        <w:trPr>
          <w:jc w:val="center"/>
        </w:trPr>
        <w:tc>
          <w:tcPr>
            <w:tcW w:w="704" w:type="dxa"/>
          </w:tcPr>
          <w:p w14:paraId="2DDD7880"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246485BE"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细胞毒性</w:t>
            </w:r>
          </w:p>
        </w:tc>
        <w:tc>
          <w:tcPr>
            <w:tcW w:w="1397" w:type="dxa"/>
          </w:tcPr>
          <w:p w14:paraId="3F6B893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1B7AD50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524A1D51"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3E11C729" w14:textId="77777777" w:rsidTr="00E03C35">
        <w:trPr>
          <w:jc w:val="center"/>
        </w:trPr>
        <w:tc>
          <w:tcPr>
            <w:tcW w:w="704" w:type="dxa"/>
          </w:tcPr>
          <w:p w14:paraId="209781C3"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6F59E9E9"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皮肤致敏</w:t>
            </w:r>
          </w:p>
        </w:tc>
        <w:tc>
          <w:tcPr>
            <w:tcW w:w="1397" w:type="dxa"/>
          </w:tcPr>
          <w:p w14:paraId="676F703A"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39314028"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31770544"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4B201EAE" w14:textId="77777777" w:rsidTr="00E03C35">
        <w:trPr>
          <w:jc w:val="center"/>
        </w:trPr>
        <w:tc>
          <w:tcPr>
            <w:tcW w:w="704" w:type="dxa"/>
          </w:tcPr>
          <w:p w14:paraId="4B125858"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19D409C1"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皮内反应</w:t>
            </w:r>
          </w:p>
        </w:tc>
        <w:tc>
          <w:tcPr>
            <w:tcW w:w="1397" w:type="dxa"/>
          </w:tcPr>
          <w:p w14:paraId="7686E629"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3038A3D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07F13237"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448A0D50" w14:textId="77777777" w:rsidTr="00E03C35">
        <w:trPr>
          <w:jc w:val="center"/>
        </w:trPr>
        <w:tc>
          <w:tcPr>
            <w:tcW w:w="704" w:type="dxa"/>
          </w:tcPr>
          <w:p w14:paraId="2A45C39E"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516E4609"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急性全身毒性</w:t>
            </w:r>
          </w:p>
        </w:tc>
        <w:tc>
          <w:tcPr>
            <w:tcW w:w="1397" w:type="dxa"/>
          </w:tcPr>
          <w:p w14:paraId="0E81A59C"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1EBAF916"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05F2894D"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26632C48" w14:textId="77777777" w:rsidTr="00E03C35">
        <w:trPr>
          <w:jc w:val="center"/>
        </w:trPr>
        <w:tc>
          <w:tcPr>
            <w:tcW w:w="704" w:type="dxa"/>
          </w:tcPr>
          <w:p w14:paraId="7F2D94B2"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12AE5A51"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亚急性全身毒</w:t>
            </w:r>
            <w:r w:rsidRPr="005D4618">
              <w:rPr>
                <w:rFonts w:ascii="Times New Roman" w:eastAsia="仿宋_GB2312" w:hAnsi="Times New Roman"/>
                <w:color w:val="000000"/>
                <w:sz w:val="28"/>
                <w:szCs w:val="28"/>
              </w:rPr>
              <w:lastRenderedPageBreak/>
              <w:t>性</w:t>
            </w:r>
          </w:p>
        </w:tc>
        <w:tc>
          <w:tcPr>
            <w:tcW w:w="1397" w:type="dxa"/>
          </w:tcPr>
          <w:p w14:paraId="45CB8D66"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lastRenderedPageBreak/>
              <w:t>√</w:t>
            </w:r>
          </w:p>
        </w:tc>
        <w:tc>
          <w:tcPr>
            <w:tcW w:w="1395" w:type="dxa"/>
          </w:tcPr>
          <w:p w14:paraId="2CFC4FD5"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668F66AF"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6D0E38BD" w14:textId="77777777" w:rsidTr="00E03C35">
        <w:trPr>
          <w:jc w:val="center"/>
        </w:trPr>
        <w:tc>
          <w:tcPr>
            <w:tcW w:w="704" w:type="dxa"/>
          </w:tcPr>
          <w:p w14:paraId="45A67E6D"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1F4D054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亚慢性全身毒性</w:t>
            </w:r>
          </w:p>
        </w:tc>
        <w:tc>
          <w:tcPr>
            <w:tcW w:w="4190" w:type="dxa"/>
            <w:gridSpan w:val="3"/>
          </w:tcPr>
          <w:p w14:paraId="68CF2012"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0D61AACA" w14:textId="77777777" w:rsidTr="00E03C35">
        <w:trPr>
          <w:jc w:val="center"/>
        </w:trPr>
        <w:tc>
          <w:tcPr>
            <w:tcW w:w="704" w:type="dxa"/>
          </w:tcPr>
          <w:p w14:paraId="55A3A192"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017A4213"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遗传毒性试验</w:t>
            </w:r>
          </w:p>
        </w:tc>
        <w:tc>
          <w:tcPr>
            <w:tcW w:w="1397" w:type="dxa"/>
          </w:tcPr>
          <w:p w14:paraId="4A4572D2"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6552CAAA"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3435C209"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35A519FC" w14:textId="77777777" w:rsidTr="00E03C35">
        <w:trPr>
          <w:jc w:val="center"/>
        </w:trPr>
        <w:tc>
          <w:tcPr>
            <w:tcW w:w="704" w:type="dxa"/>
          </w:tcPr>
          <w:p w14:paraId="76E1C0DA"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4DB0513F"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溶血</w:t>
            </w:r>
          </w:p>
        </w:tc>
        <w:tc>
          <w:tcPr>
            <w:tcW w:w="1397" w:type="dxa"/>
          </w:tcPr>
          <w:p w14:paraId="0029C704"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5DC491DC"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591C819C"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04C88924" w14:textId="77777777" w:rsidTr="00E03C35">
        <w:trPr>
          <w:jc w:val="center"/>
        </w:trPr>
        <w:tc>
          <w:tcPr>
            <w:tcW w:w="704" w:type="dxa"/>
          </w:tcPr>
          <w:p w14:paraId="19E2A9FF"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27A0601F"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凝血</w:t>
            </w:r>
          </w:p>
        </w:tc>
        <w:tc>
          <w:tcPr>
            <w:tcW w:w="1397" w:type="dxa"/>
          </w:tcPr>
          <w:p w14:paraId="4E945FD9"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2D2DF8D3"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57AF8D32"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3F3C3120" w14:textId="77777777" w:rsidTr="00E03C35">
        <w:trPr>
          <w:jc w:val="center"/>
        </w:trPr>
        <w:tc>
          <w:tcPr>
            <w:tcW w:w="704" w:type="dxa"/>
          </w:tcPr>
          <w:p w14:paraId="1C41D29E"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2439B524"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热原</w:t>
            </w:r>
          </w:p>
        </w:tc>
        <w:tc>
          <w:tcPr>
            <w:tcW w:w="1397" w:type="dxa"/>
          </w:tcPr>
          <w:p w14:paraId="54E6F354"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5" w:type="dxa"/>
          </w:tcPr>
          <w:p w14:paraId="3B11C1C5"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c>
          <w:tcPr>
            <w:tcW w:w="1398" w:type="dxa"/>
          </w:tcPr>
          <w:p w14:paraId="33437DC1"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70134C9A" w14:textId="77777777" w:rsidTr="00E03C35">
        <w:trPr>
          <w:jc w:val="center"/>
        </w:trPr>
        <w:tc>
          <w:tcPr>
            <w:tcW w:w="704" w:type="dxa"/>
          </w:tcPr>
          <w:p w14:paraId="03357491"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34C58D48"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植入后局部反应</w:t>
            </w:r>
          </w:p>
        </w:tc>
        <w:tc>
          <w:tcPr>
            <w:tcW w:w="4190" w:type="dxa"/>
            <w:gridSpan w:val="3"/>
          </w:tcPr>
          <w:p w14:paraId="19C9DC4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w:t>
            </w:r>
          </w:p>
        </w:tc>
      </w:tr>
      <w:tr w:rsidR="005D4618" w:rsidRPr="005D4618" w14:paraId="6B4B4E13" w14:textId="77777777" w:rsidTr="00E03C35">
        <w:trPr>
          <w:jc w:val="center"/>
        </w:trPr>
        <w:tc>
          <w:tcPr>
            <w:tcW w:w="704" w:type="dxa"/>
          </w:tcPr>
          <w:p w14:paraId="2F6EA97B"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43689F23"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慢性全身毒性</w:t>
            </w:r>
          </w:p>
        </w:tc>
        <w:tc>
          <w:tcPr>
            <w:tcW w:w="4190" w:type="dxa"/>
            <w:gridSpan w:val="3"/>
          </w:tcPr>
          <w:p w14:paraId="1FADD82F" w14:textId="77777777" w:rsidR="005D4618" w:rsidRPr="005D4618" w:rsidRDefault="005D4618" w:rsidP="005D4618">
            <w:pPr>
              <w:snapToGrid w:val="0"/>
              <w:spacing w:line="520" w:lineRule="exact"/>
              <w:rPr>
                <w:rFonts w:ascii="Times New Roman" w:eastAsia="仿宋_GB2312" w:hAnsi="Times New Roman"/>
                <w:dstrike/>
                <w:color w:val="000000"/>
                <w:sz w:val="28"/>
                <w:szCs w:val="28"/>
              </w:rPr>
            </w:pPr>
            <w:r w:rsidRPr="005D4618">
              <w:rPr>
                <w:rFonts w:ascii="Times New Roman" w:eastAsia="仿宋_GB2312" w:hAnsi="Times New Roman"/>
                <w:color w:val="000000"/>
                <w:sz w:val="28"/>
                <w:szCs w:val="28"/>
              </w:rPr>
              <w:t>综合评价确认是否需要试验</w:t>
            </w:r>
          </w:p>
        </w:tc>
      </w:tr>
      <w:tr w:rsidR="005D4618" w:rsidRPr="005D4618" w14:paraId="6D16BCAC" w14:textId="77777777" w:rsidTr="00E03C35">
        <w:trPr>
          <w:jc w:val="center"/>
        </w:trPr>
        <w:tc>
          <w:tcPr>
            <w:tcW w:w="704" w:type="dxa"/>
          </w:tcPr>
          <w:p w14:paraId="42FF2849" w14:textId="77777777" w:rsidR="005D4618" w:rsidRPr="005D4618" w:rsidRDefault="005D4618" w:rsidP="005D4618">
            <w:pPr>
              <w:numPr>
                <w:ilvl w:val="0"/>
                <w:numId w:val="47"/>
              </w:numPr>
              <w:snapToGrid w:val="0"/>
              <w:spacing w:line="520" w:lineRule="exact"/>
              <w:rPr>
                <w:rFonts w:ascii="Times New Roman" w:eastAsia="仿宋_GB2312" w:hAnsi="Times New Roman"/>
                <w:color w:val="000000"/>
                <w:sz w:val="28"/>
                <w:szCs w:val="28"/>
              </w:rPr>
            </w:pPr>
          </w:p>
        </w:tc>
        <w:tc>
          <w:tcPr>
            <w:tcW w:w="2081" w:type="dxa"/>
          </w:tcPr>
          <w:p w14:paraId="51B95C40"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致癌性</w:t>
            </w:r>
          </w:p>
        </w:tc>
        <w:tc>
          <w:tcPr>
            <w:tcW w:w="4190" w:type="dxa"/>
            <w:gridSpan w:val="3"/>
          </w:tcPr>
          <w:p w14:paraId="4F14D406" w14:textId="77777777" w:rsidR="005D4618" w:rsidRPr="005D4618" w:rsidRDefault="005D4618" w:rsidP="005D4618">
            <w:pPr>
              <w:snapToGrid w:val="0"/>
              <w:spacing w:line="520" w:lineRule="exact"/>
              <w:rPr>
                <w:rFonts w:ascii="Times New Roman" w:eastAsia="仿宋_GB2312" w:hAnsi="Times New Roman"/>
                <w:color w:val="000000"/>
                <w:sz w:val="28"/>
                <w:szCs w:val="28"/>
              </w:rPr>
            </w:pPr>
            <w:r w:rsidRPr="005D4618">
              <w:rPr>
                <w:rFonts w:ascii="Times New Roman" w:eastAsia="仿宋_GB2312" w:hAnsi="Times New Roman"/>
                <w:color w:val="000000"/>
                <w:sz w:val="28"/>
                <w:szCs w:val="28"/>
              </w:rPr>
              <w:t>综合评价确认是否需要试验</w:t>
            </w:r>
          </w:p>
        </w:tc>
      </w:tr>
    </w:tbl>
    <w:p w14:paraId="1C51122A" w14:textId="77777777" w:rsidR="005D4618" w:rsidRPr="005D4618" w:rsidRDefault="005D4618" w:rsidP="005D4618">
      <w:pPr>
        <w:adjustRightInd w:val="0"/>
        <w:snapToGrid w:val="0"/>
        <w:spacing w:line="520" w:lineRule="exact"/>
        <w:ind w:left="640"/>
        <w:rPr>
          <w:rFonts w:eastAsia="仿宋_GB2312"/>
          <w:color w:val="000000"/>
          <w:sz w:val="32"/>
          <w:szCs w:val="32"/>
        </w:rPr>
      </w:pPr>
    </w:p>
    <w:p w14:paraId="6D329C83" w14:textId="77777777" w:rsidR="005D4618" w:rsidRPr="005D4618" w:rsidRDefault="005D4618" w:rsidP="005D4618">
      <w:pPr>
        <w:adjustRightInd w:val="0"/>
        <w:snapToGrid w:val="0"/>
        <w:spacing w:line="520" w:lineRule="exact"/>
        <w:ind w:left="640"/>
        <w:rPr>
          <w:rFonts w:eastAsia="仿宋_GB2312"/>
          <w:color w:val="000000"/>
          <w:sz w:val="32"/>
          <w:szCs w:val="32"/>
        </w:rPr>
      </w:pPr>
      <w:r w:rsidRPr="005D4618">
        <w:rPr>
          <w:rFonts w:eastAsia="仿宋_GB2312"/>
          <w:color w:val="000000"/>
          <w:sz w:val="32"/>
          <w:szCs w:val="32"/>
        </w:rPr>
        <w:t>（</w:t>
      </w:r>
      <w:r w:rsidRPr="005D4618">
        <w:rPr>
          <w:rFonts w:eastAsia="仿宋_GB2312"/>
          <w:color w:val="000000"/>
          <w:sz w:val="32"/>
          <w:szCs w:val="32"/>
        </w:rPr>
        <w:t>7</w:t>
      </w:r>
      <w:r w:rsidRPr="005D4618">
        <w:rPr>
          <w:rFonts w:eastAsia="仿宋_GB2312"/>
          <w:color w:val="000000"/>
          <w:sz w:val="32"/>
          <w:szCs w:val="32"/>
        </w:rPr>
        <w:t>）建议使用质量</w:t>
      </w:r>
      <w:r w:rsidRPr="005D4618">
        <w:rPr>
          <w:rFonts w:eastAsia="仿宋_GB2312"/>
          <w:color w:val="000000"/>
          <w:sz w:val="32"/>
          <w:szCs w:val="32"/>
        </w:rPr>
        <w:t>/</w:t>
      </w:r>
      <w:r w:rsidRPr="005D4618">
        <w:rPr>
          <w:rFonts w:eastAsia="仿宋_GB2312"/>
          <w:color w:val="000000"/>
          <w:sz w:val="32"/>
          <w:szCs w:val="32"/>
        </w:rPr>
        <w:t>浸提液体积方法（如</w:t>
      </w:r>
      <w:r w:rsidRPr="005D4618">
        <w:rPr>
          <w:rFonts w:eastAsia="仿宋_GB2312"/>
          <w:color w:val="000000"/>
          <w:sz w:val="32"/>
          <w:szCs w:val="32"/>
        </w:rPr>
        <w:t>0.2g/mL</w:t>
      </w:r>
      <w:r w:rsidRPr="005D4618">
        <w:rPr>
          <w:rFonts w:eastAsia="仿宋_GB2312"/>
          <w:color w:val="000000"/>
          <w:sz w:val="32"/>
          <w:szCs w:val="32"/>
        </w:rPr>
        <w:t>）进行样品制备。</w:t>
      </w:r>
    </w:p>
    <w:p w14:paraId="49AB43D4" w14:textId="77777777" w:rsidR="005D4618" w:rsidRPr="005D4618" w:rsidRDefault="005D4618" w:rsidP="005D4618">
      <w:pPr>
        <w:numPr>
          <w:ilvl w:val="0"/>
          <w:numId w:val="48"/>
        </w:numPr>
        <w:adjustRightInd w:val="0"/>
        <w:snapToGrid w:val="0"/>
        <w:rPr>
          <w:rFonts w:eastAsia="楷体"/>
          <w:color w:val="000000"/>
          <w:sz w:val="32"/>
          <w:szCs w:val="32"/>
        </w:rPr>
      </w:pPr>
      <w:r w:rsidRPr="005D4618">
        <w:rPr>
          <w:rFonts w:eastAsia="楷体"/>
          <w:color w:val="000000"/>
          <w:sz w:val="32"/>
          <w:szCs w:val="32"/>
        </w:rPr>
        <w:t>降解风险研究</w:t>
      </w:r>
    </w:p>
    <w:p w14:paraId="4A55E7C5"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1.</w:t>
      </w:r>
      <w:r w:rsidRPr="005D4618">
        <w:rPr>
          <w:rFonts w:eastAsia="仿宋_GB2312"/>
          <w:color w:val="000000"/>
          <w:sz w:val="32"/>
          <w:szCs w:val="32"/>
        </w:rPr>
        <w:t>详述产品植入静脉血管后是否发生降解吸收并提供依据。</w:t>
      </w:r>
    </w:p>
    <w:p w14:paraId="5CA93C8B"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2.</w:t>
      </w:r>
      <w:r w:rsidRPr="005D4618">
        <w:rPr>
          <w:rFonts w:eastAsia="仿宋_GB2312"/>
          <w:color w:val="000000"/>
          <w:sz w:val="32"/>
          <w:szCs w:val="32"/>
        </w:rPr>
        <w:t>提供申报产品各成分降解代谢的研究资料，包括分子量、分子量分布、降解产物等材料学物理、化学等指标。提供研究试验条件的设定依据，明确申报产品降解时间及降解程度判定方法及其标准。</w:t>
      </w:r>
    </w:p>
    <w:p w14:paraId="63848160" w14:textId="6374CE81" w:rsidR="005D4618" w:rsidRPr="005D4618" w:rsidRDefault="00A009EA" w:rsidP="005D4618">
      <w:pPr>
        <w:snapToGrid w:val="0"/>
        <w:spacing w:line="520" w:lineRule="exact"/>
        <w:ind w:firstLineChars="200" w:firstLine="640"/>
        <w:rPr>
          <w:rFonts w:eastAsia="仿宋_GB2312"/>
          <w:color w:val="000000"/>
          <w:sz w:val="32"/>
          <w:szCs w:val="32"/>
        </w:rPr>
      </w:pPr>
      <w:r>
        <w:rPr>
          <w:rFonts w:eastAsia="仿宋_GB2312"/>
          <w:color w:val="000000"/>
          <w:sz w:val="32"/>
          <w:szCs w:val="32"/>
        </w:rPr>
        <w:t>3.</w:t>
      </w:r>
      <w:r w:rsidR="005D4618" w:rsidRPr="005D4618">
        <w:rPr>
          <w:rFonts w:eastAsia="仿宋_GB2312"/>
          <w:color w:val="000000"/>
          <w:sz w:val="32"/>
          <w:szCs w:val="32"/>
        </w:rPr>
        <w:t>体外降解研究需要明确降解环境的确定依据。对于水解后的甲醛、各级降解产物、可沥滤物以及可能存在的助剂含量需要明确其随时间变化的趋势，并界定是否均低于安全阈值。体外降解观察点设置宜有科学依据，可</w:t>
      </w:r>
      <w:r w:rsidR="005D4618" w:rsidRPr="005D4618">
        <w:rPr>
          <w:rFonts w:eastAsia="仿宋_GB2312"/>
          <w:sz w:val="32"/>
          <w:szCs w:val="32"/>
        </w:rPr>
        <w:t>在科学合理的条件下设定加速降</w:t>
      </w:r>
      <w:r w:rsidR="005D4618" w:rsidRPr="005D4618">
        <w:rPr>
          <w:rFonts w:eastAsia="仿宋_GB2312"/>
          <w:sz w:val="32"/>
          <w:szCs w:val="32"/>
        </w:rPr>
        <w:lastRenderedPageBreak/>
        <w:t>解条件，如适当提高降解温度等。</w:t>
      </w:r>
      <w:r w:rsidR="005D4618" w:rsidRPr="005D4618">
        <w:rPr>
          <w:rFonts w:eastAsia="仿宋_GB2312"/>
          <w:color w:val="000000"/>
          <w:sz w:val="32"/>
          <w:szCs w:val="32"/>
        </w:rPr>
        <w:t>提供体外降解试验条件确定依据及支持资料。</w:t>
      </w:r>
    </w:p>
    <w:p w14:paraId="6D643AC1"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4.</w:t>
      </w:r>
      <w:r w:rsidRPr="005D4618">
        <w:rPr>
          <w:rFonts w:eastAsia="仿宋_GB2312"/>
          <w:color w:val="000000"/>
          <w:sz w:val="32"/>
          <w:szCs w:val="32"/>
        </w:rPr>
        <w:t>结合体外降解试验研究结果、</w:t>
      </w:r>
      <w:r w:rsidRPr="005D4618">
        <w:rPr>
          <w:rFonts w:eastAsia="仿宋_GB2312"/>
          <w:color w:val="000000"/>
          <w:sz w:val="32"/>
          <w:szCs w:val="32"/>
        </w:rPr>
        <w:t>α-</w:t>
      </w:r>
      <w:r w:rsidRPr="005D4618">
        <w:rPr>
          <w:rFonts w:eastAsia="仿宋_GB2312"/>
          <w:color w:val="000000"/>
          <w:sz w:val="32"/>
          <w:szCs w:val="32"/>
        </w:rPr>
        <w:t>氰基丙烯酸酯聚合物材料降解相关文献资料，对预计可能产生的降解产物进行安全性评价，包括降解代谢动力学研究。</w:t>
      </w:r>
    </w:p>
    <w:p w14:paraId="392EFA1F" w14:textId="0A81484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5.</w:t>
      </w:r>
      <w:bookmarkStart w:id="5" w:name="_GoBack"/>
      <w:bookmarkEnd w:id="5"/>
      <w:r w:rsidRPr="005D4618">
        <w:rPr>
          <w:rFonts w:eastAsia="仿宋_GB2312"/>
          <w:color w:val="000000"/>
          <w:sz w:val="32"/>
          <w:szCs w:val="32"/>
        </w:rPr>
        <w:t>提供原位长期植入后的动物研究资料，观察至稳态；如可降解，进一步研究产品降解代谢情况。</w:t>
      </w:r>
    </w:p>
    <w:p w14:paraId="5A3E426A" w14:textId="77777777" w:rsidR="005D4618" w:rsidRPr="005D4618" w:rsidRDefault="005D4618" w:rsidP="005D4618">
      <w:pPr>
        <w:snapToGrid w:val="0"/>
        <w:spacing w:line="520" w:lineRule="exact"/>
        <w:ind w:firstLineChars="200" w:firstLine="640"/>
        <w:rPr>
          <w:rFonts w:eastAsia="楷体"/>
          <w:color w:val="000000"/>
          <w:sz w:val="32"/>
          <w:szCs w:val="32"/>
        </w:rPr>
      </w:pPr>
      <w:r w:rsidRPr="005D4618">
        <w:rPr>
          <w:rFonts w:eastAsia="楷体"/>
          <w:color w:val="000000"/>
          <w:sz w:val="32"/>
          <w:szCs w:val="32"/>
        </w:rPr>
        <w:t>（七）动物试验</w:t>
      </w:r>
    </w:p>
    <w:p w14:paraId="2186BD78"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需在动物试验中评价产品能否顺利输送至目标部位，对带有输送系统的产品，评价输送系统的操作性能（导入性、准确性、便捷性、配合性）。根据产品目标静脉血管直径选择合适的动物模型来评价产品的安全性和有效性，明确动物试验目的和判定标准，若无客观标准，可选择同类器械作为对照。建议考虑临床应用场景及动物耐受情况来确定动物模型中可植入的剂量。评价内容包括但不限于目标部位的粘合剂是否在规定时间内固化（明确按压时间和力度）、是否成功闭合血管（考察即刻闭合成功率和观察期闭合稳定性）、是否存在热量灼伤、是否存在脱落移位（考察远端脏器是否存在栓塞并造成组织损伤，包括心肝脾肺肾脑等脏器）、大体观察目标部位及脏器、闭塞血管组织病理学检查、血液学检查参数、粘合剂植入后降解、粘合剂端面与血管壁接触截面血栓形成情况等内容。</w:t>
      </w:r>
      <w:r w:rsidRPr="005D4618">
        <w:rPr>
          <w:rFonts w:eastAsia="仿宋_GB2312"/>
          <w:color w:val="000000"/>
          <w:sz w:val="32"/>
          <w:szCs w:val="32"/>
        </w:rPr>
        <w:t xml:space="preserve">     </w:t>
      </w:r>
    </w:p>
    <w:p w14:paraId="491F59B8"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建议观察时间点涵盖产品纤维化包裹完成（包括早期纤维化和成熟纤维化，可设置多个观察时间点），需观察是否存在部分胶体降解后导致的静脉再通和闭合率下降现象。若未完成血管内</w:t>
      </w:r>
      <w:r w:rsidRPr="005D4618">
        <w:rPr>
          <w:rFonts w:eastAsia="仿宋_GB2312"/>
          <w:color w:val="000000"/>
          <w:sz w:val="32"/>
          <w:szCs w:val="32"/>
        </w:rPr>
        <w:lastRenderedPageBreak/>
        <w:t>纤维化包裹，需延长观察周期，以便充分评估远期安全性。需检查肺部等其他相关部位血管是否存在栓塞，验证粘合剂是否发生迁移。</w:t>
      </w:r>
    </w:p>
    <w:p w14:paraId="52C1B95D" w14:textId="77777777" w:rsidR="005D4618" w:rsidRPr="005D4618" w:rsidRDefault="005D4618" w:rsidP="005D4618">
      <w:pPr>
        <w:snapToGrid w:val="0"/>
        <w:spacing w:line="520" w:lineRule="exact"/>
        <w:ind w:firstLineChars="200" w:firstLine="640"/>
        <w:rPr>
          <w:rFonts w:eastAsia="楷体"/>
          <w:color w:val="000000"/>
          <w:sz w:val="32"/>
          <w:szCs w:val="32"/>
        </w:rPr>
      </w:pPr>
      <w:r w:rsidRPr="005D4618">
        <w:rPr>
          <w:rFonts w:eastAsia="楷体"/>
          <w:color w:val="000000"/>
          <w:sz w:val="32"/>
          <w:szCs w:val="32"/>
        </w:rPr>
        <w:t>（八）说明书</w:t>
      </w:r>
    </w:p>
    <w:p w14:paraId="6CF11699"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1.</w:t>
      </w:r>
      <w:r w:rsidRPr="005D4618">
        <w:rPr>
          <w:rFonts w:eastAsia="仿宋_GB2312"/>
          <w:color w:val="000000"/>
          <w:sz w:val="32"/>
          <w:szCs w:val="32"/>
        </w:rPr>
        <w:t>在说明书中增加相关的使用警示、注意事项、临床试验概述。参照境外批准产品完善禁忌证等信息。</w:t>
      </w:r>
    </w:p>
    <w:p w14:paraId="77FCE869"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2.</w:t>
      </w:r>
      <w:r w:rsidRPr="005D4618">
        <w:rPr>
          <w:rFonts w:eastAsia="仿宋_GB2312"/>
          <w:color w:val="000000"/>
          <w:sz w:val="32"/>
          <w:szCs w:val="32"/>
        </w:rPr>
        <w:t>禁忌证：包括但不限于对本粘合剂或氰基丙烯酸酯发生过敏反应、急性浅表性血栓性静脉炎、血栓性移行性静脉炎、急性</w:t>
      </w:r>
      <w:proofErr w:type="gramStart"/>
      <w:r w:rsidRPr="005D4618">
        <w:rPr>
          <w:rFonts w:eastAsia="仿宋_GB2312"/>
          <w:color w:val="000000"/>
          <w:sz w:val="32"/>
          <w:szCs w:val="32"/>
        </w:rPr>
        <w:t>脓</w:t>
      </w:r>
      <w:proofErr w:type="gramEnd"/>
      <w:r w:rsidRPr="005D4618">
        <w:rPr>
          <w:rFonts w:eastAsia="仿宋_GB2312"/>
          <w:color w:val="000000"/>
          <w:sz w:val="32"/>
          <w:szCs w:val="32"/>
        </w:rPr>
        <w:t>毒血症等。</w:t>
      </w:r>
    </w:p>
    <w:p w14:paraId="3C6CF5A9"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3.</w:t>
      </w:r>
      <w:r w:rsidRPr="005D4618">
        <w:rPr>
          <w:rFonts w:eastAsia="仿宋_GB2312"/>
          <w:color w:val="000000"/>
          <w:sz w:val="32"/>
          <w:szCs w:val="32"/>
        </w:rPr>
        <w:t>由于临床常见的静脉炎等不良事件可能与产品成分及降解产物的过敏反应有关，为进一步确保产品的安全有效性，建议术前进行丙烯酸酯相关过敏反应调查，包括是否有皮肤胶、指甲油、睫毛贴等过敏史，并在说明书中告知相关风险。</w:t>
      </w:r>
    </w:p>
    <w:p w14:paraId="3B19356D"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4.</w:t>
      </w:r>
      <w:r w:rsidRPr="005D4618">
        <w:rPr>
          <w:rFonts w:eastAsia="仿宋_GB2312"/>
          <w:color w:val="000000"/>
          <w:sz w:val="32"/>
          <w:szCs w:val="32"/>
        </w:rPr>
        <w:t>提交可能影响固化的因素分析（如高渗盐水、造影剂等油基溶剂），明确各影响因素并在说明书中增加相关的使用警示。</w:t>
      </w:r>
    </w:p>
    <w:p w14:paraId="5123790D"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5.</w:t>
      </w:r>
      <w:r w:rsidRPr="005D4618">
        <w:rPr>
          <w:rFonts w:eastAsia="仿宋_GB2312"/>
          <w:color w:val="000000"/>
          <w:sz w:val="32"/>
          <w:szCs w:val="32"/>
        </w:rPr>
        <w:t>对于局部皮肤及皮下组织较薄的患者，植入该类产品可能出现条索状硬化物，建议在说明书中明确警示信息。</w:t>
      </w:r>
    </w:p>
    <w:p w14:paraId="58E7DB7C" w14:textId="77777777" w:rsidR="005D4618" w:rsidRPr="005D4618" w:rsidRDefault="005D4618" w:rsidP="005D4618">
      <w:pPr>
        <w:snapToGrid w:val="0"/>
        <w:spacing w:line="520" w:lineRule="exact"/>
        <w:ind w:firstLineChars="200" w:firstLine="640"/>
        <w:rPr>
          <w:rFonts w:eastAsia="仿宋_GB2312"/>
          <w:color w:val="000000"/>
          <w:sz w:val="32"/>
          <w:szCs w:val="32"/>
        </w:rPr>
      </w:pPr>
      <w:r w:rsidRPr="005D4618">
        <w:rPr>
          <w:rFonts w:eastAsia="仿宋_GB2312"/>
          <w:color w:val="000000"/>
          <w:sz w:val="32"/>
          <w:szCs w:val="32"/>
        </w:rPr>
        <w:t>6.</w:t>
      </w:r>
      <w:r w:rsidRPr="005D4618">
        <w:rPr>
          <w:rFonts w:eastAsia="仿宋_GB2312"/>
          <w:color w:val="000000"/>
          <w:sz w:val="32"/>
          <w:szCs w:val="32"/>
        </w:rPr>
        <w:t>结合输送系统匹配性验证，提示不宜使用易导致固化塞管的导管进行治疗。提示不宜使用生理盐水、肝素等冲管。建议明确可替代的冲管介质类型或无冲管需求的临床依据，</w:t>
      </w:r>
      <w:proofErr w:type="gramStart"/>
      <w:r w:rsidRPr="005D4618">
        <w:rPr>
          <w:rFonts w:eastAsia="仿宋_GB2312"/>
          <w:color w:val="000000"/>
          <w:sz w:val="32"/>
          <w:szCs w:val="32"/>
        </w:rPr>
        <w:t>明确若</w:t>
      </w:r>
      <w:proofErr w:type="gramEnd"/>
      <w:r w:rsidRPr="005D4618">
        <w:rPr>
          <w:rFonts w:eastAsia="仿宋_GB2312"/>
          <w:color w:val="000000"/>
          <w:sz w:val="32"/>
          <w:szCs w:val="32"/>
        </w:rPr>
        <w:t>不慎使用禁忌冲管介质后的应急处理措施。</w:t>
      </w:r>
    </w:p>
    <w:p w14:paraId="413F9E59" w14:textId="51DC163D" w:rsidR="007C4E19" w:rsidRPr="005D4618" w:rsidRDefault="005D4618" w:rsidP="005D4618">
      <w:pPr>
        <w:spacing w:line="560" w:lineRule="exact"/>
        <w:ind w:firstLine="636"/>
        <w:jc w:val="left"/>
        <w:rPr>
          <w:rFonts w:eastAsia="仿宋_GB2312"/>
          <w:color w:val="000000"/>
          <w:sz w:val="32"/>
          <w:szCs w:val="32"/>
        </w:rPr>
      </w:pPr>
      <w:r w:rsidRPr="005D4618">
        <w:rPr>
          <w:rFonts w:eastAsia="仿宋_GB2312"/>
          <w:color w:val="000000"/>
          <w:sz w:val="32"/>
          <w:szCs w:val="32"/>
        </w:rPr>
        <w:t>7.</w:t>
      </w:r>
      <w:r w:rsidRPr="005D4618">
        <w:rPr>
          <w:rFonts w:eastAsia="仿宋_GB2312"/>
          <w:color w:val="000000"/>
          <w:sz w:val="32"/>
          <w:szCs w:val="32"/>
        </w:rPr>
        <w:t>说明书中需提供完整的使用方法指导，明确建议的使用剂量、按压的时长和力度。增加未按要求按压可能造成肺栓塞的风险警示。</w:t>
      </w:r>
    </w:p>
    <w:sectPr w:rsidR="007C4E19" w:rsidRPr="005D4618" w:rsidSect="00EA0988">
      <w:footerReference w:type="even" r:id="rId9"/>
      <w:footerReference w:type="default" r:id="rId10"/>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6CD8" w14:textId="77777777" w:rsidR="0074087F" w:rsidRDefault="0074087F">
      <w:r>
        <w:separator/>
      </w:r>
    </w:p>
  </w:endnote>
  <w:endnote w:type="continuationSeparator" w:id="0">
    <w:p w14:paraId="6FFD7D92" w14:textId="77777777" w:rsidR="0074087F" w:rsidRDefault="0074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14073FF1" w:rsidR="00AD56E3" w:rsidRDefault="00AD56E3" w:rsidP="00C25218">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4D42AA" w:rsidRPr="004D42AA">
      <w:rPr>
        <w:rFonts w:ascii="Times New Roman" w:hAnsi="Times New Roman" w:cs="Times New Roman"/>
        <w:noProof/>
        <w:sz w:val="28"/>
        <w:szCs w:val="28"/>
        <w:lang w:val="zh-CN"/>
      </w:rPr>
      <w:t>10</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1F7E3150" w:rsidR="0043389E" w:rsidRPr="00EB5DCF" w:rsidRDefault="0043389E" w:rsidP="00C25218">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4D42AA">
      <w:rPr>
        <w:rFonts w:ascii="Times New Roman" w:hAnsi="Times New Roman" w:cs="Times New Roman"/>
        <w:noProof/>
        <w:sz w:val="28"/>
        <w:szCs w:val="28"/>
      </w:rPr>
      <w:t>9</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D054" w14:textId="77777777" w:rsidR="0074087F" w:rsidRDefault="0074087F">
      <w:r>
        <w:separator/>
      </w:r>
    </w:p>
  </w:footnote>
  <w:footnote w:type="continuationSeparator" w:id="0">
    <w:p w14:paraId="5E78A461" w14:textId="77777777" w:rsidR="0074087F" w:rsidRDefault="007408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095849"/>
    <w:multiLevelType w:val="multilevel"/>
    <w:tmpl w:val="0509584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2" w15:restartNumberingAfterBreak="0">
    <w:nsid w:val="32702BFD"/>
    <w:multiLevelType w:val="multilevel"/>
    <w:tmpl w:val="32702BFD"/>
    <w:lvl w:ilvl="0">
      <w:start w:val="6"/>
      <w:numFmt w:val="japaneseCounting"/>
      <w:lvlText w:val="（%1）"/>
      <w:lvlJc w:val="left"/>
      <w:pPr>
        <w:ind w:left="1720" w:hanging="1080"/>
      </w:pPr>
      <w:rPr>
        <w:rFonts w:hAnsi="仿宋" w:cstheme="minorBidi" w:hint="default"/>
        <w:color w:val="00000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3"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29F615C"/>
    <w:multiLevelType w:val="multilevel"/>
    <w:tmpl w:val="529F615C"/>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1695"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5"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3"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5"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7"/>
  </w:num>
  <w:num w:numId="2">
    <w:abstractNumId w:val="41"/>
  </w:num>
  <w:num w:numId="3">
    <w:abstractNumId w:val="8"/>
  </w:num>
  <w:num w:numId="4">
    <w:abstractNumId w:val="15"/>
  </w:num>
  <w:num w:numId="5">
    <w:abstractNumId w:val="36"/>
  </w:num>
  <w:num w:numId="6">
    <w:abstractNumId w:val="18"/>
  </w:num>
  <w:num w:numId="7">
    <w:abstractNumId w:val="44"/>
  </w:num>
  <w:num w:numId="8">
    <w:abstractNumId w:val="26"/>
  </w:num>
  <w:num w:numId="9">
    <w:abstractNumId w:val="33"/>
  </w:num>
  <w:num w:numId="10">
    <w:abstractNumId w:val="20"/>
  </w:num>
  <w:num w:numId="11">
    <w:abstractNumId w:val="17"/>
  </w:num>
  <w:num w:numId="12">
    <w:abstractNumId w:val="31"/>
  </w:num>
  <w:num w:numId="13">
    <w:abstractNumId w:val="35"/>
  </w:num>
  <w:num w:numId="14">
    <w:abstractNumId w:val="29"/>
  </w:num>
  <w:num w:numId="15">
    <w:abstractNumId w:val="9"/>
  </w:num>
  <w:num w:numId="16">
    <w:abstractNumId w:val="21"/>
  </w:num>
  <w:num w:numId="17">
    <w:abstractNumId w:val="10"/>
  </w:num>
  <w:num w:numId="18">
    <w:abstractNumId w:val="3"/>
  </w:num>
  <w:num w:numId="19">
    <w:abstractNumId w:val="14"/>
  </w:num>
  <w:num w:numId="20">
    <w:abstractNumId w:val="47"/>
  </w:num>
  <w:num w:numId="21">
    <w:abstractNumId w:val="16"/>
  </w:num>
  <w:num w:numId="22">
    <w:abstractNumId w:val="24"/>
  </w:num>
  <w:num w:numId="23">
    <w:abstractNumId w:val="27"/>
  </w:num>
  <w:num w:numId="24">
    <w:abstractNumId w:val="1"/>
  </w:num>
  <w:num w:numId="25">
    <w:abstractNumId w:val="12"/>
  </w:num>
  <w:num w:numId="26">
    <w:abstractNumId w:val="38"/>
  </w:num>
  <w:num w:numId="27">
    <w:abstractNumId w:val="46"/>
  </w:num>
  <w:num w:numId="28">
    <w:abstractNumId w:val="28"/>
  </w:num>
  <w:num w:numId="29">
    <w:abstractNumId w:val="23"/>
  </w:num>
  <w:num w:numId="30">
    <w:abstractNumId w:val="13"/>
  </w:num>
  <w:num w:numId="31">
    <w:abstractNumId w:val="39"/>
  </w:num>
  <w:num w:numId="32">
    <w:abstractNumId w:val="6"/>
  </w:num>
  <w:num w:numId="33">
    <w:abstractNumId w:val="0"/>
  </w:num>
  <w:num w:numId="34">
    <w:abstractNumId w:val="25"/>
  </w:num>
  <w:num w:numId="35">
    <w:abstractNumId w:val="45"/>
  </w:num>
  <w:num w:numId="36">
    <w:abstractNumId w:val="43"/>
  </w:num>
  <w:num w:numId="37">
    <w:abstractNumId w:val="37"/>
  </w:num>
  <w:num w:numId="38">
    <w:abstractNumId w:val="4"/>
  </w:num>
  <w:num w:numId="39">
    <w:abstractNumId w:val="40"/>
  </w:num>
  <w:num w:numId="40">
    <w:abstractNumId w:val="11"/>
  </w:num>
  <w:num w:numId="41">
    <w:abstractNumId w:val="30"/>
  </w:num>
  <w:num w:numId="42">
    <w:abstractNumId w:val="19"/>
  </w:num>
  <w:num w:numId="43">
    <w:abstractNumId w:val="5"/>
  </w:num>
  <w:num w:numId="44">
    <w:abstractNumId w:val="32"/>
  </w:num>
  <w:num w:numId="45">
    <w:abstractNumId w:val="42"/>
  </w:num>
  <w:num w:numId="46">
    <w:abstractNumId w:val="34"/>
  </w:num>
  <w:num w:numId="47">
    <w:abstractNumId w:val="2"/>
  </w:num>
  <w:num w:numId="4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AA"/>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6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618"/>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7F"/>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9EA"/>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18"/>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0CF"/>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 w:type="table" w:customStyle="1" w:styleId="16">
    <w:name w:val="网格型1"/>
    <w:basedOn w:val="a1"/>
    <w:next w:val="af2"/>
    <w:qFormat/>
    <w:rsid w:val="005D461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01A4A-DA59-4336-947F-A4D90051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793</Words>
  <Characters>4524</Characters>
  <Application>Microsoft Office Word</Application>
  <DocSecurity>0</DocSecurity>
  <Lines>37</Lines>
  <Paragraphs>10</Paragraphs>
  <ScaleCrop>false</ScaleCrop>
  <Manager/>
  <Company>国家药品监督管理局医疗器械技术审评中心</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11</cp:revision>
  <cp:lastPrinted>2026-06-15T06:28:00Z</cp:lastPrinted>
  <dcterms:created xsi:type="dcterms:W3CDTF">2026-05-08T07:22:00Z</dcterms:created>
  <dcterms:modified xsi:type="dcterms:W3CDTF">2026-06-18T06:29:00Z</dcterms:modified>
</cp:coreProperties>
</file>