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2430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B32430">
      <w:pPr>
        <w:snapToGrid w:val="0"/>
        <w:spacing w:line="540" w:lineRule="exact"/>
        <w:rPr>
          <w:rFonts w:eastAsia="方正小标宋简体"/>
          <w:sz w:val="44"/>
          <w:szCs w:val="44"/>
        </w:rPr>
      </w:pPr>
    </w:p>
    <w:p w:rsidR="00000000" w:rsidRDefault="00B32430">
      <w:pPr>
        <w:widowControl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</w:t>
      </w:r>
      <w:r>
        <w:rPr>
          <w:rFonts w:eastAsia="方正小标宋简体" w:hint="eastAsia"/>
          <w:sz w:val="44"/>
          <w:szCs w:val="44"/>
        </w:rPr>
        <w:t>国家药监局</w:t>
      </w:r>
      <w:r>
        <w:rPr>
          <w:rFonts w:eastAsia="方正小标宋简体"/>
          <w:sz w:val="44"/>
          <w:szCs w:val="44"/>
        </w:rPr>
        <w:t>关于化学原料药再注册管理等</w:t>
      </w:r>
    </w:p>
    <w:p w:rsidR="00000000" w:rsidRDefault="00B32430">
      <w:pPr>
        <w:widowControl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有关事项的公告</w:t>
      </w:r>
      <w:r>
        <w:rPr>
          <w:rFonts w:eastAsia="方正小标宋简体"/>
          <w:sz w:val="44"/>
          <w:szCs w:val="44"/>
        </w:rPr>
        <w:t>》政策解读</w:t>
      </w:r>
    </w:p>
    <w:p w:rsidR="00000000" w:rsidRDefault="00B32430">
      <w:pPr>
        <w:spacing w:line="620" w:lineRule="exact"/>
        <w:ind w:firstLineChars="200" w:firstLine="640"/>
        <w:rPr>
          <w:rFonts w:eastAsia="仿宋_GB2312"/>
          <w:sz w:val="32"/>
          <w:szCs w:val="32"/>
          <w:lang w:val="en"/>
        </w:rPr>
      </w:pPr>
    </w:p>
    <w:p w:rsidR="00000000" w:rsidRDefault="00B32430">
      <w:pPr>
        <w:numPr>
          <w:ilvl w:val="0"/>
          <w:numId w:val="3"/>
        </w:numPr>
        <w:spacing w:line="620" w:lineRule="exact"/>
        <w:ind w:firstLineChars="200" w:firstLine="640"/>
        <w:rPr>
          <w:rFonts w:eastAsia="黑体"/>
          <w:sz w:val="32"/>
          <w:szCs w:val="32"/>
          <w:lang w:val="en"/>
        </w:rPr>
      </w:pPr>
      <w:r>
        <w:rPr>
          <w:rFonts w:eastAsia="黑体"/>
          <w:sz w:val="32"/>
          <w:szCs w:val="32"/>
          <w:lang w:val="en"/>
        </w:rPr>
        <w:t>《</w:t>
      </w:r>
      <w:r>
        <w:rPr>
          <w:rFonts w:eastAsia="黑体" w:hint="eastAsia"/>
          <w:sz w:val="32"/>
          <w:szCs w:val="32"/>
          <w:lang w:val="en"/>
        </w:rPr>
        <w:t>国家药监局</w:t>
      </w:r>
      <w:r>
        <w:rPr>
          <w:rFonts w:eastAsia="黑体"/>
          <w:sz w:val="32"/>
          <w:szCs w:val="32"/>
          <w:lang w:val="en"/>
        </w:rPr>
        <w:t>关于化学原料药再注册管理等有关事项的公告》</w:t>
      </w:r>
      <w:r>
        <w:rPr>
          <w:rFonts w:eastAsia="黑体" w:hint="eastAsia"/>
          <w:sz w:val="32"/>
          <w:szCs w:val="32"/>
          <w:lang w:val="en"/>
        </w:rPr>
        <w:t>（以下简称</w:t>
      </w:r>
      <w:r>
        <w:rPr>
          <w:rFonts w:eastAsia="黑体"/>
          <w:sz w:val="32"/>
          <w:szCs w:val="32"/>
          <w:lang w:val="en"/>
        </w:rPr>
        <w:t>《公告》</w:t>
      </w:r>
      <w:r>
        <w:rPr>
          <w:rFonts w:eastAsia="黑体" w:hint="eastAsia"/>
          <w:sz w:val="32"/>
          <w:szCs w:val="32"/>
          <w:lang w:val="en"/>
        </w:rPr>
        <w:t>）</w:t>
      </w:r>
      <w:r>
        <w:rPr>
          <w:rFonts w:eastAsia="黑体"/>
          <w:sz w:val="32"/>
          <w:szCs w:val="32"/>
          <w:lang w:val="en"/>
        </w:rPr>
        <w:t>起草的背景和考虑是什么？</w:t>
      </w:r>
    </w:p>
    <w:p w:rsidR="00000000" w:rsidRDefault="00B32430">
      <w:pPr>
        <w:spacing w:line="62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为优化</w:t>
      </w:r>
      <w:r>
        <w:rPr>
          <w:rFonts w:eastAsia="仿宋_GB2312" w:hint="eastAsia"/>
          <w:sz w:val="32"/>
          <w:szCs w:val="32"/>
          <w:lang w:bidi="ar"/>
        </w:rPr>
        <w:t>化学</w:t>
      </w:r>
      <w:r>
        <w:rPr>
          <w:rFonts w:eastAsia="仿宋_GB2312"/>
          <w:sz w:val="32"/>
          <w:szCs w:val="32"/>
          <w:lang w:bidi="ar"/>
        </w:rPr>
        <w:t>原料药管理，</w:t>
      </w:r>
      <w:r>
        <w:rPr>
          <w:rFonts w:eastAsia="仿宋_GB2312"/>
          <w:sz w:val="32"/>
          <w:szCs w:val="32"/>
          <w:lang w:bidi="ar"/>
        </w:rPr>
        <w:t>2017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>11</w:t>
      </w:r>
      <w:r>
        <w:rPr>
          <w:rFonts w:eastAsia="仿宋_GB2312"/>
          <w:sz w:val="32"/>
          <w:szCs w:val="32"/>
          <w:lang w:bidi="ar"/>
        </w:rPr>
        <w:t>月，</w:t>
      </w:r>
      <w:r>
        <w:rPr>
          <w:rFonts w:eastAsia="仿宋_GB2312"/>
          <w:sz w:val="32"/>
          <w:szCs w:val="32"/>
        </w:rPr>
        <w:t>原食</w:t>
      </w:r>
      <w:r>
        <w:rPr>
          <w:rFonts w:eastAsia="仿宋_GB2312"/>
          <w:sz w:val="32"/>
          <w:szCs w:val="32"/>
        </w:rPr>
        <w:t>品</w:t>
      </w:r>
      <w:r>
        <w:rPr>
          <w:rFonts w:eastAsia="仿宋_GB2312"/>
          <w:sz w:val="32"/>
          <w:szCs w:val="32"/>
        </w:rPr>
        <w:t>药</w:t>
      </w:r>
      <w:r>
        <w:rPr>
          <w:rFonts w:eastAsia="仿宋_GB2312"/>
          <w:sz w:val="32"/>
          <w:szCs w:val="32"/>
        </w:rPr>
        <w:t>品监管</w:t>
      </w:r>
      <w:r>
        <w:rPr>
          <w:rFonts w:eastAsia="仿宋_GB2312"/>
          <w:sz w:val="32"/>
          <w:szCs w:val="32"/>
        </w:rPr>
        <w:t>总局发布</w:t>
      </w:r>
      <w:r>
        <w:rPr>
          <w:rFonts w:eastAsia="仿宋_GB2312"/>
          <w:sz w:val="32"/>
          <w:szCs w:val="32"/>
        </w:rPr>
        <w:t>《关于调整原料药、药用辅料和药包材审评审批事项的公告》（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/>
          <w:sz w:val="32"/>
          <w:szCs w:val="32"/>
        </w:rPr>
        <w:t>146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lang w:bidi="ar"/>
        </w:rPr>
        <w:t>借鉴国际经验，建立了</w:t>
      </w:r>
      <w:r>
        <w:rPr>
          <w:rFonts w:eastAsia="仿宋_GB2312" w:hint="eastAsia"/>
          <w:sz w:val="32"/>
          <w:szCs w:val="32"/>
          <w:lang w:bidi="ar"/>
        </w:rPr>
        <w:t>化学</w:t>
      </w:r>
      <w:r>
        <w:rPr>
          <w:rFonts w:eastAsia="仿宋_GB2312"/>
          <w:sz w:val="32"/>
          <w:szCs w:val="32"/>
          <w:lang w:bidi="ar"/>
        </w:rPr>
        <w:t>原料药与制剂关联审评审批制度，</w:t>
      </w:r>
      <w:r>
        <w:rPr>
          <w:rFonts w:eastAsia="仿宋_GB2312" w:hint="eastAsia"/>
          <w:sz w:val="32"/>
          <w:szCs w:val="32"/>
          <w:lang w:bidi="ar"/>
        </w:rPr>
        <w:t>国家药监局</w:t>
      </w:r>
      <w:r>
        <w:rPr>
          <w:rFonts w:eastAsia="仿宋_GB2312"/>
          <w:sz w:val="32"/>
          <w:szCs w:val="32"/>
        </w:rPr>
        <w:t>药审中心建立</w:t>
      </w:r>
      <w:r>
        <w:rPr>
          <w:rFonts w:eastAsia="仿宋_GB2312" w:hint="eastAsia"/>
          <w:sz w:val="32"/>
          <w:szCs w:val="32"/>
        </w:rPr>
        <w:t>原辅包</w:t>
      </w:r>
      <w:r>
        <w:rPr>
          <w:rFonts w:eastAsia="仿宋_GB2312"/>
          <w:sz w:val="32"/>
          <w:szCs w:val="32"/>
        </w:rPr>
        <w:t>登记平台</w:t>
      </w:r>
      <w:r>
        <w:rPr>
          <w:rFonts w:eastAsia="仿宋_GB2312"/>
          <w:sz w:val="32"/>
          <w:szCs w:val="32"/>
        </w:rPr>
        <w:t>，企业通过登记平台提交登记资料，获得登记</w:t>
      </w:r>
      <w:r>
        <w:rPr>
          <w:rFonts w:eastAsia="仿宋_GB2312"/>
          <w:sz w:val="32"/>
          <w:szCs w:val="32"/>
        </w:rPr>
        <w:t>号并公示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原料药基本信息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供制剂企业选用，</w:t>
      </w:r>
      <w:r>
        <w:rPr>
          <w:rFonts w:eastAsia="仿宋_GB2312"/>
          <w:sz w:val="32"/>
          <w:szCs w:val="32"/>
        </w:rPr>
        <w:t>待关联制剂提出注册申请后一并审评。</w:t>
      </w:r>
      <w:r>
        <w:rPr>
          <w:rFonts w:eastAsia="仿宋_GB2312"/>
          <w:sz w:val="32"/>
          <w:szCs w:val="32"/>
          <w:lang w:val="en"/>
        </w:rPr>
        <w:t>2019</w:t>
      </w:r>
      <w:r>
        <w:rPr>
          <w:rFonts w:eastAsia="仿宋_GB2312"/>
          <w:sz w:val="32"/>
          <w:szCs w:val="32"/>
          <w:lang w:val="en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新修订实施的《药品管理法》明确，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原料药实施审批制，</w:t>
      </w:r>
      <w:r>
        <w:rPr>
          <w:rFonts w:eastAsia="仿宋_GB2312" w:hint="eastAsia"/>
          <w:sz w:val="32"/>
          <w:szCs w:val="32"/>
        </w:rPr>
        <w:t>其</w:t>
      </w:r>
      <w:r>
        <w:rPr>
          <w:rFonts w:eastAsia="仿宋_GB2312"/>
          <w:sz w:val="32"/>
          <w:szCs w:val="32"/>
        </w:rPr>
        <w:t>登记注册属于行政许可事项。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新修订实施的《药品注册管理办法》进一步明确，对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原料药审评通过的，发给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原料药批准通知书。</w:t>
      </w:r>
    </w:p>
    <w:p w:rsidR="00000000" w:rsidRDefault="00B32430">
      <w:pPr>
        <w:snapToGrid w:val="0"/>
        <w:spacing w:line="620" w:lineRule="exact"/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我国是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原料药生产、出口大国，</w:t>
      </w:r>
      <w:r>
        <w:rPr>
          <w:rFonts w:eastAsia="仿宋_GB2312"/>
          <w:sz w:val="32"/>
          <w:szCs w:val="32"/>
          <w:lang w:val="en"/>
        </w:rPr>
        <w:t>对</w:t>
      </w:r>
      <w:r>
        <w:rPr>
          <w:rFonts w:eastAsia="仿宋_GB2312" w:hint="eastAsia"/>
          <w:sz w:val="32"/>
          <w:szCs w:val="32"/>
          <w:lang w:val="en"/>
        </w:rPr>
        <w:t>化学</w:t>
      </w:r>
      <w:r>
        <w:rPr>
          <w:rFonts w:eastAsia="仿宋_GB2312"/>
          <w:sz w:val="32"/>
          <w:szCs w:val="32"/>
          <w:lang w:val="en"/>
        </w:rPr>
        <w:t>原料药实施再注册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可以在确定的监管周期内对生产能力、质量管理符合情况进行确认，对生产、销售、抽检、变更等情况进行总结，对于</w:t>
      </w:r>
      <w:r>
        <w:rPr>
          <w:rFonts w:eastAsia="仿宋_GB2312"/>
          <w:sz w:val="32"/>
          <w:szCs w:val="32"/>
        </w:rPr>
        <w:t>落实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原料药的属地监管职</w:t>
      </w:r>
      <w:r>
        <w:rPr>
          <w:rFonts w:eastAsia="仿宋_GB2312"/>
          <w:sz w:val="32"/>
          <w:szCs w:val="32"/>
        </w:rPr>
        <w:t>责、强化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原料药生产企业的主体责</w:t>
      </w:r>
      <w:r>
        <w:rPr>
          <w:rFonts w:eastAsia="仿宋_GB2312"/>
          <w:sz w:val="32"/>
          <w:szCs w:val="32"/>
        </w:rPr>
        <w:lastRenderedPageBreak/>
        <w:t>任具有重要意义</w:t>
      </w:r>
      <w:r>
        <w:rPr>
          <w:rFonts w:eastAsia="仿宋_GB2312"/>
          <w:sz w:val="32"/>
          <w:szCs w:val="32"/>
          <w:lang w:val="en"/>
        </w:rPr>
        <w:t>,</w:t>
      </w:r>
      <w:r>
        <w:rPr>
          <w:rFonts w:eastAsia="仿宋_GB2312"/>
          <w:sz w:val="32"/>
          <w:szCs w:val="32"/>
        </w:rPr>
        <w:t>有利于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原料药产业发展和确保药品质量安全。</w:t>
      </w:r>
    </w:p>
    <w:p w:rsidR="00000000" w:rsidRDefault="00B32430">
      <w:pPr>
        <w:numPr>
          <w:ilvl w:val="0"/>
          <w:numId w:val="3"/>
        </w:numPr>
        <w:snapToGrid w:val="0"/>
        <w:spacing w:line="6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《公告》实施的范围是什么？</w:t>
      </w:r>
    </w:p>
    <w:p w:rsidR="00000000" w:rsidRDefault="00B32430">
      <w:pPr>
        <w:snapToGrid w:val="0"/>
        <w:spacing w:line="620" w:lineRule="exact"/>
        <w:ind w:firstLine="627"/>
        <w:rPr>
          <w:rFonts w:eastAsia="仿宋_GB2312"/>
          <w:b/>
          <w:bCs/>
          <w:color w:val="0000FF"/>
          <w:sz w:val="32"/>
          <w:szCs w:val="32"/>
        </w:rPr>
      </w:pPr>
      <w:r>
        <w:rPr>
          <w:rFonts w:eastAsia="仿宋_GB2312"/>
          <w:sz w:val="32"/>
          <w:szCs w:val="32"/>
        </w:rPr>
        <w:t>《公告》实施的范围是</w:t>
      </w:r>
      <w:r>
        <w:rPr>
          <w:rFonts w:eastAsia="仿宋_GB2312" w:hint="eastAsia"/>
          <w:sz w:val="32"/>
          <w:szCs w:val="32"/>
        </w:rPr>
        <w:t>在原辅包登记平台登记并审评通过的化学原料药</w:t>
      </w:r>
      <w:r>
        <w:rPr>
          <w:rFonts w:eastAsia="仿宋_GB2312" w:hint="eastAsia"/>
          <w:sz w:val="32"/>
          <w:szCs w:val="32"/>
          <w:lang w:val="en"/>
        </w:rPr>
        <w:t>，</w:t>
      </w:r>
      <w:r>
        <w:rPr>
          <w:rFonts w:eastAsia="仿宋_GB2312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原</w:t>
      </w:r>
      <w:r>
        <w:rPr>
          <w:rFonts w:eastAsia="仿宋_GB2312"/>
          <w:sz w:val="32"/>
          <w:szCs w:val="32"/>
        </w:rPr>
        <w:t>已</w:t>
      </w:r>
      <w:r>
        <w:rPr>
          <w:rFonts w:eastAsia="仿宋_GB2312"/>
          <w:sz w:val="32"/>
          <w:szCs w:val="32"/>
        </w:rPr>
        <w:t>获得</w:t>
      </w:r>
      <w:r>
        <w:rPr>
          <w:rFonts w:eastAsia="仿宋_GB2312"/>
          <w:sz w:val="32"/>
          <w:szCs w:val="32"/>
        </w:rPr>
        <w:t>批准</w:t>
      </w:r>
      <w:r>
        <w:rPr>
          <w:rFonts w:eastAsia="仿宋_GB2312"/>
          <w:sz w:val="32"/>
          <w:szCs w:val="32"/>
        </w:rPr>
        <w:t>文号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依据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国家药监局</w:t>
      </w:r>
      <w:r>
        <w:rPr>
          <w:rFonts w:eastAsia="仿宋_GB2312"/>
          <w:sz w:val="32"/>
          <w:szCs w:val="32"/>
        </w:rPr>
        <w:t>关于进一步完善药品关联审评审批和监管工作有关事宜的公告》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年第</w:t>
      </w:r>
      <w:r>
        <w:rPr>
          <w:rFonts w:eastAsia="仿宋_GB2312"/>
          <w:sz w:val="32"/>
          <w:szCs w:val="32"/>
        </w:rPr>
        <w:t>56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转入登记平台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</w:t>
      </w:r>
      <w:r>
        <w:rPr>
          <w:rFonts w:eastAsia="仿宋_GB2312"/>
          <w:sz w:val="32"/>
          <w:szCs w:val="32"/>
        </w:rPr>
        <w:t>。</w:t>
      </w:r>
    </w:p>
    <w:p w:rsidR="00000000" w:rsidRDefault="00B32430">
      <w:pPr>
        <w:numPr>
          <w:ilvl w:val="0"/>
          <w:numId w:val="3"/>
        </w:numPr>
        <w:spacing w:line="620" w:lineRule="exact"/>
        <w:ind w:firstLineChars="200" w:firstLine="640"/>
        <w:rPr>
          <w:rFonts w:eastAsia="黑体"/>
          <w:sz w:val="32"/>
          <w:szCs w:val="32"/>
          <w:lang w:val="en"/>
        </w:rPr>
      </w:pPr>
      <w:r>
        <w:rPr>
          <w:rFonts w:eastAsia="黑体" w:hint="eastAsia"/>
          <w:sz w:val="32"/>
          <w:szCs w:val="32"/>
          <w:lang w:val="en"/>
        </w:rPr>
        <w:t>化学</w:t>
      </w:r>
      <w:r>
        <w:rPr>
          <w:rFonts w:eastAsia="黑体"/>
          <w:sz w:val="32"/>
          <w:szCs w:val="32"/>
          <w:lang w:val="en"/>
        </w:rPr>
        <w:t>原料药再注册的申报端口是什么？</w:t>
      </w:r>
    </w:p>
    <w:p w:rsidR="00000000" w:rsidRDefault="00B32430">
      <w:pPr>
        <w:spacing w:line="620" w:lineRule="exact"/>
        <w:ind w:firstLine="627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</w:rPr>
        <w:t>境内生产和境外生产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原料药登记人均应当通过</w:t>
      </w:r>
      <w:r>
        <w:rPr>
          <w:rFonts w:eastAsia="仿宋_GB2312"/>
          <w:sz w:val="32"/>
          <w:szCs w:val="32"/>
          <w:lang w:val="en"/>
        </w:rPr>
        <w:t>国家</w:t>
      </w:r>
      <w:r>
        <w:rPr>
          <w:rFonts w:eastAsia="仿宋_GB2312" w:hint="eastAsia"/>
          <w:sz w:val="32"/>
          <w:szCs w:val="32"/>
          <w:lang w:val="en"/>
        </w:rPr>
        <w:t>药监</w:t>
      </w:r>
      <w:r>
        <w:rPr>
          <w:rFonts w:eastAsia="仿宋_GB2312"/>
          <w:sz w:val="32"/>
          <w:szCs w:val="32"/>
          <w:lang w:val="en"/>
        </w:rPr>
        <w:t>局网上办事大厅申报</w:t>
      </w:r>
      <w:r>
        <w:rPr>
          <w:rFonts w:eastAsia="仿宋_GB2312" w:hint="eastAsia"/>
          <w:sz w:val="32"/>
          <w:szCs w:val="32"/>
          <w:lang w:val="en"/>
        </w:rPr>
        <w:t>化学</w:t>
      </w:r>
      <w:r>
        <w:rPr>
          <w:rFonts w:eastAsia="仿宋_GB2312"/>
          <w:sz w:val="32"/>
          <w:szCs w:val="32"/>
          <w:lang w:val="en"/>
        </w:rPr>
        <w:t>原料药再注册。</w:t>
      </w:r>
    </w:p>
    <w:p w:rsidR="00000000" w:rsidRDefault="00B32430">
      <w:pPr>
        <w:numPr>
          <w:ilvl w:val="0"/>
          <w:numId w:val="3"/>
        </w:numPr>
        <w:spacing w:line="6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再注册申报时是否可合并申报其他变更事项？</w:t>
      </w:r>
    </w:p>
    <w:p w:rsidR="00000000" w:rsidRDefault="00B32430">
      <w:pPr>
        <w:spacing w:line="620" w:lineRule="exact"/>
        <w:rPr>
          <w:rFonts w:eastAsia="仿宋_GB2312"/>
          <w:sz w:val="32"/>
          <w:szCs w:val="32"/>
          <w:lang w:val="en"/>
        </w:rPr>
      </w:pPr>
      <w:r>
        <w:rPr>
          <w:rFonts w:eastAsia="黑体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鉴于</w:t>
      </w:r>
      <w:r>
        <w:rPr>
          <w:rFonts w:eastAsia="仿宋_GB2312"/>
          <w:sz w:val="32"/>
          <w:szCs w:val="32"/>
        </w:rPr>
        <w:t>再注册、补充申请、备案的审查单位、时限不尽相同，</w:t>
      </w:r>
      <w:r>
        <w:rPr>
          <w:rFonts w:eastAsia="仿宋_GB2312" w:hint="eastAsia"/>
          <w:sz w:val="32"/>
          <w:szCs w:val="32"/>
        </w:rPr>
        <w:t>化学</w:t>
      </w:r>
      <w:r>
        <w:rPr>
          <w:rFonts w:eastAsia="仿宋_GB2312"/>
          <w:sz w:val="32"/>
          <w:szCs w:val="32"/>
        </w:rPr>
        <w:t>原料药再注册申请中不能合并其他变更事项。对于再注册审评期间，登记人名称（非主体变更）、注册地址等不涉及技术审评的内容发生变更的，应及时书面告知审查部门，并提交相关证明性资料。</w:t>
      </w:r>
    </w:p>
    <w:p w:rsidR="00000000" w:rsidRDefault="00B32430">
      <w:pPr>
        <w:spacing w:line="620" w:lineRule="exact"/>
        <w:ind w:firstLine="627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五、审评不通过以及未按期申请再注册的化学原料药，后续如何处理？</w:t>
      </w:r>
    </w:p>
    <w:p w:rsidR="00000000" w:rsidRDefault="00B32430">
      <w:pPr>
        <w:spacing w:line="620" w:lineRule="exact"/>
        <w:ind w:firstLine="627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审评未通过或未按期申请再注册的化学原料药，发给再注册不予批准通知书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对于</w:t>
      </w:r>
      <w:r>
        <w:rPr>
          <w:rFonts w:eastAsia="仿宋_GB2312"/>
          <w:sz w:val="32"/>
          <w:szCs w:val="32"/>
          <w:lang w:val="en"/>
        </w:rPr>
        <w:t>审评未通过的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  <w:lang w:val="en"/>
        </w:rPr>
        <w:t>，在原</w:t>
      </w:r>
      <w:r>
        <w:rPr>
          <w:rFonts w:eastAsia="仿宋_GB2312" w:hint="eastAsia"/>
          <w:sz w:val="32"/>
          <w:szCs w:val="32"/>
          <w:lang w:val="en"/>
        </w:rPr>
        <w:t>辅包</w:t>
      </w:r>
      <w:r>
        <w:rPr>
          <w:rFonts w:eastAsia="仿宋_GB2312"/>
          <w:sz w:val="32"/>
          <w:szCs w:val="32"/>
          <w:lang w:val="en"/>
        </w:rPr>
        <w:t>登记平台将标识由</w:t>
      </w:r>
      <w:r>
        <w:rPr>
          <w:rFonts w:eastAsia="仿宋_GB2312"/>
          <w:sz w:val="32"/>
          <w:szCs w:val="32"/>
          <w:lang w:val="en"/>
        </w:rPr>
        <w:t>“A”</w:t>
      </w:r>
      <w:r>
        <w:rPr>
          <w:rFonts w:eastAsia="仿宋_GB2312"/>
          <w:sz w:val="32"/>
          <w:szCs w:val="32"/>
          <w:lang w:val="en"/>
        </w:rPr>
        <w:t>调整为</w:t>
      </w:r>
      <w:r>
        <w:rPr>
          <w:rFonts w:eastAsia="仿宋_GB2312"/>
          <w:sz w:val="32"/>
          <w:szCs w:val="32"/>
          <w:lang w:val="en"/>
        </w:rPr>
        <w:t>“I”</w:t>
      </w:r>
      <w:r>
        <w:rPr>
          <w:rFonts w:eastAsia="仿宋_GB2312"/>
          <w:sz w:val="32"/>
          <w:szCs w:val="32"/>
          <w:lang w:val="en"/>
        </w:rPr>
        <w:t>，注销批准证明文件</w:t>
      </w:r>
      <w:r>
        <w:rPr>
          <w:rFonts w:eastAsia="仿宋_GB2312" w:hint="eastAsia"/>
          <w:sz w:val="32"/>
          <w:szCs w:val="32"/>
          <w:lang w:val="en"/>
        </w:rPr>
        <w:t>，并在原辅包登记平台相</w:t>
      </w:r>
      <w:r>
        <w:rPr>
          <w:rFonts w:eastAsia="仿宋_GB2312" w:hint="eastAsia"/>
          <w:sz w:val="32"/>
          <w:szCs w:val="32"/>
          <w:lang w:val="en"/>
        </w:rPr>
        <w:lastRenderedPageBreak/>
        <w:t>应标注为“已注销”</w:t>
      </w:r>
      <w:r>
        <w:rPr>
          <w:rFonts w:eastAsia="仿宋_GB2312"/>
          <w:sz w:val="32"/>
          <w:szCs w:val="32"/>
          <w:lang w:val="en"/>
        </w:rPr>
        <w:t>。申请人可按照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国家药监局</w:t>
      </w:r>
      <w:r>
        <w:rPr>
          <w:rFonts w:eastAsia="仿宋_GB2312"/>
          <w:sz w:val="32"/>
          <w:szCs w:val="32"/>
        </w:rPr>
        <w:t>关于进</w:t>
      </w:r>
      <w:r>
        <w:rPr>
          <w:rFonts w:eastAsia="仿宋_GB2312"/>
          <w:sz w:val="32"/>
          <w:szCs w:val="32"/>
        </w:rPr>
        <w:t>一步完善药品关联审评审批和监管工作有关事宜的公告》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年第</w:t>
      </w:r>
      <w:r>
        <w:rPr>
          <w:rFonts w:eastAsia="仿宋_GB2312"/>
          <w:sz w:val="32"/>
          <w:szCs w:val="32"/>
        </w:rPr>
        <w:t>56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  <w:lang w:val="en"/>
        </w:rPr>
        <w:t>重新</w:t>
      </w:r>
      <w:r>
        <w:rPr>
          <w:rFonts w:eastAsia="仿宋_GB2312" w:hint="eastAsia"/>
          <w:sz w:val="32"/>
          <w:szCs w:val="32"/>
          <w:lang w:val="en"/>
        </w:rPr>
        <w:t>登记</w:t>
      </w:r>
      <w:r>
        <w:rPr>
          <w:rFonts w:eastAsia="仿宋_GB2312"/>
          <w:sz w:val="32"/>
          <w:szCs w:val="32"/>
          <w:lang w:val="en"/>
        </w:rPr>
        <w:t>申报</w:t>
      </w:r>
      <w:r>
        <w:rPr>
          <w:rFonts w:eastAsia="仿宋_GB2312" w:hint="eastAsia"/>
          <w:sz w:val="32"/>
          <w:szCs w:val="32"/>
          <w:lang w:val="en"/>
        </w:rPr>
        <w:t>，药审中心给予新的登记号</w:t>
      </w:r>
      <w:r>
        <w:rPr>
          <w:rFonts w:eastAsia="仿宋_GB2312"/>
          <w:sz w:val="32"/>
          <w:szCs w:val="32"/>
          <w:lang w:val="en"/>
        </w:rPr>
        <w:t>。</w:t>
      </w:r>
    </w:p>
    <w:p w:rsidR="00000000" w:rsidRDefault="00B32430">
      <w:pPr>
        <w:spacing w:line="540" w:lineRule="exact"/>
        <w:ind w:firstLine="627"/>
        <w:rPr>
          <w:rFonts w:eastAsia="仿宋_GB2312"/>
          <w:sz w:val="32"/>
          <w:szCs w:val="32"/>
          <w:lang w:val="en"/>
        </w:rPr>
      </w:pPr>
    </w:p>
    <w:p w:rsidR="00000000" w:rsidRDefault="00B32430">
      <w:pPr>
        <w:spacing w:line="540" w:lineRule="exact"/>
        <w:ind w:firstLine="627"/>
        <w:rPr>
          <w:rFonts w:eastAsia="仿宋_GB2312"/>
          <w:sz w:val="32"/>
          <w:szCs w:val="32"/>
          <w:lang w:val="en"/>
        </w:rPr>
      </w:pPr>
    </w:p>
    <w:p w:rsidR="00000000" w:rsidRDefault="00B32430">
      <w:pPr>
        <w:spacing w:line="540" w:lineRule="exact"/>
        <w:ind w:firstLine="627"/>
        <w:rPr>
          <w:rFonts w:eastAsia="仿宋_GB2312"/>
          <w:sz w:val="32"/>
          <w:szCs w:val="32"/>
          <w:lang w:val="en"/>
        </w:rPr>
      </w:pPr>
    </w:p>
    <w:p w:rsidR="00000000" w:rsidRDefault="00B32430">
      <w:pPr>
        <w:spacing w:line="540" w:lineRule="exact"/>
        <w:ind w:firstLine="627"/>
        <w:rPr>
          <w:rFonts w:eastAsia="仿宋_GB2312"/>
          <w:sz w:val="32"/>
          <w:szCs w:val="32"/>
          <w:lang w:val="en"/>
        </w:rPr>
      </w:pPr>
    </w:p>
    <w:p w:rsidR="00000000" w:rsidRDefault="00B32430">
      <w:pPr>
        <w:spacing w:line="540" w:lineRule="exact"/>
        <w:ind w:firstLine="627"/>
        <w:rPr>
          <w:rFonts w:eastAsia="仿宋_GB2312"/>
          <w:sz w:val="32"/>
          <w:szCs w:val="32"/>
          <w:lang w:val="en"/>
        </w:rPr>
      </w:pPr>
    </w:p>
    <w:p w:rsidR="00000000" w:rsidRDefault="00B32430">
      <w:pPr>
        <w:spacing w:line="540" w:lineRule="exact"/>
        <w:ind w:firstLine="627"/>
        <w:rPr>
          <w:rFonts w:eastAsia="仿宋_GB2312"/>
          <w:sz w:val="32"/>
          <w:szCs w:val="32"/>
          <w:lang w:val="en"/>
        </w:rPr>
      </w:pPr>
    </w:p>
    <w:p w:rsidR="00B32430" w:rsidRDefault="00B32430" w:rsidP="00053322">
      <w:pPr>
        <w:spacing w:line="540" w:lineRule="exact"/>
        <w:ind w:firstLine="627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B32430">
      <w:headerReference w:type="even" r:id="rId7"/>
      <w:footerReference w:type="even" r:id="rId8"/>
      <w:footerReference w:type="default" r:id="rId9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30" w:rsidRDefault="00B32430">
      <w:r>
        <w:separator/>
      </w:r>
    </w:p>
  </w:endnote>
  <w:endnote w:type="continuationSeparator" w:id="0">
    <w:p w:rsidR="00B32430" w:rsidRDefault="00B3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24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5332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3243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332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B3243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5332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30" w:rsidRDefault="00B32430">
      <w:r>
        <w:separator/>
      </w:r>
    </w:p>
  </w:footnote>
  <w:footnote w:type="continuationSeparator" w:id="0">
    <w:p w:rsidR="00B32430" w:rsidRDefault="00B32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24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E7C31BF"/>
    <w:multiLevelType w:val="singleLevel"/>
    <w:tmpl w:val="FE7C31B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3AFBC73"/>
    <w:multiLevelType w:val="singleLevel"/>
    <w:tmpl w:val="33AFBC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D5F4D26"/>
    <w:multiLevelType w:val="singleLevel"/>
    <w:tmpl w:val="3D5F4D2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53322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0845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32430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7BF0DB3"/>
    <w:rsid w:val="0BEC7EA0"/>
    <w:rsid w:val="0F9E0E77"/>
    <w:rsid w:val="13BAF03B"/>
    <w:rsid w:val="164838F0"/>
    <w:rsid w:val="1DFDC838"/>
    <w:rsid w:val="1FFF9440"/>
    <w:rsid w:val="2A8D465A"/>
    <w:rsid w:val="2F788BAB"/>
    <w:rsid w:val="3D5D4F1E"/>
    <w:rsid w:val="3E9AA584"/>
    <w:rsid w:val="43E2636A"/>
    <w:rsid w:val="4C1A048F"/>
    <w:rsid w:val="4DBFF908"/>
    <w:rsid w:val="4FDCAE72"/>
    <w:rsid w:val="575734A5"/>
    <w:rsid w:val="57F4FE60"/>
    <w:rsid w:val="591D3208"/>
    <w:rsid w:val="5A6FBAF3"/>
    <w:rsid w:val="5B6FAE92"/>
    <w:rsid w:val="5BEFE18B"/>
    <w:rsid w:val="5DBFE303"/>
    <w:rsid w:val="5EAF0741"/>
    <w:rsid w:val="5EFB1E55"/>
    <w:rsid w:val="5F297A5F"/>
    <w:rsid w:val="5F6F368D"/>
    <w:rsid w:val="5FDF7308"/>
    <w:rsid w:val="63E446CD"/>
    <w:rsid w:val="6577890A"/>
    <w:rsid w:val="66761827"/>
    <w:rsid w:val="6DCFF3B3"/>
    <w:rsid w:val="6DFDA386"/>
    <w:rsid w:val="6F9E2596"/>
    <w:rsid w:val="6FBBFB3D"/>
    <w:rsid w:val="71FE7BDD"/>
    <w:rsid w:val="73FE788E"/>
    <w:rsid w:val="73FFA140"/>
    <w:rsid w:val="755D8EA0"/>
    <w:rsid w:val="77B750BB"/>
    <w:rsid w:val="77E734FF"/>
    <w:rsid w:val="77FA9711"/>
    <w:rsid w:val="77FF0144"/>
    <w:rsid w:val="79EF09E9"/>
    <w:rsid w:val="7C3452A9"/>
    <w:rsid w:val="7C7FCD6A"/>
    <w:rsid w:val="7D3F857E"/>
    <w:rsid w:val="7DEF022E"/>
    <w:rsid w:val="7E6E76B6"/>
    <w:rsid w:val="7ED62E8A"/>
    <w:rsid w:val="7F590ABF"/>
    <w:rsid w:val="7FF33D73"/>
    <w:rsid w:val="7FFF8AC8"/>
    <w:rsid w:val="87FF3460"/>
    <w:rsid w:val="917F2F9E"/>
    <w:rsid w:val="95F35E49"/>
    <w:rsid w:val="977D1745"/>
    <w:rsid w:val="9FEEC767"/>
    <w:rsid w:val="A2E54494"/>
    <w:rsid w:val="AAFB1C8E"/>
    <w:rsid w:val="ADE29500"/>
    <w:rsid w:val="B9FCC523"/>
    <w:rsid w:val="BB7CDDA4"/>
    <w:rsid w:val="BBE21FFB"/>
    <w:rsid w:val="BF9F7190"/>
    <w:rsid w:val="BFB74B7A"/>
    <w:rsid w:val="C7DEB7DB"/>
    <w:rsid w:val="C7F60B07"/>
    <w:rsid w:val="CFFB06B5"/>
    <w:rsid w:val="DADBE4F5"/>
    <w:rsid w:val="DB39E34E"/>
    <w:rsid w:val="DCFF6B16"/>
    <w:rsid w:val="DD975CC2"/>
    <w:rsid w:val="DEFDE91A"/>
    <w:rsid w:val="DEFFBAC4"/>
    <w:rsid w:val="DF9B936A"/>
    <w:rsid w:val="DFA7BCBC"/>
    <w:rsid w:val="DFA9043A"/>
    <w:rsid w:val="E3D504BD"/>
    <w:rsid w:val="E7C720AF"/>
    <w:rsid w:val="E7DE4693"/>
    <w:rsid w:val="E7F5673D"/>
    <w:rsid w:val="EEEF4117"/>
    <w:rsid w:val="EFDFB8E4"/>
    <w:rsid w:val="EFE7D3FD"/>
    <w:rsid w:val="F1BFF8FF"/>
    <w:rsid w:val="F4EFD876"/>
    <w:rsid w:val="F63DF761"/>
    <w:rsid w:val="F6CE1775"/>
    <w:rsid w:val="F6FB96DD"/>
    <w:rsid w:val="F7FD8DAE"/>
    <w:rsid w:val="F7FDF014"/>
    <w:rsid w:val="F8F752EB"/>
    <w:rsid w:val="F993C00E"/>
    <w:rsid w:val="FBFF3358"/>
    <w:rsid w:val="FC75C99C"/>
    <w:rsid w:val="FCDF238F"/>
    <w:rsid w:val="FCEEBA68"/>
    <w:rsid w:val="FD8FA707"/>
    <w:rsid w:val="FDBF6AC2"/>
    <w:rsid w:val="FED70E72"/>
    <w:rsid w:val="FFAFCB67"/>
    <w:rsid w:val="FFB53F05"/>
    <w:rsid w:val="FFDE3CF0"/>
    <w:rsid w:val="FFEF6FCC"/>
    <w:rsid w:val="FFF2DA49"/>
    <w:rsid w:val="FFF3C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DFBE1-4F27-4B8E-83F5-516CE40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881</Characters>
  <Application>Microsoft Office Word</Application>
  <DocSecurity>0</DocSecurity>
  <Lines>7</Lines>
  <Paragraphs>2</Paragraphs>
  <ScaleCrop>false</ScaleCrop>
  <Company>Xtzj.Com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2023-10-13T03:14:00Z</cp:lastPrinted>
  <dcterms:created xsi:type="dcterms:W3CDTF">2023-10-13T04:19:00Z</dcterms:created>
  <dcterms:modified xsi:type="dcterms:W3CDTF">2023-10-13T04:19:00Z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