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300" w:lineRule="auto"/>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附件</w:t>
      </w:r>
      <w:r>
        <w:rPr>
          <w:rFonts w:hint="eastAsia" w:ascii="黑体" w:hAnsi="黑体" w:eastAsia="黑体" w:cs="Times New Roman"/>
          <w:sz w:val="32"/>
          <w:szCs w:val="32"/>
        </w:rPr>
        <w:t>4</w:t>
      </w:r>
    </w:p>
    <w:p>
      <w:pPr>
        <w:snapToGrid w:val="0"/>
        <w:spacing w:before="156" w:beforeLines="50" w:after="156" w:afterLines="50" w:line="300" w:lineRule="auto"/>
        <w:jc w:val="center"/>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理化检验方法总则</w:t>
      </w:r>
    </w:p>
    <w:p>
      <w:pPr>
        <w:snapToGrid w:val="0"/>
        <w:spacing w:before="156" w:beforeLines="50" w:after="156" w:afterLines="50" w:line="300" w:lineRule="auto"/>
        <w:jc w:val="center"/>
        <w:rPr>
          <w:rFonts w:ascii="Times New Roman" w:hAnsi="Times New Roman" w:eastAsia="黑体" w:cs="Times New Roman"/>
          <w:color w:val="000000"/>
          <w:szCs w:val="21"/>
        </w:rPr>
      </w:pPr>
      <w:r>
        <w:rPr>
          <w:rFonts w:hint="eastAsia" w:ascii="Times New Roman" w:hAnsi="Times New Roman" w:eastAsia="黑体" w:cs="Times New Roman"/>
          <w:color w:val="000000"/>
          <w:szCs w:val="21"/>
        </w:rPr>
        <w:t>General Principles of Physical and Chemical Testing</w:t>
      </w:r>
    </w:p>
    <w:p>
      <w:pPr>
        <w:pStyle w:val="2"/>
        <w:autoSpaceDE w:val="0"/>
        <w:autoSpaceDN w:val="0"/>
        <w:adjustRightInd w:val="0"/>
        <w:snapToGrid w:val="0"/>
        <w:spacing w:before="156" w:beforeLines="50" w:after="156" w:afterLines="50" w:line="300" w:lineRule="auto"/>
        <w:jc w:val="both"/>
        <w:rPr>
          <w:rFonts w:eastAsia="黑体" w:cs="Times New Roman"/>
          <w:b w:val="0"/>
          <w:sz w:val="21"/>
        </w:rPr>
      </w:pPr>
      <w:r>
        <w:rPr>
          <w:rFonts w:hint="eastAsia" w:eastAsia="黑体" w:cs="Times New Roman"/>
          <w:b w:val="0"/>
          <w:sz w:val="21"/>
        </w:rPr>
        <w:t>1　范围</w:t>
      </w:r>
    </w:p>
    <w:p>
      <w:pPr>
        <w:widowControl/>
        <w:spacing w:line="30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本部分规定了化妆品理化检验方法的相关要求。</w:t>
      </w:r>
    </w:p>
    <w:p>
      <w:pPr>
        <w:widowControl/>
        <w:spacing w:line="30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本部分适用于化妆品理化检验方法。</w:t>
      </w:r>
    </w:p>
    <w:p>
      <w:pPr>
        <w:pStyle w:val="2"/>
        <w:autoSpaceDE w:val="0"/>
        <w:autoSpaceDN w:val="0"/>
        <w:adjustRightInd w:val="0"/>
        <w:snapToGrid w:val="0"/>
        <w:spacing w:before="156" w:beforeLines="50" w:after="156" w:afterLines="50" w:line="300" w:lineRule="auto"/>
        <w:jc w:val="both"/>
        <w:rPr>
          <w:rFonts w:eastAsia="黑体" w:cs="Times New Roman"/>
          <w:b w:val="0"/>
          <w:sz w:val="21"/>
        </w:rPr>
      </w:pPr>
      <w:r>
        <w:rPr>
          <w:rFonts w:hint="eastAsia" w:eastAsia="黑体" w:cs="Times New Roman"/>
          <w:b w:val="0"/>
          <w:sz w:val="21"/>
        </w:rPr>
        <w:t>2　术语和定义</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2.1　方法检出限</w:t>
      </w:r>
    </w:p>
    <w:p>
      <w:pPr>
        <w:widowControl/>
        <w:spacing w:line="30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样品中被测原料能被检测出的最低浓度或质量。</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2.2　方法定量下限</w:t>
      </w:r>
      <w:r>
        <w:rPr>
          <w:rFonts w:hint="eastAsia" w:ascii="Times New Roman" w:hAnsi="Times New Roman" w:eastAsia="宋体" w:cs="Times New Roman"/>
          <w:color w:val="000000"/>
          <w:kern w:val="0"/>
          <w:szCs w:val="21"/>
        </w:rPr>
        <w:tab/>
      </w:r>
    </w:p>
    <w:p>
      <w:pPr>
        <w:widowControl/>
        <w:spacing w:line="30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样品中能够对被测原料准确定量的最低浓度或质量。</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2.3　检出浓度</w:t>
      </w:r>
    </w:p>
    <w:p>
      <w:pPr>
        <w:widowControl/>
        <w:spacing w:line="30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按规范方法操作时，方法检出限对应的被测原料浓度。</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2.4　最低定量浓度</w:t>
      </w:r>
    </w:p>
    <w:p>
      <w:pPr>
        <w:widowControl/>
        <w:spacing w:line="30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按规范方法操作时，方法定量下限对应的被测原料浓度。</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2.5　质控样品</w:t>
      </w:r>
    </w:p>
    <w:p>
      <w:pPr>
        <w:widowControl/>
        <w:spacing w:line="30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已知样品成分含量、可用于重复性测试及控制测试过程准确度的样品。</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2.6　分析批</w:t>
      </w:r>
    </w:p>
    <w:p>
      <w:pPr>
        <w:widowControl/>
        <w:spacing w:line="30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由同一操作人员，使用相同的实验程序和试剂，在同一台仪器上连续地对一组被测样品和质控样品进行的系列分析。</w:t>
      </w:r>
    </w:p>
    <w:p>
      <w:pPr>
        <w:pStyle w:val="2"/>
        <w:autoSpaceDE w:val="0"/>
        <w:autoSpaceDN w:val="0"/>
        <w:adjustRightInd w:val="0"/>
        <w:snapToGrid w:val="0"/>
        <w:spacing w:before="156" w:beforeLines="50" w:after="156" w:afterLines="50" w:line="300" w:lineRule="auto"/>
        <w:jc w:val="both"/>
        <w:rPr>
          <w:rFonts w:eastAsia="黑体" w:cs="Times New Roman"/>
          <w:b w:val="0"/>
          <w:sz w:val="21"/>
        </w:rPr>
      </w:pPr>
      <w:r>
        <w:rPr>
          <w:rFonts w:hint="eastAsia" w:eastAsia="黑体" w:cs="Times New Roman"/>
          <w:b w:val="0"/>
          <w:sz w:val="21"/>
        </w:rPr>
        <w:t>3　试剂和材料</w:t>
      </w:r>
    </w:p>
    <w:p>
      <w:pPr>
        <w:widowControl/>
        <w:spacing w:line="30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凡未明确指明规格的试剂，均指分析纯（AR）级别。如需其他规格，将另行说明，但指示剂和生物染料不区分规格。若试液的配制未指明溶剂，则默认使用试验用水配制。</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3.1　试剂要求</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3.1.1</w:t>
      </w:r>
      <w:r>
        <w:rPr>
          <w:rFonts w:hint="eastAsia" w:ascii="Times New Roman" w:hAnsi="Times New Roman" w:eastAsia="宋体" w:cs="Times New Roman"/>
          <w:kern w:val="0"/>
          <w:szCs w:val="21"/>
        </w:rPr>
        <w:t xml:space="preserve"> 试验用水和试剂应符合检验方法要求。应根据检验方法以及检验结果准确度等要求选用不同等级的化学试剂。</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3.1.2</w:t>
      </w:r>
      <w:r>
        <w:rPr>
          <w:rFonts w:hint="eastAsia" w:ascii="Times New Roman" w:hAnsi="Times New Roman" w:eastAsia="宋体" w:cs="Times New Roman"/>
          <w:kern w:val="0"/>
          <w:szCs w:val="21"/>
        </w:rPr>
        <w:t xml:space="preserve"> 检验方法中未指明具体浓度的硫酸、硝酸、盐酸、氨水等试剂，均指市售规格的浓度（见表1），必要时需进行技术验收以确保其适用性。</w:t>
      </w:r>
    </w:p>
    <w:p>
      <w:pPr>
        <w:autoSpaceDE w:val="0"/>
        <w:autoSpaceDN w:val="0"/>
        <w:adjustRightInd w:val="0"/>
        <w:snapToGrid w:val="0"/>
        <w:spacing w:before="156" w:beforeLines="50" w:after="156" w:afterLines="50" w:line="300" w:lineRule="auto"/>
        <w:jc w:val="center"/>
        <w:rPr>
          <w:rFonts w:ascii="黑体" w:hAnsi="黑体" w:eastAsia="黑体" w:cs="黑体"/>
          <w:color w:val="000000"/>
          <w:szCs w:val="21"/>
        </w:rPr>
      </w:pPr>
      <w:r>
        <w:rPr>
          <w:rFonts w:hint="eastAsia" w:ascii="黑体" w:hAnsi="黑体" w:eastAsia="黑体" w:cs="黑体"/>
          <w:color w:val="000000"/>
          <w:szCs w:val="21"/>
        </w:rPr>
        <w:t>表</w:t>
      </w:r>
      <w:r>
        <w:rPr>
          <w:rFonts w:ascii="Times New Roman" w:hAnsi="Times New Roman" w:eastAsia="黑体" w:cs="Times New Roman"/>
          <w:color w:val="000000"/>
          <w:szCs w:val="21"/>
        </w:rPr>
        <w:t>1</w:t>
      </w:r>
      <w:r>
        <w:rPr>
          <w:rFonts w:hint="eastAsia" w:ascii="黑体" w:hAnsi="黑体" w:eastAsia="黑体" w:cs="黑体"/>
          <w:color w:val="000000"/>
          <w:szCs w:val="21"/>
        </w:rPr>
        <w:t xml:space="preserve"> 常用酸碱信息表</w:t>
      </w:r>
    </w:p>
    <w:tbl>
      <w:tblPr>
        <w:tblStyle w:val="7"/>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0"/>
        <w:gridCol w:w="1416"/>
        <w:gridCol w:w="1812"/>
        <w:gridCol w:w="215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40" w:type="dxa"/>
            <w:tcBorders>
              <w:bottom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试剂名称</w:t>
            </w:r>
          </w:p>
        </w:tc>
        <w:tc>
          <w:tcPr>
            <w:tcW w:w="1416" w:type="dxa"/>
            <w:tcBorders>
              <w:bottom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分子式</w:t>
            </w:r>
          </w:p>
        </w:tc>
        <w:tc>
          <w:tcPr>
            <w:tcW w:w="1812" w:type="dxa"/>
            <w:tcBorders>
              <w:bottom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相对分子质量</w:t>
            </w:r>
          </w:p>
        </w:tc>
        <w:tc>
          <w:tcPr>
            <w:tcW w:w="2152" w:type="dxa"/>
            <w:tcBorders>
              <w:bottom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含量（质量分数）%</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40" w:type="dxa"/>
            <w:tcBorders>
              <w:top w:val="single" w:color="auto" w:sz="4" w:space="0"/>
              <w:bottom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冰乙酸</w:t>
            </w:r>
          </w:p>
        </w:tc>
        <w:tc>
          <w:tcPr>
            <w:tcW w:w="1416" w:type="dxa"/>
            <w:tcBorders>
              <w:top w:val="single" w:color="auto" w:sz="4" w:space="0"/>
              <w:bottom w:val="nil"/>
            </w:tcBorders>
            <w:vAlign w:val="center"/>
          </w:tcPr>
          <w:p>
            <w:pPr>
              <w:jc w:val="center"/>
              <w:rPr>
                <w:rFonts w:ascii="Times New Roman" w:hAnsi="Times New Roman" w:eastAsia="宋体" w:cs="Times New Roman"/>
                <w:szCs w:val="21"/>
                <w:vertAlign w:val="subscript"/>
              </w:rPr>
            </w:pPr>
            <w:r>
              <w:rPr>
                <w:rFonts w:ascii="Times New Roman" w:hAnsi="Times New Roman" w:eastAsia="宋体" w:cs="Times New Roman"/>
                <w:szCs w:val="21"/>
              </w:rPr>
              <w:t>CH</w:t>
            </w:r>
            <w:r>
              <w:rPr>
                <w:rFonts w:ascii="Times New Roman" w:hAnsi="Times New Roman" w:eastAsia="宋体" w:cs="Times New Roman"/>
                <w:szCs w:val="21"/>
                <w:vertAlign w:val="subscript"/>
              </w:rPr>
              <w:t>3</w:t>
            </w:r>
            <w:r>
              <w:rPr>
                <w:rFonts w:ascii="Times New Roman" w:hAnsi="Times New Roman" w:eastAsia="宋体" w:cs="Times New Roman"/>
                <w:szCs w:val="21"/>
              </w:rPr>
              <w:t>COOH</w:t>
            </w:r>
          </w:p>
        </w:tc>
        <w:tc>
          <w:tcPr>
            <w:tcW w:w="1812" w:type="dxa"/>
            <w:tcBorders>
              <w:top w:val="single" w:color="auto" w:sz="4" w:space="0"/>
              <w:bottom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60.05</w:t>
            </w:r>
          </w:p>
        </w:tc>
        <w:tc>
          <w:tcPr>
            <w:tcW w:w="2152" w:type="dxa"/>
            <w:tcBorders>
              <w:top w:val="single" w:color="auto" w:sz="4" w:space="0"/>
              <w:bottom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99.5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40" w:type="dxa"/>
            <w:tcBorders>
              <w:top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乙酸</w:t>
            </w:r>
          </w:p>
        </w:tc>
        <w:tc>
          <w:tcPr>
            <w:tcW w:w="1416" w:type="dxa"/>
            <w:tcBorders>
              <w:top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CH</w:t>
            </w:r>
            <w:r>
              <w:rPr>
                <w:rFonts w:ascii="Times New Roman" w:hAnsi="Times New Roman" w:eastAsia="宋体" w:cs="Times New Roman"/>
                <w:szCs w:val="21"/>
                <w:vertAlign w:val="subscript"/>
              </w:rPr>
              <w:t>3</w:t>
            </w:r>
            <w:r>
              <w:rPr>
                <w:rFonts w:ascii="Times New Roman" w:hAnsi="Times New Roman" w:eastAsia="宋体" w:cs="Times New Roman"/>
                <w:szCs w:val="21"/>
              </w:rPr>
              <w:t>COOH</w:t>
            </w:r>
          </w:p>
        </w:tc>
        <w:tc>
          <w:tcPr>
            <w:tcW w:w="1812" w:type="dxa"/>
            <w:tcBorders>
              <w:top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60.05</w:t>
            </w:r>
          </w:p>
        </w:tc>
        <w:tc>
          <w:tcPr>
            <w:tcW w:w="2152" w:type="dxa"/>
            <w:tcBorders>
              <w:top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144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甲酸</w:t>
            </w:r>
          </w:p>
        </w:tc>
        <w:tc>
          <w:tcPr>
            <w:tcW w:w="141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HCOOH</w:t>
            </w:r>
          </w:p>
        </w:tc>
        <w:tc>
          <w:tcPr>
            <w:tcW w:w="181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46.02</w:t>
            </w:r>
          </w:p>
        </w:tc>
        <w:tc>
          <w:tcPr>
            <w:tcW w:w="215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4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盐酸</w:t>
            </w:r>
          </w:p>
        </w:tc>
        <w:tc>
          <w:tcPr>
            <w:tcW w:w="141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HCl</w:t>
            </w:r>
          </w:p>
        </w:tc>
        <w:tc>
          <w:tcPr>
            <w:tcW w:w="181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36.46</w:t>
            </w:r>
          </w:p>
        </w:tc>
        <w:tc>
          <w:tcPr>
            <w:tcW w:w="215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36～38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4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硝酸</w:t>
            </w:r>
          </w:p>
        </w:tc>
        <w:tc>
          <w:tcPr>
            <w:tcW w:w="141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HNO</w:t>
            </w:r>
            <w:r>
              <w:rPr>
                <w:rFonts w:ascii="Times New Roman" w:hAnsi="Times New Roman" w:eastAsia="宋体" w:cs="Times New Roman"/>
                <w:szCs w:val="21"/>
                <w:vertAlign w:val="subscript"/>
              </w:rPr>
              <w:t>3</w:t>
            </w:r>
          </w:p>
        </w:tc>
        <w:tc>
          <w:tcPr>
            <w:tcW w:w="181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63.02</w:t>
            </w:r>
          </w:p>
        </w:tc>
        <w:tc>
          <w:tcPr>
            <w:tcW w:w="215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65～68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4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高氯酸</w:t>
            </w:r>
          </w:p>
        </w:tc>
        <w:tc>
          <w:tcPr>
            <w:tcW w:w="141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HClO</w:t>
            </w:r>
            <w:r>
              <w:rPr>
                <w:rFonts w:ascii="Times New Roman" w:hAnsi="Times New Roman" w:eastAsia="宋体" w:cs="Times New Roman"/>
                <w:szCs w:val="21"/>
                <w:vertAlign w:val="subscript"/>
              </w:rPr>
              <w:t>4</w:t>
            </w:r>
          </w:p>
        </w:tc>
        <w:tc>
          <w:tcPr>
            <w:tcW w:w="181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100.5</w:t>
            </w:r>
          </w:p>
        </w:tc>
        <w:tc>
          <w:tcPr>
            <w:tcW w:w="215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144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磷酸</w:t>
            </w:r>
          </w:p>
        </w:tc>
        <w:tc>
          <w:tcPr>
            <w:tcW w:w="141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H</w:t>
            </w:r>
            <w:r>
              <w:rPr>
                <w:rFonts w:ascii="Times New Roman" w:hAnsi="Times New Roman" w:eastAsia="宋体" w:cs="Times New Roman"/>
                <w:szCs w:val="21"/>
                <w:vertAlign w:val="subscript"/>
              </w:rPr>
              <w:t>3</w:t>
            </w:r>
            <w:r>
              <w:rPr>
                <w:rFonts w:ascii="Times New Roman" w:hAnsi="Times New Roman" w:eastAsia="宋体" w:cs="Times New Roman"/>
                <w:szCs w:val="21"/>
              </w:rPr>
              <w:t>PO</w:t>
            </w:r>
            <w:r>
              <w:rPr>
                <w:rFonts w:ascii="Times New Roman" w:hAnsi="Times New Roman" w:eastAsia="宋体" w:cs="Times New Roman"/>
                <w:szCs w:val="21"/>
                <w:vertAlign w:val="subscript"/>
              </w:rPr>
              <w:t>4</w:t>
            </w:r>
          </w:p>
        </w:tc>
        <w:tc>
          <w:tcPr>
            <w:tcW w:w="181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98.00</w:t>
            </w:r>
          </w:p>
        </w:tc>
        <w:tc>
          <w:tcPr>
            <w:tcW w:w="215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85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4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硫酸</w:t>
            </w:r>
          </w:p>
        </w:tc>
        <w:tc>
          <w:tcPr>
            <w:tcW w:w="141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SO</w:t>
            </w:r>
            <w:r>
              <w:rPr>
                <w:rFonts w:ascii="Times New Roman" w:hAnsi="Times New Roman" w:eastAsia="宋体" w:cs="Times New Roman"/>
                <w:szCs w:val="21"/>
                <w:vertAlign w:val="subscript"/>
              </w:rPr>
              <w:t>4</w:t>
            </w:r>
          </w:p>
        </w:tc>
        <w:tc>
          <w:tcPr>
            <w:tcW w:w="181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98.08</w:t>
            </w:r>
          </w:p>
        </w:tc>
        <w:tc>
          <w:tcPr>
            <w:tcW w:w="215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96～98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40" w:type="dxa"/>
            <w:tcBorders>
              <w:bottom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氨水</w:t>
            </w:r>
          </w:p>
        </w:tc>
        <w:tc>
          <w:tcPr>
            <w:tcW w:w="1416" w:type="dxa"/>
            <w:tcBorders>
              <w:bottom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NH</w:t>
            </w:r>
            <w:r>
              <w:rPr>
                <w:rFonts w:ascii="Times New Roman" w:hAnsi="Times New Roman" w:eastAsia="宋体" w:cs="Times New Roman"/>
                <w:szCs w:val="21"/>
                <w:vertAlign w:val="subscript"/>
              </w:rPr>
              <w:t>3</w:t>
            </w:r>
            <w:r>
              <w:rPr>
                <w:rFonts w:hint="eastAsia" w:ascii="Times New Roman" w:hAnsi="Times New Roman" w:eastAsia="宋体" w:cs="Times New Roman"/>
                <w:szCs w:val="21"/>
              </w:rPr>
              <w:t>+</w:t>
            </w: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O</w:t>
            </w:r>
          </w:p>
        </w:tc>
        <w:tc>
          <w:tcPr>
            <w:tcW w:w="1812" w:type="dxa"/>
            <w:tcBorders>
              <w:bottom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17.03（以NH</w:t>
            </w:r>
            <w:r>
              <w:rPr>
                <w:rFonts w:ascii="Times New Roman" w:hAnsi="Times New Roman" w:eastAsia="宋体" w:cs="Times New Roman"/>
                <w:szCs w:val="21"/>
                <w:vertAlign w:val="subscript"/>
              </w:rPr>
              <w:t>3</w:t>
            </w:r>
            <w:r>
              <w:rPr>
                <w:rFonts w:hint="eastAsia" w:ascii="Times New Roman" w:hAnsi="Times New Roman" w:eastAsia="宋体" w:cs="Times New Roman"/>
                <w:szCs w:val="21"/>
              </w:rPr>
              <w:t>计）</w:t>
            </w:r>
          </w:p>
        </w:tc>
        <w:tc>
          <w:tcPr>
            <w:tcW w:w="2152" w:type="dxa"/>
            <w:tcBorders>
              <w:bottom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25～28</w:t>
            </w:r>
          </w:p>
        </w:tc>
      </w:tr>
    </w:tbl>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3.2　试剂储存</w:t>
      </w:r>
    </w:p>
    <w:p>
      <w:pPr>
        <w:widowControl/>
        <w:spacing w:line="30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试剂储存容器通常使用硬质玻璃材质的试剂瓶。对于强碱液和无机元素溶液，宜采用聚乙烯试剂瓶存放。光敏试剂应贮存于棕色或黑色试剂瓶中。</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3.3　标准品和标准溶液</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3.3.1</w:t>
      </w:r>
      <w:r>
        <w:rPr>
          <w:rFonts w:hint="eastAsia" w:ascii="Times New Roman" w:hAnsi="Times New Roman" w:eastAsia="宋体" w:cs="Times New Roman"/>
          <w:kern w:val="0"/>
          <w:szCs w:val="21"/>
        </w:rPr>
        <w:t xml:space="preserve"> 标准品的选择应满足检验方法中对标准品纯度和等级的要求。标准品宜选用具有标准物质证书或等效证明文件的产品。</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3.3.2</w:t>
      </w:r>
      <w:r>
        <w:rPr>
          <w:rFonts w:hint="eastAsia" w:ascii="Times New Roman" w:hAnsi="Times New Roman" w:eastAsia="宋体" w:cs="Times New Roman"/>
          <w:kern w:val="0"/>
          <w:szCs w:val="21"/>
        </w:rPr>
        <w:t xml:space="preserve"> 标准中间溶液和标准工作溶液的配制应遵循逐级稀释的原则，单级稀释不宜超过100倍。 </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3.4　实验材料</w:t>
      </w:r>
    </w:p>
    <w:p>
      <w:pPr>
        <w:widowControl/>
        <w:spacing w:line="30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实验材料的性能应满足检验方法的规定。对于可能对检验结果产生显著影响的材料，使用前应进行技术验收，以确保其适用性和可靠性。</w:t>
      </w:r>
    </w:p>
    <w:p>
      <w:pPr>
        <w:pStyle w:val="2"/>
        <w:autoSpaceDE w:val="0"/>
        <w:autoSpaceDN w:val="0"/>
        <w:adjustRightInd w:val="0"/>
        <w:snapToGrid w:val="0"/>
        <w:spacing w:before="156" w:beforeLines="50" w:after="156" w:afterLines="50" w:line="300" w:lineRule="auto"/>
        <w:jc w:val="both"/>
        <w:rPr>
          <w:rFonts w:eastAsia="黑体" w:cs="Times New Roman"/>
          <w:b w:val="0"/>
          <w:sz w:val="21"/>
        </w:rPr>
      </w:pPr>
      <w:r>
        <w:rPr>
          <w:rFonts w:hint="eastAsia" w:eastAsia="黑体" w:cs="Times New Roman"/>
          <w:b w:val="0"/>
          <w:sz w:val="21"/>
        </w:rPr>
        <w:t>4　量具及仪器设备要求</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4.1　性能参数确认</w:t>
      </w:r>
    </w:p>
    <w:p>
      <w:pPr>
        <w:widowControl/>
        <w:spacing w:line="30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仪器设备投入使用前，应依据检验方法技术要求，对其关键性能参数（如量程、灵敏度等）进行确认，确保其满足方法规定的检验能力。</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4.2　量值溯源管理</w:t>
      </w:r>
    </w:p>
    <w:p>
      <w:pPr>
        <w:widowControl/>
        <w:spacing w:line="30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对检验结果准确性有直接影响的仪器设备（包括量器、温控装置及检验类仪器），应满足计量溯源管理要求。</w:t>
      </w:r>
    </w:p>
    <w:p>
      <w:pPr>
        <w:pStyle w:val="2"/>
        <w:autoSpaceDE w:val="0"/>
        <w:autoSpaceDN w:val="0"/>
        <w:adjustRightInd w:val="0"/>
        <w:snapToGrid w:val="0"/>
        <w:spacing w:before="156" w:beforeLines="50" w:after="156" w:afterLines="50" w:line="300" w:lineRule="auto"/>
        <w:jc w:val="both"/>
        <w:rPr>
          <w:rFonts w:eastAsia="黑体" w:cs="Times New Roman"/>
          <w:b w:val="0"/>
          <w:sz w:val="21"/>
        </w:rPr>
      </w:pPr>
      <w:r>
        <w:rPr>
          <w:rFonts w:hint="eastAsia" w:eastAsia="黑体" w:cs="Times New Roman"/>
          <w:b w:val="0"/>
          <w:sz w:val="21"/>
        </w:rPr>
        <w:t>5　检验要求</w:t>
      </w:r>
    </w:p>
    <w:p>
      <w:pPr>
        <w:widowControl/>
        <w:spacing w:line="30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应按照检验方法中规定的分析步骤进行检验，同时应对试验过程中可能存在的不安全因素（如中毒、爆炸、腐蚀、烧伤等）采取必要的防护措施。</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5.1　称取、量取或吸取</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5.1.1 称取是指用天平进行的称量操作；量取是指用量筒、量杯、瓶口分液器等定量取液体的操作；吸取是指用单标线吸量管、分度吸量管，移液器等取液体的操作。</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5.1.2 称取﹑量取或吸取时，质量或体积精度应满足检验方法规定要求。</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5.1.3 称取的准确度要求用数值的有效数位表示，如</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称取5.0 g……</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指称量准确至4.95 ~5.05 g，</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称取5 g</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精确至0.01 g</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指称量精度为±0.01 g，称量范围宜控制在4.50 ~5.50 g；准确称取是指用精度为0.0001 g天平进行的称量操作；称取量为“约”若干时，系指称取量不应超过规定量的±10%。</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5.2　仪器测定条件</w:t>
      </w:r>
    </w:p>
    <w:p>
      <w:pPr>
        <w:widowControl/>
        <w:spacing w:line="30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检验方法中的仪器测定条件为参考条件，实验室可根据具体使用的仪器情况进行适当优化。所有调整不得改变分析原理或关键操作，且必要时须经过偏离验证。</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5.3　样品溶液的定量</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5.3.1</w:t>
      </w:r>
      <w:r>
        <w:rPr>
          <w:rFonts w:hint="eastAsia" w:ascii="Times New Roman" w:hAnsi="Times New Roman" w:eastAsia="宋体" w:cs="Times New Roman"/>
          <w:kern w:val="0"/>
          <w:szCs w:val="21"/>
        </w:rPr>
        <w:t xml:space="preserve"> 单点定量法，应确保样品溶液中被测原料的浓度与标准溶液浓度相近。</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5.3.2</w:t>
      </w:r>
      <w:r>
        <w:rPr>
          <w:rFonts w:hint="eastAsia" w:ascii="Times New Roman" w:hAnsi="Times New Roman" w:eastAsia="宋体" w:cs="Times New Roman"/>
          <w:kern w:val="0"/>
          <w:szCs w:val="21"/>
        </w:rPr>
        <w:t xml:space="preserve"> 标准曲线定量法</w:t>
      </w:r>
    </w:p>
    <w:p>
      <w:pPr>
        <w:widowControl/>
        <w:spacing w:line="30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样品溶液中被测原料浓度应在校准曲线的线性范围内。若超出校准曲线范围，可根据样品溶液浓度，调整样品溶液的稀释倍数或重新制作校准曲线。直接调整样品溶液浓度的处理方式，仅适用于外标标准曲线法；内标、基质匹配及基质加标标准曲线法均不得采用该方式，以免改变内标物或基质的相对浓度。</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5.4　空白试验</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5.4.1</w:t>
      </w:r>
      <w:r>
        <w:rPr>
          <w:rFonts w:hint="eastAsia" w:ascii="Times New Roman" w:hAnsi="Times New Roman" w:eastAsia="宋体" w:cs="Times New Roman"/>
          <w:kern w:val="0"/>
          <w:szCs w:val="21"/>
        </w:rPr>
        <w:t xml:space="preserve"> 在不加入试样的情况下，采用完全相同的分析步骤、试剂和用量，进行平行操作所得到的结果。通常要求空白试验的检验值应低于方法检出限。</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5</w:t>
      </w:r>
      <w:r>
        <w:rPr>
          <w:rFonts w:hint="eastAsia" w:ascii="Times New Roman" w:hAnsi="Times New Roman" w:eastAsia="宋体" w:cs="Times New Roman"/>
          <w:kern w:val="0"/>
          <w:szCs w:val="21"/>
        </w:rPr>
        <w:t>.4.2 如检验方法对空白试验的检验值有明确规定，则空白试验结果必须符合方法规定的要求。</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5.5　质量控制</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5.5.1</w:t>
      </w:r>
      <w:r>
        <w:rPr>
          <w:rFonts w:hint="eastAsia" w:ascii="Times New Roman" w:hAnsi="Times New Roman" w:eastAsia="宋体" w:cs="Times New Roman"/>
          <w:kern w:val="0"/>
          <w:szCs w:val="21"/>
        </w:rPr>
        <w:t xml:space="preserve"> 质量控制方法包括但不限于：平行试验、加标回收、留样复测、标准物质或质控样品测试。</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5.5.2</w:t>
      </w:r>
      <w:r>
        <w:rPr>
          <w:rFonts w:hint="eastAsia" w:ascii="Times New Roman" w:hAnsi="Times New Roman" w:eastAsia="宋体" w:cs="Times New Roman"/>
          <w:kern w:val="0"/>
          <w:szCs w:val="21"/>
        </w:rPr>
        <w:t xml:space="preserve"> 每个分析批次中必须至少采用一种质量控制方法来监控检验结果的可靠性。当质控结果未达到预期要求时，该分析批的所有检验结果均判定为无效。</w:t>
      </w:r>
    </w:p>
    <w:p>
      <w:pPr>
        <w:pStyle w:val="2"/>
        <w:autoSpaceDE w:val="0"/>
        <w:autoSpaceDN w:val="0"/>
        <w:adjustRightInd w:val="0"/>
        <w:snapToGrid w:val="0"/>
        <w:spacing w:before="156" w:beforeLines="50" w:after="156" w:afterLines="50" w:line="300" w:lineRule="auto"/>
        <w:jc w:val="both"/>
        <w:rPr>
          <w:rFonts w:eastAsia="黑体" w:cs="Times New Roman"/>
          <w:b w:val="0"/>
          <w:sz w:val="21"/>
        </w:rPr>
      </w:pPr>
      <w:r>
        <w:rPr>
          <w:rFonts w:hint="eastAsia" w:eastAsia="黑体" w:cs="Times New Roman"/>
          <w:b w:val="0"/>
          <w:sz w:val="21"/>
        </w:rPr>
        <w:t>6　样品的取样</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 xml:space="preserve">    实验室收到样品后应及时登记，并检查封口是否完好。取样时应重点考虑样品的代表性和均匀性，同时避免发生交叉污染、样品变质或被测原料降解等情况，以确保分析结果能真实反映样品的质量。开封后应迅速取出所需测定部分进行分析。取样完毕立即封闭容器，防止挥发、污染或成分降解。</w:t>
      </w:r>
    </w:p>
    <w:p>
      <w:pPr>
        <w:widowControl/>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对于含有两个及以上不同性状（如颜色、物理状态等）的独立单元，</w:t>
      </w:r>
      <w:r>
        <w:rPr>
          <w:rFonts w:hint="eastAsia" w:ascii="Times New Roman" w:hAnsi="Times New Roman" w:eastAsia="宋体" w:cs="Times New Roman"/>
          <w:kern w:val="0"/>
          <w:szCs w:val="21"/>
        </w:rPr>
        <w:t>原则上应分别取样检验；需调配使用的产品应按说明书比例混匀后测定，但若混合后发生化学反应（如氧化型染发剂）或状态改变影响检测结果，则需分别取样。</w:t>
      </w:r>
    </w:p>
    <w:p>
      <w:pPr>
        <w:widowControl/>
        <w:spacing w:line="30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如遇静电吸附难分离或规格过小导致取样量不足等问题，</w:t>
      </w:r>
      <w:r>
        <w:rPr>
          <w:rFonts w:ascii="Times New Roman" w:hAnsi="Times New Roman" w:eastAsia="宋体" w:cs="Times New Roman"/>
          <w:kern w:val="0"/>
          <w:szCs w:val="21"/>
        </w:rPr>
        <w:t>可采用</w:t>
      </w:r>
      <w:r>
        <w:rPr>
          <w:rFonts w:hint="eastAsia" w:ascii="Times New Roman" w:hAnsi="Times New Roman" w:eastAsia="宋体" w:cs="Times New Roman"/>
          <w:kern w:val="0"/>
          <w:szCs w:val="21"/>
        </w:rPr>
        <w:t>微量</w:t>
      </w:r>
      <w:r>
        <w:rPr>
          <w:rFonts w:ascii="Times New Roman" w:hAnsi="Times New Roman" w:eastAsia="宋体" w:cs="Times New Roman"/>
          <w:kern w:val="0"/>
          <w:szCs w:val="21"/>
        </w:rPr>
        <w:t>采样器具、负压采样或溶剂转移等特殊手段处理，但须详尽记录操作流程及样品与检测结果间的定量换算关系</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如遇</w:t>
      </w:r>
      <w:r>
        <w:rPr>
          <w:rFonts w:hint="eastAsia" w:ascii="Times New Roman" w:hAnsi="Times New Roman" w:eastAsia="宋体" w:cs="Times New Roman"/>
          <w:kern w:val="0"/>
          <w:szCs w:val="21"/>
        </w:rPr>
        <w:t>其他</w:t>
      </w:r>
      <w:r>
        <w:rPr>
          <w:rFonts w:ascii="Times New Roman" w:hAnsi="Times New Roman" w:eastAsia="宋体" w:cs="Times New Roman"/>
          <w:kern w:val="0"/>
          <w:szCs w:val="21"/>
        </w:rPr>
        <w:t>常规方法</w:t>
      </w:r>
      <w:r>
        <w:rPr>
          <w:rFonts w:hint="eastAsia" w:ascii="Times New Roman" w:hAnsi="Times New Roman" w:eastAsia="宋体" w:cs="Times New Roman"/>
          <w:kern w:val="0"/>
          <w:szCs w:val="21"/>
        </w:rPr>
        <w:t>不适用</w:t>
      </w:r>
      <w:r>
        <w:rPr>
          <w:rFonts w:ascii="Times New Roman" w:hAnsi="Times New Roman" w:eastAsia="宋体" w:cs="Times New Roman"/>
          <w:kern w:val="0"/>
          <w:szCs w:val="21"/>
        </w:rPr>
        <w:t>的特殊包装样品，可参照其物理性状特征制定合理方案并予以记录。</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6.1　膏霜乳类样品：主要包括膏、霜、蜜、脂、乳、乳液、奶、奶液等产品。对于细颈容器内的样品，取样时应弃去至少1 cm最初移出的样品。对于广口容器内的样品，应刮弃样品表层，充分搅拌均匀后再行取样。</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6.2　液体类样品：主要包括露、液、水、油、油水分离等产品。应采取合适的振摇方式（剧烈或温和），使内容物混合均匀后再行取样。</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6.3　凝胶类样品：主要包括啫喱、胶等产品。参照6.1膏霜乳类样品的取样方法执行。</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6.4　粉剂类样品：主要包括散粉、颗粒等产品。打开前应猛烈振摇，使内容物混合均匀后称取测试部分。</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6.5　块状类样品：主要包括块状粉、大块固体等产品。应刮弃表面层后再取样，确保取样部位具有代表性。</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6.6　泥类样品：主要包括泥状固体等产品。应刮弃样品表层，充分搅拌均匀后取样。</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6.7　蜡基类样品：主要包括以蜡为主要基料的产品（如口红等）。应刮弃表面层后再取样。如需加热熔化取样的，应控制加热温度，避免被测原料降解。</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6.8　喷雾剂类样品：主要包括不含推进剂的喷雾产品。取样时应剧烈振摇使内容物充分混合均匀，喷出适量样品至洁净容器中，参照6.2液体类样品的取样方法进行测定。</w:t>
      </w:r>
    </w:p>
    <w:p>
      <w:pPr>
        <w:autoSpaceDE w:val="0"/>
        <w:autoSpaceDN w:val="0"/>
        <w:adjustRightInd w:val="0"/>
        <w:snapToGrid w:val="0"/>
        <w:spacing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6.9　气雾类样品：主要包括含有推进剂的产品。可根据检验需求选择以下两种取样方法。一般情况下优选方法一，挥发性有机物测定则优选方法二。方法仅供参考使用，可根据实验室内部要求和样品特点，进一步优化该取样方法或者采用其他方法进行检验。</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6.9.1 方法一取样操作步骤</w:t>
      </w:r>
    </w:p>
    <w:p>
      <w:pPr>
        <w:widowControl/>
        <w:numPr>
          <w:ilvl w:val="0"/>
          <w:numId w:val="1"/>
        </w:numPr>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取完整包装样品，去除易脱落部件，清洁外包装并摇匀，连接取样导管，称量样品总质量为</w:t>
      </w:r>
      <w:r>
        <w:rPr>
          <w:rFonts w:ascii="Times New Roman" w:hAnsi="Times New Roman" w:eastAsia="宋体" w:cs="Times New Roman"/>
          <w:i/>
          <w:iCs/>
          <w:kern w:val="0"/>
          <w:szCs w:val="21"/>
        </w:rPr>
        <w:t>M</w:t>
      </w:r>
      <w:r>
        <w:rPr>
          <w:rFonts w:ascii="Times New Roman" w:hAnsi="Times New Roman" w:eastAsia="宋体" w:cs="Times New Roman"/>
          <w:i/>
          <w:iCs/>
          <w:kern w:val="0"/>
          <w:szCs w:val="21"/>
          <w:vertAlign w:val="subscript"/>
        </w:rPr>
        <w:t>1</w:t>
      </w:r>
      <w:r>
        <w:rPr>
          <w:rFonts w:ascii="Times New Roman" w:hAnsi="Times New Roman" w:eastAsia="宋体" w:cs="Times New Roman"/>
          <w:kern w:val="0"/>
          <w:szCs w:val="21"/>
        </w:rPr>
        <w:t xml:space="preserve">。 </w:t>
      </w:r>
    </w:p>
    <w:p>
      <w:pPr>
        <w:widowControl/>
        <w:numPr>
          <w:ilvl w:val="0"/>
          <w:numId w:val="1"/>
        </w:numPr>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将样品完全喷出至已称定质量（</w:t>
      </w:r>
      <w:r>
        <w:rPr>
          <w:rFonts w:ascii="Times New Roman" w:hAnsi="Times New Roman" w:eastAsia="宋体" w:cs="Times New Roman"/>
          <w:i/>
          <w:iCs/>
          <w:kern w:val="0"/>
          <w:szCs w:val="21"/>
        </w:rPr>
        <w:t>M</w:t>
      </w:r>
      <w:r>
        <w:rPr>
          <w:rFonts w:ascii="Times New Roman" w:hAnsi="Times New Roman" w:eastAsia="宋体" w:cs="Times New Roman"/>
          <w:i/>
          <w:iCs/>
          <w:kern w:val="0"/>
          <w:szCs w:val="21"/>
          <w:vertAlign w:val="subscript"/>
        </w:rPr>
        <w:t>3</w:t>
      </w:r>
      <w:r>
        <w:rPr>
          <w:rFonts w:ascii="Times New Roman" w:hAnsi="Times New Roman" w:eastAsia="宋体" w:cs="Times New Roman"/>
          <w:kern w:val="0"/>
          <w:szCs w:val="21"/>
        </w:rPr>
        <w:t>）的洁净烧杯或具塞试管底部，避免样品损失，称量外包装和取样导管的质量为</w:t>
      </w:r>
      <w:r>
        <w:rPr>
          <w:rFonts w:ascii="Times New Roman" w:hAnsi="Times New Roman" w:eastAsia="宋体" w:cs="Times New Roman"/>
          <w:i/>
          <w:iCs/>
          <w:kern w:val="0"/>
          <w:szCs w:val="21"/>
        </w:rPr>
        <w:t>M</w:t>
      </w:r>
      <w:r>
        <w:rPr>
          <w:rFonts w:ascii="Times New Roman" w:hAnsi="Times New Roman" w:eastAsia="宋体" w:cs="Times New Roman"/>
          <w:i/>
          <w:iCs/>
          <w:kern w:val="0"/>
          <w:szCs w:val="21"/>
          <w:vertAlign w:val="subscript"/>
        </w:rPr>
        <w:t>2</w:t>
      </w:r>
      <w:r>
        <w:rPr>
          <w:rFonts w:ascii="Times New Roman" w:hAnsi="Times New Roman" w:eastAsia="宋体" w:cs="Times New Roman"/>
          <w:kern w:val="0"/>
          <w:szCs w:val="21"/>
        </w:rPr>
        <w:t xml:space="preserve">。 </w:t>
      </w:r>
    </w:p>
    <w:p>
      <w:pPr>
        <w:widowControl/>
        <w:numPr>
          <w:ilvl w:val="0"/>
          <w:numId w:val="1"/>
        </w:numPr>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将上述装有样品的容器置于通风橱内，超声10 min，排除残余推进剂，称量总质量为</w:t>
      </w:r>
      <w:r>
        <w:rPr>
          <w:rFonts w:ascii="Times New Roman" w:hAnsi="Times New Roman" w:eastAsia="宋体" w:cs="Times New Roman"/>
          <w:i/>
          <w:iCs/>
          <w:kern w:val="0"/>
          <w:szCs w:val="21"/>
        </w:rPr>
        <w:t>M</w:t>
      </w:r>
      <w:r>
        <w:rPr>
          <w:rFonts w:ascii="Times New Roman" w:hAnsi="Times New Roman" w:eastAsia="宋体" w:cs="Times New Roman"/>
          <w:i/>
          <w:iCs/>
          <w:kern w:val="0"/>
          <w:szCs w:val="21"/>
          <w:vertAlign w:val="subscript"/>
        </w:rPr>
        <w:t>4</w:t>
      </w:r>
      <w:r>
        <w:rPr>
          <w:rFonts w:ascii="Times New Roman" w:hAnsi="Times New Roman" w:eastAsia="宋体" w:cs="Times New Roman"/>
          <w:kern w:val="0"/>
          <w:szCs w:val="21"/>
        </w:rPr>
        <w:t>。按检验方法进行称取及前处理，用于被测原料百分含量</w:t>
      </w:r>
      <w:r>
        <w:rPr>
          <w:rFonts w:ascii="Times New Roman" w:hAnsi="Times New Roman" w:eastAsia="宋体" w:cs="Times New Roman"/>
          <w:i/>
          <w:iCs/>
          <w:kern w:val="0"/>
          <w:szCs w:val="21"/>
        </w:rPr>
        <w:t>ω</w:t>
      </w:r>
      <w:r>
        <w:rPr>
          <w:rFonts w:ascii="Times New Roman" w:hAnsi="Times New Roman" w:eastAsia="宋体" w:cs="Times New Roman"/>
          <w:i/>
          <w:iCs/>
          <w:kern w:val="0"/>
          <w:szCs w:val="21"/>
          <w:vertAlign w:val="subscript"/>
        </w:rPr>
        <w:t>1</w:t>
      </w:r>
      <w:r>
        <w:rPr>
          <w:rFonts w:ascii="Times New Roman" w:hAnsi="Times New Roman" w:eastAsia="宋体" w:cs="Times New Roman"/>
          <w:kern w:val="0"/>
          <w:szCs w:val="21"/>
        </w:rPr>
        <w:t>测定。</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6.9.2 方法二取样操作步骤</w:t>
      </w:r>
    </w:p>
    <w:p>
      <w:pPr>
        <w:widowControl/>
        <w:numPr>
          <w:ilvl w:val="0"/>
          <w:numId w:val="2"/>
        </w:numPr>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取一罐试样，去除易脱落部件，清洁外包装，称量样品总质量为</w:t>
      </w:r>
      <w:r>
        <w:rPr>
          <w:rFonts w:ascii="Times New Roman" w:hAnsi="Times New Roman" w:eastAsia="宋体" w:cs="Times New Roman"/>
          <w:i/>
          <w:iCs/>
          <w:kern w:val="0"/>
          <w:szCs w:val="21"/>
        </w:rPr>
        <w:t>M</w:t>
      </w:r>
      <w:r>
        <w:rPr>
          <w:rFonts w:ascii="Times New Roman" w:hAnsi="Times New Roman" w:eastAsia="宋体" w:cs="Times New Roman"/>
          <w:i/>
          <w:iCs/>
          <w:kern w:val="0"/>
          <w:szCs w:val="21"/>
          <w:vertAlign w:val="subscript"/>
        </w:rPr>
        <w:t>1</w:t>
      </w:r>
      <w:r>
        <w:rPr>
          <w:rFonts w:ascii="Times New Roman" w:hAnsi="Times New Roman" w:eastAsia="宋体" w:cs="Times New Roman"/>
          <w:kern w:val="0"/>
          <w:szCs w:val="21"/>
        </w:rPr>
        <w:t>，置于-20</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℃冷冻约1</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h。</w:t>
      </w:r>
    </w:p>
    <w:p>
      <w:pPr>
        <w:widowControl/>
        <w:numPr>
          <w:ilvl w:val="0"/>
          <w:numId w:val="2"/>
        </w:numPr>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将试样置于通风橱内，保持静止，在罐顶开一约0.2</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mm直径的小孔，使推进剂缓慢挥发。待推进剂挥发完毕后扩大开口，将内容物倒入已称重为</w:t>
      </w:r>
      <w:r>
        <w:rPr>
          <w:rFonts w:ascii="Times New Roman" w:hAnsi="Times New Roman" w:eastAsia="宋体" w:cs="Times New Roman"/>
          <w:i/>
          <w:iCs/>
          <w:kern w:val="0"/>
          <w:szCs w:val="21"/>
        </w:rPr>
        <w:t>M</w:t>
      </w:r>
      <w:r>
        <w:rPr>
          <w:rFonts w:ascii="Times New Roman" w:hAnsi="Times New Roman" w:eastAsia="宋体" w:cs="Times New Roman"/>
          <w:i/>
          <w:iCs/>
          <w:kern w:val="0"/>
          <w:szCs w:val="21"/>
          <w:vertAlign w:val="subscript"/>
        </w:rPr>
        <w:t>3</w:t>
      </w:r>
      <w:r>
        <w:rPr>
          <w:rFonts w:ascii="Times New Roman" w:hAnsi="Times New Roman" w:eastAsia="宋体" w:cs="Times New Roman"/>
          <w:kern w:val="0"/>
          <w:szCs w:val="21"/>
        </w:rPr>
        <w:t>的带冷凝管三角瓶中。用水（必要时用热水）彻底清洗样品瓶内部，擦干后置烘箱中于 105</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℃烘干，称量空罐质量为</w:t>
      </w:r>
      <w:r>
        <w:rPr>
          <w:rFonts w:ascii="Times New Roman" w:hAnsi="Times New Roman" w:eastAsia="宋体" w:cs="Times New Roman"/>
          <w:i/>
          <w:iCs/>
          <w:kern w:val="0"/>
          <w:szCs w:val="21"/>
        </w:rPr>
        <w:t>M</w:t>
      </w:r>
      <w:r>
        <w:rPr>
          <w:rFonts w:ascii="Times New Roman" w:hAnsi="Times New Roman" w:eastAsia="宋体" w:cs="Times New Roman"/>
          <w:i/>
          <w:iCs/>
          <w:kern w:val="0"/>
          <w:szCs w:val="21"/>
          <w:vertAlign w:val="subscript"/>
        </w:rPr>
        <w:t>2</w:t>
      </w:r>
      <w:r>
        <w:rPr>
          <w:rFonts w:ascii="Times New Roman" w:hAnsi="Times New Roman" w:eastAsia="宋体" w:cs="Times New Roman"/>
          <w:kern w:val="0"/>
          <w:szCs w:val="21"/>
        </w:rPr>
        <w:t xml:space="preserve">。注意检查罐内是否有内容物挂壁、残留，尽量将内容物完全转移。 </w:t>
      </w:r>
    </w:p>
    <w:p>
      <w:pPr>
        <w:widowControl/>
        <w:numPr>
          <w:ilvl w:val="0"/>
          <w:numId w:val="2"/>
        </w:numPr>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将上述样品在50</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℃水浴中加热回流30 min，蒸发残余推进剂，称量总质量为</w:t>
      </w:r>
      <w:r>
        <w:rPr>
          <w:rFonts w:ascii="Times New Roman" w:hAnsi="Times New Roman" w:eastAsia="宋体" w:cs="Times New Roman"/>
          <w:i/>
          <w:iCs/>
          <w:kern w:val="0"/>
          <w:szCs w:val="21"/>
        </w:rPr>
        <w:t>M</w:t>
      </w:r>
      <w:r>
        <w:rPr>
          <w:rFonts w:ascii="Times New Roman" w:hAnsi="Times New Roman" w:eastAsia="宋体" w:cs="Times New Roman"/>
          <w:i/>
          <w:iCs/>
          <w:kern w:val="0"/>
          <w:szCs w:val="21"/>
          <w:vertAlign w:val="subscript"/>
        </w:rPr>
        <w:t>4</w:t>
      </w:r>
      <w:r>
        <w:rPr>
          <w:rFonts w:ascii="Times New Roman" w:hAnsi="Times New Roman" w:eastAsia="宋体" w:cs="Times New Roman"/>
          <w:kern w:val="0"/>
          <w:szCs w:val="21"/>
        </w:rPr>
        <w:t>。按检验方法进行称取及前处理，用于被测原料百分含量</w:t>
      </w:r>
      <w:r>
        <w:rPr>
          <w:rFonts w:ascii="Times New Roman" w:hAnsi="Times New Roman" w:eastAsia="宋体" w:cs="Times New Roman"/>
          <w:i/>
          <w:iCs/>
          <w:kern w:val="0"/>
          <w:szCs w:val="21"/>
        </w:rPr>
        <w:t>ω</w:t>
      </w:r>
      <w:r>
        <w:rPr>
          <w:rFonts w:ascii="Times New Roman" w:hAnsi="Times New Roman" w:eastAsia="宋体" w:cs="Times New Roman"/>
          <w:i/>
          <w:iCs/>
          <w:kern w:val="0"/>
          <w:szCs w:val="21"/>
          <w:vertAlign w:val="subscript"/>
        </w:rPr>
        <w:t>1</w:t>
      </w:r>
      <w:r>
        <w:rPr>
          <w:rFonts w:ascii="Times New Roman" w:hAnsi="Times New Roman" w:eastAsia="宋体" w:cs="Times New Roman"/>
          <w:kern w:val="0"/>
          <w:szCs w:val="21"/>
        </w:rPr>
        <w:t>测定。</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6.9.3 计算方法</w:t>
      </w:r>
    </w:p>
    <w:p>
      <w:pPr>
        <w:widowControl/>
        <w:numPr>
          <w:ilvl w:val="0"/>
          <w:numId w:val="3"/>
        </w:numPr>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若产品技术要求为含推进剂：</w:t>
      </w:r>
    </w:p>
    <w:p>
      <w:pPr>
        <w:widowControl/>
        <w:numPr>
          <w:ilvl w:val="255"/>
          <w:numId w:val="0"/>
        </w:numPr>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 xml:space="preserve">被测原料在完整样品中的含量计算公式为 </w:t>
      </w:r>
      <w:r>
        <w:rPr>
          <w:rFonts w:ascii="Times New Roman" w:hAnsi="Times New Roman" w:eastAsia="宋体" w:cs="Times New Roman"/>
          <w:i/>
          <w:iCs/>
          <w:kern w:val="0"/>
          <w:szCs w:val="21"/>
        </w:rPr>
        <w:t>ω = ω</w:t>
      </w:r>
      <w:r>
        <w:rPr>
          <w:rFonts w:ascii="Times New Roman" w:hAnsi="Times New Roman" w:eastAsia="宋体" w:cs="Times New Roman"/>
          <w:i/>
          <w:iCs/>
          <w:kern w:val="0"/>
          <w:szCs w:val="21"/>
          <w:vertAlign w:val="subscript"/>
        </w:rPr>
        <w:t>1</w:t>
      </w:r>
      <w:r>
        <w:rPr>
          <w:rFonts w:ascii="Times New Roman" w:hAnsi="Times New Roman" w:eastAsia="宋体" w:cs="Times New Roman"/>
          <w:i/>
          <w:iCs/>
          <w:kern w:val="0"/>
          <w:szCs w:val="21"/>
        </w:rPr>
        <w:t xml:space="preserve"> ×（M</w:t>
      </w:r>
      <w:r>
        <w:rPr>
          <w:rFonts w:ascii="Times New Roman" w:hAnsi="Times New Roman" w:eastAsia="宋体" w:cs="Times New Roman"/>
          <w:i/>
          <w:iCs/>
          <w:kern w:val="0"/>
          <w:szCs w:val="21"/>
          <w:vertAlign w:val="subscript"/>
        </w:rPr>
        <w:t>4</w:t>
      </w:r>
      <w:r>
        <w:rPr>
          <w:rFonts w:ascii="Times New Roman" w:hAnsi="Times New Roman" w:eastAsia="宋体" w:cs="Times New Roman"/>
          <w:i/>
          <w:iCs/>
          <w:kern w:val="0"/>
          <w:szCs w:val="21"/>
        </w:rPr>
        <w:t>-M</w:t>
      </w:r>
      <w:r>
        <w:rPr>
          <w:rFonts w:ascii="Times New Roman" w:hAnsi="Times New Roman" w:eastAsia="宋体" w:cs="Times New Roman"/>
          <w:i/>
          <w:iCs/>
          <w:kern w:val="0"/>
          <w:szCs w:val="21"/>
          <w:vertAlign w:val="subscript"/>
        </w:rPr>
        <w:t>3</w:t>
      </w:r>
      <w:r>
        <w:rPr>
          <w:rFonts w:ascii="Times New Roman" w:hAnsi="Times New Roman" w:eastAsia="宋体" w:cs="Times New Roman"/>
          <w:i/>
          <w:iCs/>
          <w:kern w:val="0"/>
          <w:szCs w:val="21"/>
        </w:rPr>
        <w:t>）/（M</w:t>
      </w:r>
      <w:r>
        <w:rPr>
          <w:rFonts w:ascii="Times New Roman" w:hAnsi="Times New Roman" w:eastAsia="宋体" w:cs="Times New Roman"/>
          <w:i/>
          <w:iCs/>
          <w:kern w:val="0"/>
          <w:szCs w:val="21"/>
          <w:vertAlign w:val="subscript"/>
        </w:rPr>
        <w:t>1</w:t>
      </w:r>
      <w:r>
        <w:rPr>
          <w:rFonts w:ascii="Times New Roman" w:hAnsi="Times New Roman" w:eastAsia="宋体" w:cs="Times New Roman"/>
          <w:i/>
          <w:iCs/>
          <w:kern w:val="0"/>
          <w:szCs w:val="21"/>
        </w:rPr>
        <w:t>-M</w:t>
      </w:r>
      <w:r>
        <w:rPr>
          <w:rFonts w:ascii="Times New Roman" w:hAnsi="Times New Roman" w:eastAsia="宋体" w:cs="Times New Roman"/>
          <w:i/>
          <w:iCs/>
          <w:kern w:val="0"/>
          <w:szCs w:val="21"/>
          <w:vertAlign w:val="subscript"/>
        </w:rPr>
        <w:t>2</w:t>
      </w:r>
      <w:r>
        <w:rPr>
          <w:rFonts w:ascii="Times New Roman" w:hAnsi="Times New Roman" w:eastAsia="宋体" w:cs="Times New Roman"/>
          <w:i/>
          <w:iCs/>
          <w:kern w:val="0"/>
          <w:szCs w:val="21"/>
        </w:rPr>
        <w:t>）</w:t>
      </w:r>
      <w:r>
        <w:rPr>
          <w:rFonts w:ascii="Times New Roman" w:hAnsi="Times New Roman" w:eastAsia="宋体" w:cs="Times New Roman"/>
          <w:kern w:val="0"/>
          <w:szCs w:val="21"/>
        </w:rPr>
        <w:t xml:space="preserve"> </w:t>
      </w:r>
    </w:p>
    <w:p>
      <w:pPr>
        <w:widowControl/>
        <w:numPr>
          <w:ilvl w:val="0"/>
          <w:numId w:val="3"/>
        </w:numPr>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若产品技术要求为不含推进剂：</w:t>
      </w:r>
    </w:p>
    <w:p>
      <w:pPr>
        <w:widowControl/>
        <w:numPr>
          <w:ilvl w:val="255"/>
          <w:numId w:val="0"/>
        </w:numPr>
        <w:spacing w:line="30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 xml:space="preserve">被测原料在完整样品中的含量计算公式为 </w:t>
      </w:r>
      <w:r>
        <w:rPr>
          <w:rFonts w:ascii="Times New Roman" w:hAnsi="Times New Roman" w:eastAsia="宋体" w:cs="Times New Roman"/>
          <w:i/>
          <w:iCs/>
          <w:kern w:val="0"/>
          <w:szCs w:val="21"/>
        </w:rPr>
        <w:t>ω = ω</w:t>
      </w:r>
      <w:r>
        <w:rPr>
          <w:rFonts w:ascii="Times New Roman" w:hAnsi="Times New Roman" w:eastAsia="宋体" w:cs="Times New Roman"/>
          <w:i/>
          <w:iCs/>
          <w:kern w:val="0"/>
          <w:szCs w:val="21"/>
          <w:vertAlign w:val="subscript"/>
        </w:rPr>
        <w:t>1</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6.10　贴、膜、含基材类样品：主要包括贴、膜、含配合化妆品使用的基材的产品。具体取样要求如下：</w:t>
      </w:r>
    </w:p>
    <w:p>
      <w:pPr>
        <w:widowControl/>
        <w:spacing w:line="30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6.10.1 贴、膜类样品</w:t>
      </w:r>
    </w:p>
    <w:p>
      <w:pPr>
        <w:autoSpaceDE w:val="0"/>
        <w:autoSpaceDN w:val="0"/>
        <w:adjustRightInd w:val="0"/>
        <w:snapToGrid w:val="0"/>
        <w:spacing w:line="30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液体与贴膜纸一体包装的产品，应揉搓包装袋，使液体充分浸润面膜纸并混合均匀后，挤出液体部分进行测定。</w:t>
      </w:r>
    </w:p>
    <w:p>
      <w:pPr>
        <w:widowControl/>
        <w:spacing w:line="30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6.10.2 含基材类样品</w:t>
      </w:r>
    </w:p>
    <w:p>
      <w:pPr>
        <w:autoSpaceDE w:val="0"/>
        <w:autoSpaceDN w:val="0"/>
        <w:adjustRightInd w:val="0"/>
        <w:snapToGrid w:val="0"/>
        <w:spacing w:line="30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对于含有化妆棉、刷头等基材的产品，应根据产品的具体形态，将基材与化妆品产品基质分离后取样。</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6.11</w:t>
      </w:r>
      <w:r>
        <w:rPr>
          <w:rFonts w:hint="eastAsia" w:ascii="Times New Roman" w:hAnsi="Times New Roman" w:eastAsia="宋体" w:cs="Times New Roman"/>
          <w:kern w:val="0"/>
          <w:szCs w:val="21"/>
        </w:rPr>
        <w:t>　冻干类样品</w:t>
      </w:r>
    </w:p>
    <w:p>
      <w:pPr>
        <w:autoSpaceDE w:val="0"/>
        <w:autoSpaceDN w:val="0"/>
        <w:adjustRightInd w:val="0"/>
        <w:snapToGrid w:val="0"/>
        <w:spacing w:line="30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主要包括冻干粉、冻干片等产品。取样前应检查包装的密封性，确保产品未受潮，开封后应立即取样，避免长时间暴露在空气中。冻干片应刮弃表面可能受污染的部分，取内部样品进行测定。</w:t>
      </w:r>
    </w:p>
    <w:p>
      <w:pPr>
        <w:pStyle w:val="2"/>
        <w:autoSpaceDE w:val="0"/>
        <w:autoSpaceDN w:val="0"/>
        <w:adjustRightInd w:val="0"/>
        <w:snapToGrid w:val="0"/>
        <w:spacing w:before="156" w:beforeLines="50" w:after="156" w:afterLines="50" w:line="300" w:lineRule="auto"/>
        <w:jc w:val="both"/>
        <w:rPr>
          <w:rFonts w:eastAsia="黑体" w:cs="Times New Roman"/>
          <w:b w:val="0"/>
          <w:sz w:val="21"/>
        </w:rPr>
      </w:pPr>
      <w:r>
        <w:rPr>
          <w:rFonts w:hint="eastAsia" w:eastAsia="黑体" w:cs="Times New Roman"/>
          <w:b w:val="0"/>
          <w:sz w:val="21"/>
        </w:rPr>
        <w:t>7　分析结果的表述方式</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7.1　浓度表示</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7.1.1 原料</w:t>
      </w:r>
      <w:r>
        <w:rPr>
          <w:rFonts w:ascii="Times New Roman" w:hAnsi="Times New Roman" w:eastAsia="宋体" w:cs="Times New Roman"/>
          <w:i/>
          <w:iCs/>
          <w:kern w:val="0"/>
          <w:szCs w:val="21"/>
        </w:rPr>
        <w:t>B</w:t>
      </w:r>
      <w:r>
        <w:rPr>
          <w:rFonts w:ascii="Times New Roman" w:hAnsi="Times New Roman" w:eastAsia="宋体" w:cs="Times New Roman"/>
          <w:kern w:val="0"/>
          <w:szCs w:val="21"/>
        </w:rPr>
        <w:t>的浓度：原料</w:t>
      </w:r>
      <w:r>
        <w:rPr>
          <w:rFonts w:ascii="Times New Roman" w:hAnsi="Times New Roman" w:eastAsia="宋体" w:cs="Times New Roman"/>
          <w:i/>
          <w:iCs/>
          <w:kern w:val="0"/>
          <w:szCs w:val="21"/>
        </w:rPr>
        <w:t>B</w:t>
      </w:r>
      <w:r>
        <w:rPr>
          <w:rFonts w:ascii="Times New Roman" w:hAnsi="Times New Roman" w:eastAsia="宋体" w:cs="Times New Roman"/>
          <w:kern w:val="0"/>
          <w:szCs w:val="21"/>
        </w:rPr>
        <w:t>的物质的量除以混合物的体积：</w:t>
      </w:r>
    </w:p>
    <w:p>
      <w:pPr>
        <w:widowControl/>
        <w:spacing w:line="300" w:lineRule="auto"/>
        <w:ind w:firstLine="420" w:firstLineChars="200"/>
        <w:rPr>
          <w:rFonts w:ascii="Times New Roman" w:hAnsi="Times New Roman" w:eastAsia="宋体" w:cs="Times New Roman"/>
          <w:kern w:val="0"/>
          <w:szCs w:val="21"/>
        </w:rPr>
      </w:pPr>
      <m:oMath>
        <m:r>
          <m:rPr>
            <m:nor/>
          </m:rPr>
          <w:rPr>
            <w:rFonts w:ascii="Times New Roman" w:hAnsi="Times New Roman" w:eastAsia="宋体" w:cs="Times New Roman"/>
            <w:i/>
            <w:kern w:val="0"/>
            <w:szCs w:val="21"/>
          </w:rPr>
          <m:t>c</m:t>
        </m:r>
        <m:r>
          <m:rPr>
            <m:nor/>
            <m:sty m:val="p"/>
          </m:rPr>
          <w:rPr>
            <w:rFonts w:ascii="Times New Roman" w:hAnsi="Times New Roman" w:eastAsia="宋体" w:cs="Times New Roman"/>
            <w:kern w:val="0"/>
            <w:szCs w:val="21"/>
          </w:rPr>
          <m:t>（</m:t>
        </m:r>
        <m:r>
          <m:rPr>
            <m:nor/>
          </m:rPr>
          <w:rPr>
            <w:rFonts w:ascii="Times New Roman" w:hAnsi="Times New Roman" w:eastAsia="宋体" w:cs="Times New Roman"/>
            <w:i/>
            <w:kern w:val="0"/>
            <w:szCs w:val="21"/>
          </w:rPr>
          <m:t>B</m:t>
        </m:r>
        <m:r>
          <m:rPr>
            <m:nor/>
            <m:sty m:val="p"/>
          </m:rPr>
          <w:rPr>
            <w:rFonts w:ascii="Times New Roman" w:hAnsi="Times New Roman" w:eastAsia="宋体" w:cs="Times New Roman"/>
            <w:kern w:val="0"/>
            <w:szCs w:val="21"/>
          </w:rPr>
          <m:t>）=</m:t>
        </m:r>
        <m:f>
          <m:fPr>
            <m:ctrlPr>
              <w:rPr>
                <w:rFonts w:ascii="Cambria Math" w:hAnsi="Cambria Math" w:eastAsia="宋体" w:cs="Times New Roman"/>
                <w:i/>
                <w:iCs/>
                <w:kern w:val="0"/>
                <w:szCs w:val="21"/>
              </w:rPr>
            </m:ctrlPr>
          </m:fPr>
          <m:num>
            <m:sSub>
              <m:sSubPr>
                <m:ctrlPr>
                  <w:rPr>
                    <w:rFonts w:ascii="Cambria Math" w:hAnsi="Cambria Math" w:eastAsia="宋体" w:cs="Times New Roman"/>
                    <w:i/>
                    <w:iCs/>
                    <w:kern w:val="0"/>
                    <w:szCs w:val="21"/>
                  </w:rPr>
                </m:ctrlPr>
              </m:sSubPr>
              <m:e>
                <m:r>
                  <m:rPr>
                    <m:nor/>
                  </m:rPr>
                  <w:rPr>
                    <w:rFonts w:ascii="Times New Roman" w:hAnsi="Times New Roman" w:eastAsia="宋体" w:cs="Times New Roman"/>
                    <w:i/>
                    <w:kern w:val="0"/>
                    <w:szCs w:val="21"/>
                  </w:rPr>
                  <m:t>n</m:t>
                </m:r>
                <m:ctrlPr>
                  <w:rPr>
                    <w:rFonts w:ascii="Cambria Math" w:hAnsi="Cambria Math" w:eastAsia="宋体" w:cs="Times New Roman"/>
                    <w:i/>
                    <w:iCs/>
                    <w:kern w:val="0"/>
                    <w:szCs w:val="21"/>
                  </w:rPr>
                </m:ctrlPr>
              </m:e>
              <m:sub>
                <m:r>
                  <m:rPr>
                    <m:nor/>
                  </m:rPr>
                  <w:rPr>
                    <w:rFonts w:ascii="Times New Roman" w:hAnsi="Times New Roman" w:eastAsia="宋体" w:cs="Times New Roman"/>
                    <w:i/>
                    <w:kern w:val="0"/>
                    <w:szCs w:val="21"/>
                  </w:rPr>
                  <m:t>B</m:t>
                </m:r>
                <m:ctrlPr>
                  <w:rPr>
                    <w:rFonts w:ascii="Cambria Math" w:hAnsi="Cambria Math" w:eastAsia="宋体" w:cs="Times New Roman"/>
                    <w:i/>
                    <w:iCs/>
                    <w:kern w:val="0"/>
                    <w:szCs w:val="21"/>
                  </w:rPr>
                </m:ctrlPr>
              </m:sub>
            </m:sSub>
            <m:ctrlPr>
              <w:rPr>
                <w:rFonts w:ascii="Cambria Math" w:hAnsi="Cambria Math" w:eastAsia="宋体" w:cs="Times New Roman"/>
                <w:i/>
                <w:iCs/>
                <w:kern w:val="0"/>
                <w:szCs w:val="21"/>
              </w:rPr>
            </m:ctrlPr>
          </m:num>
          <m:den>
            <m:r>
              <m:rPr>
                <m:nor/>
              </m:rPr>
              <w:rPr>
                <w:rFonts w:ascii="Times New Roman" w:hAnsi="Times New Roman" w:eastAsia="宋体" w:cs="Times New Roman"/>
                <w:i/>
                <w:kern w:val="0"/>
                <w:szCs w:val="21"/>
              </w:rPr>
              <m:t>V</m:t>
            </m:r>
            <m:ctrlPr>
              <w:rPr>
                <w:rFonts w:ascii="Cambria Math" w:hAnsi="Cambria Math" w:eastAsia="宋体" w:cs="Times New Roman"/>
                <w:i/>
                <w:iCs/>
                <w:kern w:val="0"/>
                <w:szCs w:val="21"/>
              </w:rPr>
            </m:ctrlPr>
          </m:den>
        </m:f>
      </m:oMath>
      <w:r>
        <w:rPr>
          <w:rFonts w:ascii="Times New Roman" w:hAnsi="Times New Roman" w:eastAsia="宋体" w:cs="Times New Roman"/>
          <w:kern w:val="0"/>
          <w:szCs w:val="21"/>
        </w:rPr>
        <w:t>，</w:t>
      </w:r>
      <w:r>
        <w:rPr>
          <w:rFonts w:hint="eastAsia" w:ascii="Times New Roman" w:hAnsi="Times New Roman" w:eastAsia="宋体" w:cs="Times New Roman"/>
          <w:kern w:val="0"/>
          <w:szCs w:val="21"/>
        </w:rPr>
        <w:t>常用</w:t>
      </w:r>
      <w:r>
        <w:rPr>
          <w:rFonts w:ascii="Times New Roman" w:hAnsi="Times New Roman" w:eastAsia="宋体" w:cs="Times New Roman"/>
          <w:kern w:val="0"/>
          <w:szCs w:val="21"/>
        </w:rPr>
        <w:t>单位为 mol/L。</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7.1.2 原料</w:t>
      </w:r>
      <w:r>
        <w:rPr>
          <w:rFonts w:ascii="Times New Roman" w:hAnsi="Times New Roman" w:eastAsia="宋体" w:cs="Times New Roman"/>
          <w:i/>
          <w:iCs/>
          <w:kern w:val="0"/>
          <w:szCs w:val="21"/>
        </w:rPr>
        <w:t>B</w:t>
      </w:r>
      <w:r>
        <w:rPr>
          <w:rFonts w:ascii="Times New Roman" w:hAnsi="Times New Roman" w:eastAsia="宋体" w:cs="Times New Roman"/>
          <w:kern w:val="0"/>
          <w:szCs w:val="21"/>
        </w:rPr>
        <w:t>的质量浓度：原料</w:t>
      </w:r>
      <w:r>
        <w:rPr>
          <w:rFonts w:ascii="Times New Roman" w:hAnsi="Times New Roman" w:eastAsia="宋体" w:cs="Times New Roman"/>
          <w:i/>
          <w:iCs/>
          <w:kern w:val="0"/>
          <w:szCs w:val="21"/>
        </w:rPr>
        <w:t>B</w:t>
      </w:r>
      <w:r>
        <w:rPr>
          <w:rFonts w:ascii="Times New Roman" w:hAnsi="Times New Roman" w:eastAsia="宋体" w:cs="Times New Roman"/>
          <w:kern w:val="0"/>
          <w:szCs w:val="21"/>
        </w:rPr>
        <w:t>的质量除以混合物的体积：</w:t>
      </w:r>
    </w:p>
    <w:p>
      <w:pPr>
        <w:widowControl/>
        <w:spacing w:line="300" w:lineRule="auto"/>
        <w:ind w:firstLine="420" w:firstLineChars="200"/>
        <w:rPr>
          <w:rFonts w:ascii="Times New Roman" w:hAnsi="Times New Roman" w:eastAsia="宋体" w:cs="Times New Roman"/>
          <w:i/>
          <w:iCs/>
          <w:kern w:val="0"/>
          <w:szCs w:val="21"/>
        </w:rPr>
      </w:pPr>
      <m:oMath>
        <m:r>
          <m:rPr>
            <m:nor/>
          </m:rPr>
          <w:rPr>
            <w:rFonts w:ascii="Times New Roman" w:hAnsi="Times New Roman" w:eastAsia="宋体" w:cs="Times New Roman"/>
            <w:i/>
            <w:kern w:val="0"/>
            <w:szCs w:val="21"/>
          </w:rPr>
          <m:t>ρ</m:t>
        </m:r>
        <m:r>
          <m:rPr>
            <m:nor/>
            <m:sty m:val="p"/>
          </m:rPr>
          <w:rPr>
            <w:rFonts w:ascii="Times New Roman" w:hAnsi="Times New Roman" w:eastAsia="宋体" w:cs="Times New Roman"/>
            <w:kern w:val="0"/>
            <w:szCs w:val="21"/>
          </w:rPr>
          <m:t>（</m:t>
        </m:r>
        <m:r>
          <m:rPr>
            <m:nor/>
          </m:rPr>
          <w:rPr>
            <w:rFonts w:ascii="Times New Roman" w:hAnsi="Times New Roman" w:eastAsia="宋体" w:cs="Times New Roman"/>
            <w:i/>
            <w:kern w:val="0"/>
            <w:szCs w:val="21"/>
          </w:rPr>
          <m:t>B</m:t>
        </m:r>
        <m:r>
          <m:rPr>
            <m:nor/>
            <m:sty m:val="p"/>
          </m:rPr>
          <w:rPr>
            <w:rFonts w:ascii="Times New Roman" w:hAnsi="Times New Roman" w:eastAsia="宋体" w:cs="Times New Roman"/>
            <w:kern w:val="0"/>
            <w:szCs w:val="21"/>
          </w:rPr>
          <m:t>）=</m:t>
        </m:r>
        <m:f>
          <m:fPr>
            <m:ctrlPr>
              <w:rPr>
                <w:rFonts w:ascii="Cambria Math" w:hAnsi="Cambria Math" w:eastAsia="宋体" w:cs="Times New Roman"/>
                <w:i/>
                <w:iCs/>
                <w:kern w:val="0"/>
                <w:szCs w:val="21"/>
              </w:rPr>
            </m:ctrlPr>
          </m:fPr>
          <m:num>
            <m:sSub>
              <m:sSubPr>
                <m:ctrlPr>
                  <w:rPr>
                    <w:rFonts w:ascii="Cambria Math" w:hAnsi="Cambria Math" w:eastAsia="宋体" w:cs="Times New Roman"/>
                    <w:i/>
                    <w:iCs/>
                    <w:kern w:val="0"/>
                    <w:szCs w:val="21"/>
                  </w:rPr>
                </m:ctrlPr>
              </m:sSubPr>
              <m:e>
                <m:r>
                  <m:rPr>
                    <m:nor/>
                  </m:rPr>
                  <w:rPr>
                    <w:rFonts w:ascii="Times New Roman" w:hAnsi="Times New Roman" w:eastAsia="宋体" w:cs="Times New Roman"/>
                    <w:i/>
                    <w:kern w:val="0"/>
                    <w:szCs w:val="21"/>
                  </w:rPr>
                  <m:t>m</m:t>
                </m:r>
                <m:ctrlPr>
                  <w:rPr>
                    <w:rFonts w:ascii="Cambria Math" w:hAnsi="Cambria Math" w:eastAsia="宋体" w:cs="Times New Roman"/>
                    <w:i/>
                    <w:iCs/>
                    <w:kern w:val="0"/>
                    <w:szCs w:val="21"/>
                  </w:rPr>
                </m:ctrlPr>
              </m:e>
              <m:sub>
                <m:r>
                  <m:rPr>
                    <m:nor/>
                  </m:rPr>
                  <w:rPr>
                    <w:rFonts w:ascii="Times New Roman" w:hAnsi="Times New Roman" w:eastAsia="宋体" w:cs="Times New Roman"/>
                    <w:i/>
                    <w:kern w:val="0"/>
                    <w:szCs w:val="21"/>
                  </w:rPr>
                  <m:t>B</m:t>
                </m:r>
                <m:ctrlPr>
                  <w:rPr>
                    <w:rFonts w:ascii="Cambria Math" w:hAnsi="Cambria Math" w:eastAsia="宋体" w:cs="Times New Roman"/>
                    <w:i/>
                    <w:iCs/>
                    <w:kern w:val="0"/>
                    <w:szCs w:val="21"/>
                  </w:rPr>
                </m:ctrlPr>
              </m:sub>
            </m:sSub>
            <m:ctrlPr>
              <w:rPr>
                <w:rFonts w:ascii="Cambria Math" w:hAnsi="Cambria Math" w:eastAsia="宋体" w:cs="Times New Roman"/>
                <w:i/>
                <w:iCs/>
                <w:kern w:val="0"/>
                <w:szCs w:val="21"/>
              </w:rPr>
            </m:ctrlPr>
          </m:num>
          <m:den>
            <m:r>
              <m:rPr>
                <m:nor/>
              </m:rPr>
              <w:rPr>
                <w:rFonts w:ascii="Times New Roman" w:hAnsi="Times New Roman" w:eastAsia="宋体" w:cs="Times New Roman"/>
                <w:i/>
                <w:kern w:val="0"/>
                <w:szCs w:val="21"/>
              </w:rPr>
              <m:t>V</m:t>
            </m:r>
            <m:ctrlPr>
              <w:rPr>
                <w:rFonts w:ascii="Cambria Math" w:hAnsi="Cambria Math" w:eastAsia="宋体" w:cs="Times New Roman"/>
                <w:i/>
                <w:iCs/>
                <w:kern w:val="0"/>
                <w:szCs w:val="21"/>
              </w:rPr>
            </m:ctrlPr>
          </m:den>
        </m:f>
      </m:oMath>
      <w:r>
        <w:rPr>
          <w:rFonts w:ascii="Times New Roman" w:hAnsi="Times New Roman" w:eastAsia="宋体" w:cs="Times New Roman"/>
          <w:kern w:val="0"/>
          <w:szCs w:val="21"/>
        </w:rPr>
        <w:t>，</w:t>
      </w:r>
      <w:r>
        <w:rPr>
          <w:rFonts w:hint="eastAsia" w:ascii="Times New Roman" w:hAnsi="Times New Roman" w:eastAsia="宋体" w:cs="Times New Roman"/>
          <w:kern w:val="0"/>
          <w:szCs w:val="21"/>
        </w:rPr>
        <w:t>常用</w:t>
      </w:r>
      <w:r>
        <w:rPr>
          <w:rFonts w:ascii="Times New Roman" w:hAnsi="Times New Roman" w:eastAsia="宋体" w:cs="Times New Roman"/>
          <w:kern w:val="0"/>
          <w:szCs w:val="21"/>
        </w:rPr>
        <w:t>单位为g/L，mg/L，μg/L。</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7.1.3 原料</w:t>
      </w:r>
      <w:r>
        <w:rPr>
          <w:rFonts w:ascii="Times New Roman" w:hAnsi="Times New Roman" w:eastAsia="宋体" w:cs="Times New Roman"/>
          <w:i/>
          <w:iCs/>
          <w:kern w:val="0"/>
          <w:szCs w:val="21"/>
        </w:rPr>
        <w:t>B</w:t>
      </w:r>
      <w:r>
        <w:rPr>
          <w:rFonts w:ascii="Times New Roman" w:hAnsi="Times New Roman" w:eastAsia="宋体" w:cs="Times New Roman"/>
          <w:kern w:val="0"/>
          <w:szCs w:val="21"/>
        </w:rPr>
        <w:t>的质量分数：原料</w:t>
      </w:r>
      <w:r>
        <w:rPr>
          <w:rFonts w:ascii="Times New Roman" w:hAnsi="Times New Roman" w:eastAsia="宋体" w:cs="Times New Roman"/>
          <w:i/>
          <w:iCs/>
          <w:kern w:val="0"/>
          <w:szCs w:val="21"/>
        </w:rPr>
        <w:t>B</w:t>
      </w:r>
      <w:r>
        <w:rPr>
          <w:rFonts w:ascii="Times New Roman" w:hAnsi="Times New Roman" w:eastAsia="宋体" w:cs="Times New Roman"/>
          <w:kern w:val="0"/>
          <w:szCs w:val="21"/>
        </w:rPr>
        <w:t>的质量与混合物的质量之比：</w:t>
      </w:r>
    </w:p>
    <w:p>
      <w:pPr>
        <w:widowControl/>
        <w:spacing w:line="300" w:lineRule="auto"/>
        <w:ind w:firstLine="420" w:firstLineChars="200"/>
        <w:rPr>
          <w:rFonts w:ascii="Times New Roman" w:hAnsi="Times New Roman" w:eastAsia="宋体" w:cs="Times New Roman"/>
          <w:kern w:val="0"/>
          <w:szCs w:val="21"/>
        </w:rPr>
      </w:pPr>
      <m:oMath>
        <m:r>
          <m:rPr>
            <m:nor/>
          </m:rPr>
          <w:rPr>
            <w:rFonts w:ascii="Times New Roman" w:hAnsi="Times New Roman" w:eastAsia="宋体" w:cs="Times New Roman"/>
            <w:i/>
          </w:rPr>
          <m:t>w</m:t>
        </m:r>
        <m:r>
          <m:rPr>
            <m:nor/>
            <m:sty m:val="p"/>
          </m:rPr>
          <w:rPr>
            <w:rFonts w:ascii="Times New Roman" w:hAnsi="Times New Roman" w:eastAsia="宋体" w:cs="Times New Roman"/>
            <w:kern w:val="0"/>
            <w:szCs w:val="21"/>
          </w:rPr>
          <m:t>（</m:t>
        </m:r>
        <m:r>
          <m:rPr>
            <m:nor/>
          </m:rPr>
          <w:rPr>
            <w:rFonts w:ascii="Times New Roman" w:hAnsi="Times New Roman" w:eastAsia="宋体" w:cs="Times New Roman"/>
            <w:i/>
            <w:kern w:val="0"/>
            <w:szCs w:val="21"/>
          </w:rPr>
          <m:t>B</m:t>
        </m:r>
        <m:r>
          <m:rPr>
            <m:nor/>
            <m:sty m:val="p"/>
          </m:rPr>
          <w:rPr>
            <w:rFonts w:ascii="Times New Roman" w:hAnsi="Times New Roman" w:eastAsia="宋体" w:cs="Times New Roman"/>
            <w:kern w:val="0"/>
            <w:szCs w:val="21"/>
          </w:rPr>
          <m:t>）=</m:t>
        </m:r>
        <m:f>
          <m:fPr>
            <m:ctrlPr>
              <w:rPr>
                <w:rFonts w:ascii="Cambria Math" w:hAnsi="Cambria Math" w:eastAsia="宋体" w:cs="Times New Roman"/>
                <w:i/>
                <w:iCs/>
                <w:kern w:val="0"/>
                <w:szCs w:val="21"/>
              </w:rPr>
            </m:ctrlPr>
          </m:fPr>
          <m:num>
            <m:sSub>
              <m:sSubPr>
                <m:ctrlPr>
                  <w:rPr>
                    <w:rFonts w:ascii="Cambria Math" w:hAnsi="Cambria Math" w:eastAsia="宋体" w:cs="Times New Roman"/>
                    <w:i/>
                    <w:iCs/>
                    <w:kern w:val="0"/>
                    <w:szCs w:val="21"/>
                  </w:rPr>
                </m:ctrlPr>
              </m:sSubPr>
              <m:e>
                <m:r>
                  <m:rPr>
                    <m:nor/>
                  </m:rPr>
                  <w:rPr>
                    <w:rFonts w:ascii="Times New Roman" w:hAnsi="Times New Roman" w:eastAsia="宋体" w:cs="Times New Roman"/>
                    <w:i/>
                    <w:kern w:val="0"/>
                    <w:szCs w:val="21"/>
                  </w:rPr>
                  <m:t>m</m:t>
                </m:r>
                <m:ctrlPr>
                  <w:rPr>
                    <w:rFonts w:ascii="Cambria Math" w:hAnsi="Cambria Math" w:eastAsia="宋体" w:cs="Times New Roman"/>
                    <w:i/>
                    <w:iCs/>
                    <w:kern w:val="0"/>
                    <w:szCs w:val="21"/>
                  </w:rPr>
                </m:ctrlPr>
              </m:e>
              <m:sub>
                <m:r>
                  <m:rPr>
                    <m:nor/>
                  </m:rPr>
                  <w:rPr>
                    <w:rFonts w:ascii="Times New Roman" w:hAnsi="Times New Roman" w:eastAsia="宋体" w:cs="Times New Roman"/>
                    <w:i/>
                    <w:kern w:val="0"/>
                    <w:szCs w:val="21"/>
                  </w:rPr>
                  <m:t>B</m:t>
                </m:r>
                <m:ctrlPr>
                  <w:rPr>
                    <w:rFonts w:ascii="Cambria Math" w:hAnsi="Cambria Math" w:eastAsia="宋体" w:cs="Times New Roman"/>
                    <w:i/>
                    <w:iCs/>
                    <w:kern w:val="0"/>
                    <w:szCs w:val="21"/>
                  </w:rPr>
                </m:ctrlPr>
              </m:sub>
            </m:sSub>
            <m:ctrlPr>
              <w:rPr>
                <w:rFonts w:ascii="Cambria Math" w:hAnsi="Cambria Math" w:eastAsia="宋体" w:cs="Times New Roman"/>
                <w:i/>
                <w:iCs/>
                <w:kern w:val="0"/>
                <w:szCs w:val="21"/>
              </w:rPr>
            </m:ctrlPr>
          </m:num>
          <m:den>
            <m:r>
              <m:rPr>
                <m:nor/>
              </m:rPr>
              <w:rPr>
                <w:rFonts w:ascii="Times New Roman" w:hAnsi="Times New Roman" w:eastAsia="宋体" w:cs="Times New Roman"/>
                <w:i/>
                <w:kern w:val="0"/>
                <w:szCs w:val="21"/>
              </w:rPr>
              <m:t>m</m:t>
            </m:r>
            <m:ctrlPr>
              <w:rPr>
                <w:rFonts w:ascii="Cambria Math" w:hAnsi="Cambria Math" w:eastAsia="宋体" w:cs="Times New Roman"/>
                <w:i/>
                <w:iCs/>
                <w:kern w:val="0"/>
                <w:szCs w:val="21"/>
              </w:rPr>
            </m:ctrlPr>
          </m:den>
        </m:f>
      </m:oMath>
      <w:r>
        <w:rPr>
          <w:rFonts w:ascii="Times New Roman" w:hAnsi="Times New Roman" w:eastAsia="宋体" w:cs="Times New Roman"/>
          <w:kern w:val="0"/>
          <w:szCs w:val="21"/>
        </w:rPr>
        <w:t>，无量纲单位，可用%表示浓度值，也可用mg/kg，μg/g等表示。</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7.1.4</w:t>
      </w:r>
      <w:r>
        <w:rPr>
          <w:rFonts w:hint="eastAsia" w:ascii="Times New Roman" w:hAnsi="Times New Roman" w:eastAsia="宋体" w:cs="Times New Roman"/>
          <w:kern w:val="0"/>
          <w:szCs w:val="21"/>
        </w:rPr>
        <w:t xml:space="preserve"> 原料</w:t>
      </w:r>
      <w:r>
        <w:rPr>
          <w:rFonts w:hint="eastAsia" w:ascii="Times New Roman" w:hAnsi="Times New Roman" w:eastAsia="宋体" w:cs="Times New Roman"/>
          <w:i/>
          <w:iCs/>
          <w:kern w:val="0"/>
          <w:szCs w:val="21"/>
        </w:rPr>
        <w:t>B</w:t>
      </w:r>
      <w:r>
        <w:rPr>
          <w:rFonts w:hint="eastAsia" w:ascii="Times New Roman" w:hAnsi="Times New Roman" w:eastAsia="宋体" w:cs="Times New Roman"/>
          <w:kern w:val="0"/>
          <w:szCs w:val="21"/>
        </w:rPr>
        <w:t>的体积分数：原料</w:t>
      </w:r>
      <w:r>
        <w:rPr>
          <w:rFonts w:ascii="Times New Roman" w:hAnsi="Times New Roman" w:eastAsia="宋体" w:cs="Times New Roman"/>
          <w:i/>
          <w:iCs/>
          <w:kern w:val="0"/>
          <w:szCs w:val="21"/>
        </w:rPr>
        <w:t>B</w:t>
      </w:r>
      <w:r>
        <w:rPr>
          <w:rFonts w:hint="eastAsia" w:ascii="Times New Roman" w:hAnsi="Times New Roman" w:eastAsia="宋体" w:cs="Times New Roman"/>
          <w:kern w:val="0"/>
          <w:szCs w:val="21"/>
        </w:rPr>
        <w:t>的体积除以混合物的体积：</w:t>
      </w:r>
    </w:p>
    <w:p>
      <w:pPr>
        <w:widowControl/>
        <w:spacing w:line="300" w:lineRule="auto"/>
        <w:ind w:firstLine="420" w:firstLineChars="200"/>
        <w:rPr>
          <w:rFonts w:ascii="Times New Roman" w:hAnsi="Times New Roman" w:eastAsia="宋体" w:cs="Times New Roman"/>
          <w:kern w:val="0"/>
          <w:szCs w:val="21"/>
        </w:rPr>
      </w:pPr>
      <m:oMath>
        <m:r>
          <m:rPr>
            <m:nor/>
          </m:rPr>
          <w:rPr>
            <w:rFonts w:ascii="Times New Roman" w:hAnsi="Times New Roman" w:eastAsia="宋体" w:cs="Times New Roman"/>
            <w:i/>
            <w:kern w:val="0"/>
            <w:szCs w:val="21"/>
          </w:rPr>
          <m:t>φ</m:t>
        </m:r>
        <m:r>
          <m:rPr>
            <m:nor/>
            <m:sty m:val="p"/>
          </m:rPr>
          <w:rPr>
            <w:rFonts w:ascii="Times New Roman" w:hAnsi="Times New Roman" w:eastAsia="宋体" w:cs="Times New Roman"/>
            <w:kern w:val="0"/>
            <w:szCs w:val="21"/>
          </w:rPr>
          <m:t>（</m:t>
        </m:r>
        <m:r>
          <m:rPr>
            <m:nor/>
          </m:rPr>
          <w:rPr>
            <w:rFonts w:ascii="Times New Roman" w:hAnsi="Times New Roman" w:eastAsia="宋体" w:cs="Times New Roman"/>
            <w:i/>
            <w:kern w:val="0"/>
            <w:szCs w:val="21"/>
          </w:rPr>
          <m:t>B</m:t>
        </m:r>
        <m:r>
          <m:rPr>
            <m:nor/>
            <m:sty m:val="p"/>
          </m:rPr>
          <w:rPr>
            <w:rFonts w:ascii="Times New Roman" w:hAnsi="Times New Roman" w:eastAsia="宋体" w:cs="Times New Roman"/>
            <w:kern w:val="0"/>
            <w:szCs w:val="21"/>
          </w:rPr>
          <m:t>）=</m:t>
        </m:r>
        <m:f>
          <m:fPr>
            <m:ctrlPr>
              <w:rPr>
                <w:rFonts w:ascii="Cambria Math" w:hAnsi="Cambria Math" w:eastAsia="宋体" w:cs="Times New Roman"/>
                <w:i/>
                <w:iCs/>
                <w:kern w:val="0"/>
                <w:szCs w:val="21"/>
              </w:rPr>
            </m:ctrlPr>
          </m:fPr>
          <m:num>
            <m:sSub>
              <m:sSubPr>
                <m:ctrlPr>
                  <w:rPr>
                    <w:rFonts w:ascii="Cambria Math" w:hAnsi="Cambria Math" w:eastAsia="宋体" w:cs="Times New Roman"/>
                    <w:i/>
                    <w:iCs/>
                    <w:kern w:val="0"/>
                    <w:szCs w:val="21"/>
                  </w:rPr>
                </m:ctrlPr>
              </m:sSubPr>
              <m:e>
                <m:r>
                  <m:rPr>
                    <m:nor/>
                  </m:rPr>
                  <w:rPr>
                    <w:rFonts w:ascii="Times New Roman" w:hAnsi="Times New Roman" w:eastAsia="宋体" w:cs="Times New Roman"/>
                    <w:i/>
                    <w:kern w:val="0"/>
                    <w:szCs w:val="21"/>
                  </w:rPr>
                  <m:t>V</m:t>
                </m:r>
                <m:ctrlPr>
                  <w:rPr>
                    <w:rFonts w:ascii="Cambria Math" w:hAnsi="Cambria Math" w:eastAsia="宋体" w:cs="Times New Roman"/>
                    <w:i/>
                    <w:iCs/>
                    <w:kern w:val="0"/>
                    <w:szCs w:val="21"/>
                  </w:rPr>
                </m:ctrlPr>
              </m:e>
              <m:sub>
                <m:r>
                  <m:rPr>
                    <m:nor/>
                  </m:rPr>
                  <w:rPr>
                    <w:rFonts w:ascii="Times New Roman" w:hAnsi="Times New Roman" w:eastAsia="宋体" w:cs="Times New Roman"/>
                    <w:i/>
                    <w:kern w:val="0"/>
                    <w:szCs w:val="21"/>
                  </w:rPr>
                  <m:t>B</m:t>
                </m:r>
                <m:ctrlPr>
                  <w:rPr>
                    <w:rFonts w:ascii="Cambria Math" w:hAnsi="Cambria Math" w:eastAsia="宋体" w:cs="Times New Roman"/>
                    <w:i/>
                    <w:iCs/>
                    <w:kern w:val="0"/>
                    <w:szCs w:val="21"/>
                  </w:rPr>
                </m:ctrlPr>
              </m:sub>
            </m:sSub>
            <m:ctrlPr>
              <w:rPr>
                <w:rFonts w:ascii="Cambria Math" w:hAnsi="Cambria Math" w:eastAsia="宋体" w:cs="Times New Roman"/>
                <w:i/>
                <w:iCs/>
                <w:kern w:val="0"/>
                <w:szCs w:val="21"/>
              </w:rPr>
            </m:ctrlPr>
          </m:num>
          <m:den>
            <m:r>
              <m:rPr>
                <m:nor/>
              </m:rPr>
              <w:rPr>
                <w:rFonts w:ascii="Times New Roman" w:hAnsi="Times New Roman" w:eastAsia="宋体" w:cs="Times New Roman"/>
                <w:i/>
                <w:kern w:val="0"/>
                <w:szCs w:val="21"/>
              </w:rPr>
              <m:t>V</m:t>
            </m:r>
            <m:ctrlPr>
              <w:rPr>
                <w:rFonts w:ascii="Cambria Math" w:hAnsi="Cambria Math" w:eastAsia="宋体" w:cs="Times New Roman"/>
                <w:i/>
                <w:iCs/>
                <w:kern w:val="0"/>
                <w:szCs w:val="21"/>
              </w:rPr>
            </m:ctrlPr>
          </m:den>
        </m:f>
      </m:oMath>
      <w:r>
        <w:rPr>
          <w:rFonts w:ascii="Times New Roman" w:hAnsi="Times New Roman" w:eastAsia="宋体" w:cs="Times New Roman"/>
          <w:kern w:val="0"/>
          <w:szCs w:val="21"/>
        </w:rPr>
        <w:t>，无量纲单位，常以%表示。</w:t>
      </w:r>
    </w:p>
    <w:p>
      <w:pPr>
        <w:widowControl/>
        <w:spacing w:line="300" w:lineRule="auto"/>
        <w:rPr>
          <w:rFonts w:ascii="Times New Roman" w:hAnsi="Times New Roman" w:eastAsia="宋体" w:cs="Times New Roman"/>
          <w:kern w:val="0"/>
          <w:szCs w:val="21"/>
        </w:rPr>
      </w:pPr>
      <w:r>
        <w:rPr>
          <w:rFonts w:ascii="Times New Roman" w:hAnsi="Times New Roman" w:eastAsia="宋体" w:cs="Times New Roman"/>
          <w:kern w:val="0"/>
          <w:szCs w:val="21"/>
        </w:rPr>
        <w:t>7.1.5 体积比浓度：两种液体分别以</w:t>
      </w:r>
      <w:r>
        <w:rPr>
          <w:rFonts w:ascii="Times New Roman" w:hAnsi="Times New Roman" w:eastAsia="宋体" w:cs="Times New Roman"/>
          <w:i/>
          <w:iCs/>
          <w:kern w:val="0"/>
          <w:szCs w:val="21"/>
        </w:rPr>
        <w:t>V</w:t>
      </w:r>
      <w:r>
        <w:rPr>
          <w:rFonts w:ascii="Times New Roman" w:hAnsi="Times New Roman" w:eastAsia="宋体" w:cs="Times New Roman"/>
          <w:i/>
          <w:iCs/>
          <w:kern w:val="0"/>
          <w:szCs w:val="21"/>
          <w:vertAlign w:val="subscript"/>
        </w:rPr>
        <w:t>1</w:t>
      </w:r>
      <w:r>
        <w:rPr>
          <w:rFonts w:ascii="Times New Roman" w:hAnsi="Times New Roman" w:eastAsia="宋体" w:cs="Times New Roman"/>
          <w:kern w:val="0"/>
          <w:szCs w:val="21"/>
        </w:rPr>
        <w:t>与</w:t>
      </w:r>
      <w:r>
        <w:rPr>
          <w:rFonts w:ascii="Times New Roman" w:hAnsi="Times New Roman" w:eastAsia="宋体" w:cs="Times New Roman"/>
          <w:i/>
          <w:iCs/>
          <w:kern w:val="0"/>
          <w:szCs w:val="21"/>
        </w:rPr>
        <w:t>V</w:t>
      </w:r>
      <w:r>
        <w:rPr>
          <w:rFonts w:ascii="Times New Roman" w:hAnsi="Times New Roman" w:eastAsia="宋体" w:cs="Times New Roman"/>
          <w:i/>
          <w:iCs/>
          <w:kern w:val="0"/>
          <w:szCs w:val="21"/>
          <w:vertAlign w:val="subscript"/>
        </w:rPr>
        <w:t>2</w:t>
      </w:r>
      <w:r>
        <w:rPr>
          <w:rFonts w:ascii="Times New Roman" w:hAnsi="Times New Roman" w:eastAsia="宋体" w:cs="Times New Roman"/>
          <w:kern w:val="0"/>
          <w:szCs w:val="21"/>
        </w:rPr>
        <w:t>的体积相混。凡未注明溶剂名称时，均指试验用水。两种以上特定液体与水相混合时，必须注明水。例如：HCl（1+2），甲醇+四氢呋喃+水+高氯酸（250+450+300+0.2）。</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7.2　测定值的运算与修约</w:t>
      </w:r>
    </w:p>
    <w:p>
      <w:pPr>
        <w:autoSpaceDE w:val="0"/>
        <w:autoSpaceDN w:val="0"/>
        <w:adjustRightInd w:val="0"/>
        <w:snapToGrid w:val="0"/>
        <w:spacing w:line="30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测定值的运算和有效数字修约，应遵照 GB/T 8170 的规定。有效位数（或数位）的确定应根据取样量、量具的精度、检测方法的允许误差和标准中的限度规定。在计算过程中，应遵循特定的数值运算准则：当进行加减法运算时，结果的小数点后保留位数应与参与运算各数中小数点后位数最少的相同；当进行乘除法运算时，结果的有效位数则应与参与运算各数中有效位数最少的相同。为减少运算过程中的舍入误差，中间步骤可多保留一位。计算所得最终检验结果保留的位数应符合检验标准中的具体规定，并采用“奇进偶舍”（即“四舍六入五成双”）的规则进行修约。</w:t>
      </w:r>
    </w:p>
    <w:p>
      <w:pPr>
        <w:autoSpaceDE w:val="0"/>
        <w:autoSpaceDN w:val="0"/>
        <w:adjustRightInd w:val="0"/>
        <w:snapToGrid w:val="0"/>
        <w:spacing w:before="156" w:beforeLines="50" w:after="156" w:afterLines="50" w:line="30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7.3　定量分析结果的报告</w:t>
      </w:r>
    </w:p>
    <w:p>
      <w:pPr>
        <w:autoSpaceDE w:val="0"/>
        <w:autoSpaceDN w:val="0"/>
        <w:adjustRightInd w:val="0"/>
        <w:snapToGrid w:val="0"/>
        <w:spacing w:line="30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应从样品称量起全程进行平行操作，并以平行测定值的算术平均值作为最终报告结果。平行样品的相对偏差应符合相应检验方法中规定的允许偏差要求。</w:t>
      </w:r>
    </w:p>
    <w:p>
      <w:pPr>
        <w:pStyle w:val="2"/>
        <w:autoSpaceDE w:val="0"/>
        <w:autoSpaceDN w:val="0"/>
        <w:adjustRightInd w:val="0"/>
        <w:snapToGrid w:val="0"/>
        <w:spacing w:before="156" w:beforeLines="50" w:after="156" w:afterLines="50" w:line="300" w:lineRule="auto"/>
        <w:jc w:val="both"/>
        <w:rPr>
          <w:rFonts w:eastAsia="黑体" w:cs="Times New Roman"/>
          <w:b w:val="0"/>
          <w:sz w:val="21"/>
        </w:rPr>
      </w:pPr>
      <w:r>
        <w:rPr>
          <w:rFonts w:hint="eastAsia" w:eastAsia="黑体" w:cs="Times New Roman"/>
          <w:b w:val="0"/>
          <w:sz w:val="21"/>
        </w:rPr>
        <w:t>8　检验原始记录要求</w:t>
      </w:r>
    </w:p>
    <w:p>
      <w:pPr>
        <w:autoSpaceDE w:val="0"/>
        <w:autoSpaceDN w:val="0"/>
        <w:adjustRightInd w:val="0"/>
        <w:snapToGrid w:val="0"/>
        <w:spacing w:line="30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为确保检验过程的规范性与数据结果的完整可溯性，实验室记录须做到全面、准确。应详细记录所执行的检验方法与具体操作步骤。并将所有用于结果计算的原始数据、对量值溯源至关重要的仪器设备信息（如型号、编号）、方法所要求的特定环境条件（如温度、湿度）以及质量控制结果及其符合性判定结论等完整、如实记载。</w:t>
      </w:r>
    </w:p>
    <w:p>
      <w:pPr>
        <w:autoSpaceDE w:val="0"/>
        <w:autoSpaceDN w:val="0"/>
        <w:adjustRightInd w:val="0"/>
        <w:snapToGrid w:val="0"/>
        <w:spacing w:line="30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配制和稀释标准溶液时，需详细记录相关信息，具体包括标准物质的称量质量或量取体积、所用溶剂的种类、定容后的总体积、溶液的储存条件与有效期等，同时应明确记录根据标准物质实际纯度进行必要折算的过程。</w:t>
      </w:r>
    </w:p>
    <w:p>
      <w:pPr>
        <w:pStyle w:val="2"/>
        <w:autoSpaceDE w:val="0"/>
        <w:autoSpaceDN w:val="0"/>
        <w:adjustRightInd w:val="0"/>
        <w:snapToGrid w:val="0"/>
        <w:spacing w:before="156" w:beforeLines="50" w:after="156" w:afterLines="50" w:line="300" w:lineRule="auto"/>
        <w:jc w:val="both"/>
        <w:rPr>
          <w:rFonts w:eastAsia="黑体" w:cs="Times New Roman"/>
          <w:b w:val="0"/>
          <w:sz w:val="21"/>
        </w:rPr>
      </w:pPr>
      <w:r>
        <w:rPr>
          <w:rFonts w:hint="eastAsia" w:eastAsia="黑体" w:cs="Times New Roman"/>
          <w:b w:val="0"/>
          <w:sz w:val="21"/>
        </w:rPr>
        <w:t xml:space="preserve">9　其他 </w:t>
      </w:r>
    </w:p>
    <w:p>
      <w:pPr>
        <w:autoSpaceDE w:val="0"/>
        <w:autoSpaceDN w:val="0"/>
        <w:adjustRightInd w:val="0"/>
        <w:snapToGrid w:val="0"/>
        <w:spacing w:line="30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本章按照总则、禁用原料、限用原料、准用原料等类别对理化检验方法进行分类排序。此分类排序仅为便于查阅，并不代表方法中涉及的被测原料的实际所属类别。被测原料的判定依据应以本规范相关章节的具体规定为准。</w:t>
      </w:r>
    </w:p>
    <w:p>
      <w:pPr>
        <w:autoSpaceDE w:val="0"/>
        <w:autoSpaceDN w:val="0"/>
        <w:adjustRightInd w:val="0"/>
        <w:snapToGrid w:val="0"/>
        <w:spacing w:line="30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本章各理化检验方法附录A中列出的CAS号，仅代表该检验方法适用的被测原料的CAS号，并不排除该原料可能存在其他CAS号的情况。</w:t>
      </w:r>
    </w:p>
    <w:p>
      <w:pPr>
        <w:autoSpaceDE w:val="0"/>
        <w:autoSpaceDN w:val="0"/>
        <w:adjustRightInd w:val="0"/>
        <w:snapToGrid w:val="0"/>
        <w:spacing w:line="300" w:lineRule="auto"/>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本章各理化检验方法中，被测原料可能存在酸、酯、盐等不同化学形态。检验结果应以各方法规定的目标成分为准进行计算和报告。当方法规定的目标成分（如去盐后的母核）与标准品形态不一致时，应依据分子量差异进行折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Math">
    <w:altName w:val="DejaVu Math TeX Gyre"/>
    <w:panose1 w:val="02040503050406030204"/>
    <w:charset w:val="00"/>
    <w:family w:val="roman"/>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 w:name="Noto Sans Ethiopic">
    <w:panose1 w:val="020B0502040504020204"/>
    <w:charset w:val="00"/>
    <w:family w:val="auto"/>
    <w:pitch w:val="default"/>
    <w:sig w:usb0="00000000" w:usb1="00000000" w:usb2="000008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133E1"/>
    <w:multiLevelType w:val="singleLevel"/>
    <w:tmpl w:val="1E1133E1"/>
    <w:lvl w:ilvl="0" w:tentative="0">
      <w:start w:val="1"/>
      <w:numFmt w:val="decimal"/>
      <w:suff w:val="nothing"/>
      <w:lvlText w:val="（%1）"/>
      <w:lvlJc w:val="left"/>
    </w:lvl>
  </w:abstractNum>
  <w:abstractNum w:abstractNumId="1">
    <w:nsid w:val="57706F51"/>
    <w:multiLevelType w:val="singleLevel"/>
    <w:tmpl w:val="57706F51"/>
    <w:lvl w:ilvl="0" w:tentative="0">
      <w:start w:val="1"/>
      <w:numFmt w:val="decimal"/>
      <w:suff w:val="nothing"/>
      <w:lvlText w:val="（%1）"/>
      <w:lvlJc w:val="left"/>
    </w:lvl>
  </w:abstractNum>
  <w:abstractNum w:abstractNumId="2">
    <w:nsid w:val="71DCA91A"/>
    <w:multiLevelType w:val="singleLevel"/>
    <w:tmpl w:val="71DCA91A"/>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32B30"/>
    <w:rsid w:val="0004537E"/>
    <w:rsid w:val="00084E17"/>
    <w:rsid w:val="002F2BC1"/>
    <w:rsid w:val="00316BC2"/>
    <w:rsid w:val="00494804"/>
    <w:rsid w:val="00522071"/>
    <w:rsid w:val="00556D04"/>
    <w:rsid w:val="005F1496"/>
    <w:rsid w:val="007C2B4D"/>
    <w:rsid w:val="009B6B11"/>
    <w:rsid w:val="00A5534C"/>
    <w:rsid w:val="00AA7E44"/>
    <w:rsid w:val="00C70482"/>
    <w:rsid w:val="00D02BBD"/>
    <w:rsid w:val="00D63DC4"/>
    <w:rsid w:val="00EC043A"/>
    <w:rsid w:val="00F0503A"/>
    <w:rsid w:val="00F8387E"/>
    <w:rsid w:val="07DE2BDC"/>
    <w:rsid w:val="0BE42191"/>
    <w:rsid w:val="11621A79"/>
    <w:rsid w:val="13847304"/>
    <w:rsid w:val="164A01D3"/>
    <w:rsid w:val="19BF5EE0"/>
    <w:rsid w:val="1BF956CF"/>
    <w:rsid w:val="1DFE6FCD"/>
    <w:rsid w:val="20554F69"/>
    <w:rsid w:val="218A699A"/>
    <w:rsid w:val="21C82E87"/>
    <w:rsid w:val="228C0A28"/>
    <w:rsid w:val="27D53D91"/>
    <w:rsid w:val="2D316975"/>
    <w:rsid w:val="30157B91"/>
    <w:rsid w:val="38695BC2"/>
    <w:rsid w:val="3BC32B30"/>
    <w:rsid w:val="3FE71217"/>
    <w:rsid w:val="426C032D"/>
    <w:rsid w:val="42992478"/>
    <w:rsid w:val="44957494"/>
    <w:rsid w:val="606F4BE5"/>
    <w:rsid w:val="70904F7A"/>
    <w:rsid w:val="732700DF"/>
    <w:rsid w:val="77AFA0E4"/>
    <w:rsid w:val="79A52A7F"/>
    <w:rsid w:val="7ABE4C8F"/>
    <w:rsid w:val="7FD8A9E0"/>
    <w:rsid w:val="F6F7F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keepNext/>
      <w:keepLines/>
      <w:spacing w:before="20" w:after="20"/>
      <w:jc w:val="left"/>
      <w:outlineLvl w:val="2"/>
    </w:pPr>
    <w:rPr>
      <w:rFonts w:ascii="Times New Roman" w:hAnsi="Times New Roman" w:eastAsia="宋体"/>
      <w:b/>
      <w:bCs/>
      <w:sz w:val="2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批注框文本 Char"/>
    <w:basedOn w:val="8"/>
    <w:link w:val="3"/>
    <w:uiPriority w:val="0"/>
    <w:rPr>
      <w:rFonts w:asciiTheme="minorHAnsi" w:hAnsiTheme="minorHAnsi" w:eastAsiaTheme="minorEastAsia" w:cstheme="minorBidi"/>
      <w:kern w:val="2"/>
      <w:sz w:val="18"/>
      <w:szCs w:val="18"/>
    </w:rPr>
  </w:style>
  <w:style w:type="character" w:customStyle="1" w:styleId="10">
    <w:name w:val="页眉 Char"/>
    <w:basedOn w:val="8"/>
    <w:link w:val="5"/>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1135</Words>
  <Characters>6470</Characters>
  <Lines>53</Lines>
  <Paragraphs>15</Paragraphs>
  <TotalTime>0</TotalTime>
  <ScaleCrop>false</ScaleCrop>
  <LinksUpToDate>false</LinksUpToDate>
  <CharactersWithSpaces>7590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2025-12-08T14:42:00Z</dcterms:created>
  <dc:creator>周智明</dc:creator>
  <cp:lastModifiedBy>lisc</cp:lastModifiedBy>
  <dcterms:modified xsi:type="dcterms:W3CDTF">2025-12-29T20:19:18Z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2172E24EC7574973B40297ECFD9D6517_13</vt:lpwstr>
  </property>
  <property fmtid="{D5CDD505-2E9C-101B-9397-08002B2CF9AE}" pid="4" name="KSOTemplateDocerSaveRecord">
    <vt:lpwstr>eyJoZGlkIjoiZjVhNGJiMWVmZTg4ZjFhYWZhYWFiMzBkODkwYWRkZmUiLCJ1c2VySWQiOiI4NzczMDYxMzMifQ==</vt:lpwstr>
  </property>
</Properties>
</file>