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napToGrid w:val="0"/>
        <w:jc w:val="center"/>
        <w:rPr>
          <w:rFonts w:eastAsia="仿宋_GB2312"/>
          <w:szCs w:val="32"/>
        </w:rPr>
      </w:pPr>
    </w:p>
    <w:p>
      <w:pPr>
        <w:pStyle w:val="2"/>
        <w:snapToGrid w:val="0"/>
        <w:jc w:val="center"/>
        <w:rPr>
          <w:rStyle w:val="11"/>
          <w:rFonts w:hint="eastAsia" w:ascii="方正小标宋简体" w:hAnsi="方正小标宋_GBK" w:eastAsia="方正小标宋简体" w:cs="方正小标宋_GBK"/>
          <w:color w:val="auto"/>
          <w:sz w:val="44"/>
          <w:szCs w:val="44"/>
          <w:u w:val="none"/>
        </w:rPr>
      </w:pPr>
      <w:r>
        <w:rPr>
          <w:rStyle w:val="11"/>
          <w:rFonts w:hint="eastAsia" w:ascii="方正小标宋简体" w:hAnsi="方正小标宋_GBK" w:eastAsia="方正小标宋简体" w:cs="方正小标宋_GBK"/>
          <w:color w:val="auto"/>
          <w:sz w:val="44"/>
          <w:szCs w:val="44"/>
          <w:u w:val="none"/>
        </w:rPr>
        <w:t>天津市人民政府办公厅关于印发</w:t>
      </w:r>
    </w:p>
    <w:p>
      <w:pPr>
        <w:pStyle w:val="2"/>
        <w:snapToGrid w:val="0"/>
        <w:jc w:val="center"/>
        <w:rPr>
          <w:rStyle w:val="11"/>
          <w:rFonts w:ascii="方正小标宋_GBK" w:hAnsi="方正小标宋_GBK" w:eastAsia="方正小标宋_GBK" w:cs="方正小标宋_GBK"/>
          <w:color w:val="auto"/>
          <w:sz w:val="44"/>
          <w:szCs w:val="44"/>
          <w:u w:val="none"/>
        </w:rPr>
      </w:pPr>
      <w:r>
        <w:rPr>
          <w:rStyle w:val="11"/>
          <w:rFonts w:hint="eastAsia" w:ascii="方正小标宋简体" w:hAnsi="方正小标宋_GBK" w:eastAsia="方正小标宋简体" w:cs="方正小标宋_GBK"/>
          <w:color w:val="auto"/>
          <w:sz w:val="44"/>
          <w:szCs w:val="44"/>
          <w:u w:val="none"/>
        </w:rPr>
        <w:t>天津市2026年食品安全监督管理计划的通知</w:t>
      </w:r>
    </w:p>
    <w:p>
      <w:pPr>
        <w:pStyle w:val="2"/>
        <w:snapToGrid w:val="0"/>
        <w:rPr>
          <w:rFonts w:ascii="仿宋_GB2312" w:hAnsi="仿宋_GB2312" w:eastAsia="仿宋_GB2312" w:cs="仿宋_GB2312"/>
          <w:szCs w:val="32"/>
        </w:rPr>
      </w:pPr>
    </w:p>
    <w:p>
      <w:pPr>
        <w:pStyle w:val="2"/>
        <w:rPr>
          <w:rFonts w:ascii="仿宋_GB2312" w:eastAsia="仿宋_GB2312"/>
        </w:rPr>
      </w:pPr>
      <w:r>
        <w:rPr>
          <w:rFonts w:hint="eastAsia" w:ascii="仿宋_GB2312" w:eastAsia="仿宋_GB2312"/>
        </w:rPr>
        <w:t>各区人民政府，市政府有关委、办、局：</w:t>
      </w:r>
    </w:p>
    <w:p>
      <w:pPr>
        <w:pStyle w:val="2"/>
        <w:ind w:firstLine="612" w:firstLineChars="196"/>
        <w:rPr>
          <w:rFonts w:eastAsia="仿宋_GB2312"/>
          <w:szCs w:val="32"/>
        </w:rPr>
      </w:pPr>
      <w:r>
        <w:rPr>
          <w:rFonts w:hint="eastAsia" w:eastAsia="仿宋_GB2312"/>
          <w:szCs w:val="32"/>
        </w:rPr>
        <w:t>经市人民政府同意，现将《天津市2026年食品安全监督管理计划》印发给你们，请照此执行。</w:t>
      </w:r>
    </w:p>
    <w:p>
      <w:pPr>
        <w:pStyle w:val="2"/>
        <w:rPr>
          <w:rFonts w:eastAsia="仿宋_GB2312"/>
          <w:szCs w:val="32"/>
        </w:rPr>
      </w:pPr>
    </w:p>
    <w:p>
      <w:pPr>
        <w:pStyle w:val="2"/>
        <w:keepNext w:val="0"/>
        <w:keepLines w:val="0"/>
        <w:pageBreakBefore w:val="0"/>
        <w:widowControl w:val="0"/>
        <w:kinsoku/>
        <w:overflowPunct/>
        <w:topLinePunct w:val="0"/>
        <w:autoSpaceDE/>
        <w:autoSpaceDN/>
        <w:bidi w:val="0"/>
        <w:adjustRightInd/>
        <w:snapToGrid/>
        <w:spacing w:line="360" w:lineRule="auto"/>
        <w:jc w:val="center"/>
        <w:textAlignment w:val="auto"/>
        <w:rPr>
          <w:rFonts w:eastAsia="仿宋_GB2312"/>
          <w:szCs w:val="32"/>
        </w:rPr>
      </w:pPr>
      <w:r>
        <w:rPr>
          <w:rFonts w:hint="eastAsia" w:eastAsia="仿宋_GB2312"/>
          <w:szCs w:val="32"/>
          <w:lang w:val="en-US" w:eastAsia="zh-CN"/>
        </w:rPr>
        <w:t xml:space="preserve">                        </w:t>
      </w:r>
      <w:r>
        <w:rPr>
          <w:rFonts w:hint="eastAsia" w:ascii="Times New Roman" w:hAnsi="Times New Roman" w:eastAsia="仿宋_GB2312"/>
          <w:szCs w:val="32"/>
          <w:lang w:val="en-US" w:eastAsia="zh-CN"/>
        </w:rPr>
        <w:t>天津市人民政府办公厅</w:t>
      </w:r>
    </w:p>
    <w:p>
      <w:pPr>
        <w:pStyle w:val="2"/>
        <w:wordWrap w:val="0"/>
        <w:jc w:val="right"/>
        <w:rPr>
          <w:rFonts w:eastAsia="仿宋_GB2312"/>
          <w:szCs w:val="32"/>
        </w:rPr>
      </w:pPr>
      <w:r>
        <w:rPr>
          <w:rFonts w:eastAsia="仿宋_GB2312"/>
          <w:szCs w:val="32"/>
        </w:rPr>
        <w:t>2026</w:t>
      </w:r>
      <w:r>
        <w:rPr>
          <w:rFonts w:hint="eastAsia" w:eastAsia="仿宋_GB2312"/>
          <w:szCs w:val="32"/>
        </w:rPr>
        <w:t>年</w:t>
      </w:r>
      <w:r>
        <w:rPr>
          <w:rFonts w:eastAsia="仿宋_GB2312"/>
          <w:szCs w:val="32"/>
        </w:rPr>
        <w:t>5</w:t>
      </w:r>
      <w:r>
        <w:rPr>
          <w:rFonts w:hint="eastAsia" w:eastAsia="仿宋_GB2312"/>
          <w:szCs w:val="32"/>
        </w:rPr>
        <w:t>月</w:t>
      </w:r>
      <w:r>
        <w:rPr>
          <w:rFonts w:eastAsia="仿宋_GB2312"/>
          <w:szCs w:val="32"/>
        </w:rPr>
        <w:t>22</w:t>
      </w:r>
      <w:r>
        <w:rPr>
          <w:rFonts w:hint="eastAsia" w:eastAsia="仿宋_GB2312"/>
          <w:szCs w:val="32"/>
        </w:rPr>
        <w:t xml:space="preserve">日        </w:t>
      </w:r>
    </w:p>
    <w:p>
      <w:pPr>
        <w:pStyle w:val="2"/>
        <w:rPr>
          <w:rFonts w:eastAsia="仿宋_GB2312"/>
          <w:szCs w:val="32"/>
        </w:rPr>
        <w:sectPr>
          <w:headerReference r:id="rId3" w:type="default"/>
          <w:footerReference r:id="rId4" w:type="default"/>
          <w:footerReference r:id="rId5" w:type="even"/>
          <w:pgSz w:w="11907" w:h="16840"/>
          <w:pgMar w:top="2098" w:right="1474" w:bottom="1985" w:left="1588" w:header="851" w:footer="1701" w:gutter="0"/>
          <w:cols w:space="720" w:num="1"/>
          <w:docGrid w:type="linesAndChars" w:linePitch="289" w:charSpace="-1839"/>
        </w:sectPr>
      </w:pPr>
      <w:bookmarkStart w:id="0" w:name="_GoBack"/>
      <w:r>
        <w:rPr>
          <w:rFonts w:hint="eastAsia" w:eastAsia="仿宋_GB2312"/>
          <w:szCs w:val="32"/>
        </w:rPr>
        <w:t xml:space="preserve">    （此件主动公开）</w:t>
      </w:r>
    </w:p>
    <w:bookmarkEnd w:id="0"/>
    <w:p>
      <w:pPr>
        <w:pStyle w:val="2"/>
        <w:jc w:val="center"/>
        <w:rPr>
          <w:rFonts w:eastAsia="方正小标宋_GBK"/>
          <w:sz w:val="44"/>
          <w:szCs w:val="44"/>
        </w:rPr>
      </w:pPr>
      <w:r>
        <w:rPr>
          <w:rStyle w:val="11"/>
          <w:rFonts w:hint="eastAsia" w:ascii="方正小标宋简体" w:hAnsi="方正小标宋_GBK" w:eastAsia="方正小标宋简体" w:cs="方正小标宋_GBK"/>
          <w:color w:val="auto"/>
          <w:kern w:val="2"/>
          <w:sz w:val="44"/>
          <w:szCs w:val="44"/>
          <w:u w:val="none"/>
          <w:lang w:val="en" w:eastAsia="zh-CN" w:bidi="ar-SA"/>
        </w:rPr>
        <w:t>天津市2026年食品安全监督管理计划</w:t>
      </w:r>
    </w:p>
    <w:p>
      <w:pPr>
        <w:pStyle w:val="2"/>
        <w:snapToGrid w:val="0"/>
        <w:rPr>
          <w:rFonts w:eastAsia="仿宋_GB2312"/>
          <w:szCs w:val="32"/>
        </w:rPr>
      </w:pPr>
    </w:p>
    <w:p>
      <w:pPr>
        <w:pStyle w:val="2"/>
        <w:ind w:firstLine="624" w:firstLineChars="200"/>
        <w:rPr>
          <w:rFonts w:eastAsia="仿宋_GB2312" w:cs="仿宋_GB2312"/>
          <w:szCs w:val="32"/>
        </w:rPr>
      </w:pPr>
      <w:r>
        <w:rPr>
          <w:rFonts w:hint="eastAsia" w:eastAsia="仿宋_GB2312" w:cs="仿宋_GB2312"/>
          <w:szCs w:val="32"/>
        </w:rPr>
        <w:t>2026年全市食品安全工作要全面贯彻习近平总书记关于食品安全工作的重要论述和视察天津重要讲话精神，严格落实“四个最严”重要要求，强化“产、运、储、销”全链条监管，全力守护人民群众“舌尖上的安全”，为实现“十五五”良好开局和全市经济社会高质量发展提供坚实食品安全保障。根据国务院食品安全委员会《2026年食品安全重点工作安排》，结合本市实际，制定本计划。</w:t>
      </w:r>
    </w:p>
    <w:p>
      <w:pPr>
        <w:pStyle w:val="2"/>
        <w:ind w:firstLine="624" w:firstLineChars="200"/>
        <w:rPr>
          <w:rFonts w:ascii="黑体" w:hAnsi="黑体" w:eastAsia="黑体" w:cs="黑体"/>
          <w:szCs w:val="32"/>
        </w:rPr>
      </w:pPr>
      <w:r>
        <w:rPr>
          <w:rFonts w:hint="eastAsia" w:ascii="黑体" w:hAnsi="黑体" w:eastAsia="黑体" w:cs="黑体"/>
          <w:szCs w:val="32"/>
        </w:rPr>
        <w:t>一、完善责任体系</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（一）健全食品安全监管机制。</w:t>
      </w:r>
      <w:r>
        <w:rPr>
          <w:rFonts w:hint="eastAsia" w:eastAsia="仿宋_GB2312" w:cs="仿宋_GB2312"/>
          <w:szCs w:val="32"/>
        </w:rPr>
        <w:t>贯彻落实《中共中央办公厅 国务院办公厅关于进一步强化食品安全全链条监管的意见》，优化完善落实措施清单，持续深化食品安全领域改革，提升食品安全监管能力水平。高质量编制实施食品安全“十五五”规划。</w:t>
      </w:r>
      <w:r>
        <w:rPr>
          <w:rFonts w:hint="eastAsia" w:ascii="楷体_GB2312" w:hAnsi="楷体_GB2312" w:eastAsia="楷体_GB2312" w:cs="楷体_GB2312"/>
          <w:szCs w:val="32"/>
        </w:rPr>
        <w:t>（市食品药品安全委员会办公室牵头，市食品药品安全委员会各成员单位按职责分工负责）</w:t>
      </w:r>
      <w:r>
        <w:rPr>
          <w:rFonts w:hint="eastAsia" w:eastAsia="仿宋_GB2312" w:cs="仿宋_GB2312"/>
          <w:szCs w:val="32"/>
        </w:rPr>
        <w:t>在校园、养老机构等重点领域推行食品安全“一件事全链条”监管。</w:t>
      </w:r>
      <w:r>
        <w:rPr>
          <w:rFonts w:hint="eastAsia" w:ascii="楷体_GB2312" w:hAnsi="楷体_GB2312" w:eastAsia="楷体_GB2312" w:cs="楷体_GB2312"/>
          <w:szCs w:val="32"/>
        </w:rPr>
        <w:t>（市食品药品安全委员会办公室、市市场监管委、市教委、市民政局、</w:t>
      </w:r>
      <w:r>
        <w:rPr>
          <w:rFonts w:hint="eastAsia" w:ascii="楷体_GB2312" w:hAnsi="楷体_GB2312" w:eastAsia="楷体_GB2312" w:cs="楷体_GB2312"/>
          <w:spacing w:val="-6"/>
          <w:szCs w:val="32"/>
        </w:rPr>
        <w:t>市公安局、市农业农村委、市卫生健康委、市疾控局按职责分工负责）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（二）落实食品安全“两个责任”。</w:t>
      </w:r>
      <w:r>
        <w:rPr>
          <w:rFonts w:hint="eastAsia" w:eastAsia="仿宋_GB2312" w:cs="仿宋_GB2312"/>
          <w:szCs w:val="32"/>
        </w:rPr>
        <w:t>督促各区、乡镇（街道）严格落实属地管理责任，深入实施“1</w:t>
      </w:r>
      <w:r>
        <w:rPr>
          <w:rFonts w:hint="eastAsia" w:ascii="仿宋_GB2312" w:hAnsi="仿宋_GB2312" w:eastAsia="仿宋_GB2312" w:cs="仿宋_GB2312"/>
          <w:szCs w:val="32"/>
        </w:rPr>
        <w:t>+</w:t>
      </w:r>
      <w:r>
        <w:rPr>
          <w:rFonts w:hint="eastAsia" w:eastAsia="仿宋_GB2312" w:cs="仿宋_GB2312"/>
          <w:szCs w:val="32"/>
        </w:rPr>
        <w:t>1</w:t>
      </w:r>
      <w:r>
        <w:rPr>
          <w:rFonts w:hint="eastAsia" w:ascii="仿宋_GB2312" w:hAnsi="仿宋_GB2312" w:eastAsia="仿宋_GB2312" w:cs="仿宋_GB2312"/>
          <w:szCs w:val="32"/>
        </w:rPr>
        <w:t>+</w:t>
      </w:r>
      <w:r>
        <w:rPr>
          <w:rFonts w:hint="eastAsia" w:eastAsia="仿宋_GB2312" w:cs="仿宋_GB2312"/>
          <w:szCs w:val="32"/>
        </w:rPr>
        <w:t>N”（一名监管干部、一名街镇联络员、N名包保干部）闭环管理，结合实际分层分级建立食品安全重点风险清单，根据风险等级科学设定督导频次，加强问题分类处置。（</w:t>
      </w:r>
      <w:r>
        <w:rPr>
          <w:rFonts w:hint="eastAsia" w:ascii="楷体_GB2312" w:hAnsi="楷体_GB2312" w:eastAsia="楷体_GB2312" w:cs="楷体_GB2312"/>
          <w:szCs w:val="32"/>
        </w:rPr>
        <w:t>市食品药品安全委员会办公室、各区人民政府按职责分工负责）</w:t>
      </w:r>
      <w:r>
        <w:rPr>
          <w:rFonts w:hint="eastAsia" w:eastAsia="仿宋_GB2312" w:cs="仿宋_GB2312"/>
          <w:szCs w:val="32"/>
        </w:rPr>
        <w:t>督促食品生产经营主体严格落实主体责任，配齐配强食品安全总监和食品安全员，落实“日管控、周排查、月调度”制度，结合实际建立针对性精准化风险管控清单，严格实施生产经营过程控制。（</w:t>
      </w:r>
      <w:r>
        <w:rPr>
          <w:rFonts w:hint="eastAsia" w:ascii="楷体_GB2312" w:hAnsi="楷体_GB2312" w:eastAsia="楷体_GB2312" w:cs="楷体_GB2312"/>
          <w:szCs w:val="32"/>
        </w:rPr>
        <w:t>市市场监管委负责）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（三）压实行业管理责任。</w:t>
      </w:r>
      <w:r>
        <w:rPr>
          <w:rFonts w:hint="eastAsia" w:eastAsia="仿宋_GB2312" w:cs="仿宋_GB2312"/>
          <w:szCs w:val="32"/>
        </w:rPr>
        <w:t>严格落实校园、养老机构、建筑工地、职工食堂等集中用餐单位和商贸流通、仓储运输、寄递配送等行业主管部门的食品安全管理责任，有效防范食品安全风险。</w:t>
      </w:r>
      <w:r>
        <w:rPr>
          <w:rFonts w:hint="eastAsia" w:ascii="楷体_GB2312" w:hAnsi="楷体_GB2312" w:eastAsia="楷体_GB2312" w:cs="楷体_GB2312"/>
          <w:szCs w:val="32"/>
        </w:rPr>
        <w:t>（市食品药品安全委员会相关成员单位按职责分工负责）</w:t>
      </w:r>
      <w:r>
        <w:rPr>
          <w:rFonts w:hint="eastAsia" w:eastAsia="仿宋_GB2312" w:cs="仿宋_GB2312"/>
          <w:szCs w:val="32"/>
        </w:rPr>
        <w:t>加强违法占道经营行为整治。</w:t>
      </w:r>
      <w:r>
        <w:rPr>
          <w:rFonts w:hint="eastAsia" w:ascii="楷体_GB2312" w:hAnsi="楷体_GB2312" w:eastAsia="楷体_GB2312" w:cs="楷体_GB2312"/>
          <w:szCs w:val="32"/>
        </w:rPr>
        <w:t>（市城市管理委牵头，市公安局、市市场监管委、各区人民政府配合）</w:t>
      </w:r>
      <w:r>
        <w:rPr>
          <w:rFonts w:hint="eastAsia" w:eastAsia="仿宋_GB2312" w:cs="仿宋_GB2312"/>
          <w:szCs w:val="32"/>
        </w:rPr>
        <w:t>强化旅游景区、星级饭店、非星级酒店等重点场所食品安全协同管理。</w:t>
      </w:r>
      <w:r>
        <w:rPr>
          <w:rFonts w:hint="eastAsia" w:ascii="楷体_GB2312" w:hAnsi="楷体_GB2312" w:eastAsia="楷体_GB2312" w:cs="楷体_GB2312"/>
          <w:szCs w:val="32"/>
        </w:rPr>
        <w:t>（市文化和旅游局、市商务局、市市场监管委按职责分工负责）</w:t>
      </w:r>
    </w:p>
    <w:p>
      <w:pPr>
        <w:pStyle w:val="2"/>
        <w:ind w:firstLine="624" w:firstLineChars="200"/>
        <w:rPr>
          <w:rFonts w:ascii="黑体" w:hAnsi="黑体" w:eastAsia="黑体" w:cs="黑体"/>
          <w:szCs w:val="32"/>
        </w:rPr>
      </w:pPr>
      <w:r>
        <w:rPr>
          <w:rFonts w:hint="eastAsia" w:ascii="黑体" w:hAnsi="黑体" w:eastAsia="黑体" w:cs="黑体"/>
          <w:szCs w:val="32"/>
        </w:rPr>
        <w:t>二、强化全链条监管</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（四）净化产地环境。</w:t>
      </w:r>
      <w:r>
        <w:rPr>
          <w:rFonts w:hint="eastAsia" w:eastAsia="仿宋_GB2312" w:cs="仿宋_GB2312"/>
          <w:szCs w:val="32"/>
        </w:rPr>
        <w:t>深入推进农用地土壤重金属污染溯源和整治，持续推进挥发性有机物综合治理。严格耕地分类管理，完善安全利用措施，提升受污染耕地安全利用水平。</w:t>
      </w:r>
      <w:r>
        <w:rPr>
          <w:rFonts w:hint="eastAsia" w:ascii="楷体_GB2312" w:hAnsi="楷体_GB2312" w:eastAsia="楷体_GB2312" w:cs="楷体_GB2312"/>
          <w:szCs w:val="32"/>
        </w:rPr>
        <w:t>（市生态环境局、市农业农村委按职责分工负责）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（五）强化源头治理。</w:t>
      </w:r>
      <w:r>
        <w:rPr>
          <w:rFonts w:hint="eastAsia" w:eastAsia="仿宋_GB2312" w:cs="仿宋_GB2312"/>
          <w:szCs w:val="32"/>
        </w:rPr>
        <w:t>深入开展重点问题食用农产品专项整治行动，全面推行限制使用农药经营追溯管理，持续规范畜禽、水产养殖用药，严厉打击违法使用禁限用药物行为，严控常规药物残留超标风险。持续开展豇豆、甘薯、葱农药残留和鸡蛋、鳊鱼药物残留等突出问题攻坚治理，加大抽检力度。</w:t>
      </w:r>
      <w:r>
        <w:rPr>
          <w:rFonts w:hint="eastAsia" w:ascii="楷体_GB2312" w:hAnsi="楷体_GB2312" w:eastAsia="楷体_GB2312" w:cs="楷体_GB2312"/>
          <w:szCs w:val="32"/>
        </w:rPr>
        <w:t>（市农业农村委负责）</w:t>
      </w:r>
      <w:r>
        <w:rPr>
          <w:rFonts w:hint="eastAsia" w:eastAsia="仿宋_GB2312" w:cs="仿宋_GB2312"/>
          <w:szCs w:val="32"/>
        </w:rPr>
        <w:t>深入实施《农产品质量安全承诺达标合格证管理办法》，强化智慧监管，深化推进食用农产品全链条追溯，加强产地准出与市场准入管理。</w:t>
      </w:r>
      <w:r>
        <w:rPr>
          <w:rFonts w:hint="eastAsia" w:ascii="楷体_GB2312" w:hAnsi="楷体_GB2312" w:eastAsia="楷体_GB2312" w:cs="楷体_GB2312"/>
          <w:szCs w:val="32"/>
        </w:rPr>
        <w:t>（市农业农村委、市市场监管委按职责分工负责）</w:t>
      </w:r>
      <w:r>
        <w:rPr>
          <w:rFonts w:hint="eastAsia" w:eastAsia="仿宋_GB2312" w:cs="仿宋_GB2312"/>
          <w:szCs w:val="32"/>
        </w:rPr>
        <w:t>持续做好收购粮食质量安全风险监测工作。实施政策性粮食出入库第三方检验，严防不符合食品安全标准的粮食用作食用用途出库。持续提升粮食仓储管理规范化水平，加强粮食收购、储存使用运输工具及运输行为质量安全监管，推进粮食流通提质增效。</w:t>
      </w:r>
      <w:r>
        <w:rPr>
          <w:rFonts w:hint="eastAsia" w:ascii="楷体_GB2312" w:hAnsi="楷体_GB2312" w:eastAsia="楷体_GB2312" w:cs="楷体_GB2312"/>
          <w:szCs w:val="32"/>
        </w:rPr>
        <w:t>（市粮食和物资局负责）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（六）严格生产经营过程监管。</w:t>
      </w:r>
      <w:r>
        <w:rPr>
          <w:rFonts w:hint="eastAsia" w:eastAsia="仿宋_GB2312" w:cs="仿宋_GB2312"/>
          <w:szCs w:val="32"/>
        </w:rPr>
        <w:t>深入实施市场监管“保安全惠民生”工程。严格落实许可审查要求，严禁擅自改变许可条件或未经审查即予许可。对在产在营食品生产经营主体实施全覆盖风险分级监管，开展日常监督检查和飞行检查，全链条排查治理食品安全风险隐患。全年对乳制品、肉制品、食用植物油等食品生产企业，食品经营连锁企业，大型餐饮企业，校外配餐企业和集中用餐单位食堂开展体系检查不少于480家次，对婴幼儿配方乳粉、特殊医学用途配方食品生产企业体系检查覆盖率达到100%。加强婴幼儿辅助食品安全监管，全面强化许可准入、日常监督检查等监管措施。（</w:t>
      </w:r>
      <w:r>
        <w:rPr>
          <w:rFonts w:hint="eastAsia" w:ascii="楷体_GB2312" w:hAnsi="楷体_GB2312" w:eastAsia="楷体_GB2312" w:cs="楷体_GB2312"/>
          <w:szCs w:val="32"/>
        </w:rPr>
        <w:t>市市场监管委负责）</w:t>
      </w:r>
      <w:r>
        <w:rPr>
          <w:rFonts w:hint="eastAsia" w:eastAsia="仿宋_GB2312" w:cs="仿宋_GB2312"/>
          <w:szCs w:val="32"/>
        </w:rPr>
        <w:t>加强预制菜生产过程监督检查。推广餐饮环节菜品加工制作方式自主明示。</w:t>
      </w:r>
      <w:r>
        <w:rPr>
          <w:rFonts w:hint="eastAsia" w:ascii="楷体_GB2312" w:hAnsi="楷体_GB2312" w:eastAsia="楷体_GB2312" w:cs="楷体_GB2312"/>
          <w:szCs w:val="32"/>
        </w:rPr>
        <w:t>（市市场监管委、市商务局按职责分工负责）</w:t>
      </w:r>
      <w:r>
        <w:rPr>
          <w:rFonts w:hint="eastAsia" w:eastAsia="仿宋_GB2312" w:cs="仿宋_GB2312"/>
          <w:szCs w:val="32"/>
        </w:rPr>
        <w:t>加强清真食品备案监管。</w:t>
      </w:r>
      <w:r>
        <w:rPr>
          <w:rFonts w:hint="eastAsia" w:ascii="楷体_GB2312" w:hAnsi="楷体_GB2312" w:eastAsia="楷体_GB2312" w:cs="楷体_GB2312"/>
          <w:szCs w:val="32"/>
        </w:rPr>
        <w:t>（市民族宗教委负责）</w:t>
      </w:r>
      <w:r>
        <w:rPr>
          <w:rFonts w:hint="eastAsia" w:eastAsia="仿宋_GB2312" w:cs="仿宋_GB2312"/>
          <w:szCs w:val="32"/>
        </w:rPr>
        <w:t>指导食品生产经营主体强化从业人员食品安全法律知识培训。</w:t>
      </w:r>
      <w:r>
        <w:rPr>
          <w:rFonts w:hint="eastAsia" w:ascii="楷体_GB2312" w:hAnsi="楷体_GB2312" w:eastAsia="楷体_GB2312" w:cs="楷体_GB2312"/>
          <w:szCs w:val="32"/>
        </w:rPr>
        <w:t>（市人社局、市市场监管委按职责分工负责）</w:t>
      </w:r>
      <w:r>
        <w:rPr>
          <w:rFonts w:hint="eastAsia" w:eastAsia="仿宋_GB2312" w:cs="仿宋_GB2312"/>
          <w:szCs w:val="32"/>
        </w:rPr>
        <w:t>加强从业人员健康证明管理，严厉打击制售假健康证行为。</w:t>
      </w:r>
      <w:r>
        <w:rPr>
          <w:rFonts w:hint="eastAsia" w:ascii="楷体_GB2312" w:hAnsi="楷体_GB2312" w:eastAsia="楷体_GB2312" w:cs="楷体_GB2312"/>
          <w:szCs w:val="32"/>
        </w:rPr>
        <w:t>（市卫生健康委、市疾控局、市市场监管委、市公安局按职责分工负责）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（七）加强校园食品安全监管。</w:t>
      </w:r>
      <w:r>
        <w:rPr>
          <w:rFonts w:hint="eastAsia" w:eastAsia="仿宋_GB2312" w:cs="仿宋_GB2312"/>
          <w:szCs w:val="32"/>
        </w:rPr>
        <w:t>巩固拓展“校园餐”整治成果。大力开展校园食品安全主体责任监督检查，强化落实学校及校外供餐单位食品安全主体责任。（</w:t>
      </w:r>
      <w:r>
        <w:rPr>
          <w:rFonts w:hint="eastAsia" w:ascii="楷体_GB2312" w:hAnsi="楷体_GB2312" w:eastAsia="楷体_GB2312" w:cs="楷体_GB2312"/>
          <w:szCs w:val="32"/>
        </w:rPr>
        <w:t>市市场监管委、市教委按职责分工负责）</w:t>
      </w:r>
      <w:r>
        <w:rPr>
          <w:rFonts w:hint="eastAsia" w:ascii="仿宋_GB2312" w:hAnsi="仿宋_GB2312" w:eastAsia="仿宋_GB2312" w:cs="仿宋_GB2312"/>
          <w:szCs w:val="32"/>
        </w:rPr>
        <w:t>持</w:t>
      </w:r>
      <w:r>
        <w:rPr>
          <w:rFonts w:hint="eastAsia" w:eastAsia="仿宋_GB2312" w:cs="仿宋_GB2312"/>
          <w:szCs w:val="32"/>
        </w:rPr>
        <w:t>续推进校园食堂建设，推动具备条件的中小学恢复校内食堂供餐。严格规范食堂经营行为和校外供餐单位管理。推广应用天津市校园食品安全采购追溯平台，规范食材采购、供应、验收、结算等流程。（</w:t>
      </w:r>
      <w:r>
        <w:rPr>
          <w:rFonts w:hint="eastAsia" w:ascii="楷体_GB2312" w:hAnsi="楷体_GB2312" w:eastAsia="楷体_GB2312" w:cs="楷体_GB2312"/>
          <w:szCs w:val="32"/>
        </w:rPr>
        <w:t>市教委、市市场监管委、市供销合作总社按职责分工负责）</w:t>
      </w:r>
      <w:r>
        <w:rPr>
          <w:rFonts w:hint="eastAsia" w:eastAsia="仿宋_GB2312" w:cs="仿宋_GB2312"/>
          <w:szCs w:val="32"/>
        </w:rPr>
        <w:t>加强直供学校种养殖基地农产品质量安全监管。</w:t>
      </w:r>
      <w:r>
        <w:rPr>
          <w:rFonts w:hint="eastAsia" w:ascii="楷体_GB2312" w:hAnsi="楷体_GB2312" w:eastAsia="楷体_GB2312" w:cs="楷体_GB2312"/>
          <w:szCs w:val="32"/>
        </w:rPr>
        <w:t>（市农业农村委负责）</w:t>
      </w:r>
      <w:r>
        <w:rPr>
          <w:rFonts w:hint="eastAsia" w:eastAsia="仿宋_GB2312" w:cs="仿宋_GB2312"/>
          <w:szCs w:val="32"/>
        </w:rPr>
        <w:t>督促学校严格落实食品安全主体责任、校长第一责任人责任，加强食品安全管理和食堂设施设备配备及维护保养。</w:t>
      </w:r>
      <w:r>
        <w:rPr>
          <w:rFonts w:hint="eastAsia" w:ascii="楷体_GB2312" w:hAnsi="楷体_GB2312" w:eastAsia="楷体_GB2312" w:cs="楷体_GB2312"/>
          <w:szCs w:val="32"/>
        </w:rPr>
        <w:t>（市教委、有关行业主管部门按职责分工负责）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（八）强化重点领域监管。</w:t>
      </w:r>
      <w:r>
        <w:rPr>
          <w:rFonts w:hint="eastAsia" w:eastAsia="仿宋_GB2312" w:cs="仿宋_GB2312"/>
          <w:szCs w:val="32"/>
        </w:rPr>
        <w:t>落实群众身边不正之风和腐败问题集中整治要求，严肃整治网络餐饮食品安全和制售假劣肉制品问题，加强养老机构食堂食品安全监管。（</w:t>
      </w:r>
      <w:r>
        <w:rPr>
          <w:rFonts w:hint="eastAsia" w:ascii="楷体_GB2312" w:hAnsi="楷体_GB2312" w:eastAsia="楷体_GB2312" w:cs="楷体_GB2312"/>
          <w:szCs w:val="32"/>
        </w:rPr>
        <w:t>市市场监管委、市公安局、市民政局按职责分工负责）</w:t>
      </w:r>
      <w:r>
        <w:rPr>
          <w:rFonts w:hint="eastAsia" w:eastAsia="仿宋_GB2312" w:cs="仿宋_GB2312"/>
          <w:szCs w:val="32"/>
        </w:rPr>
        <w:t>开展酒类制假售假等突出问题集中整治。持续加强食品添加剂滥用问题综合治理，强化重点品种、重点区域和生产、销售、使用等重点环节监管。压实餐饮服务和食品销售连锁企业食品安全主体责任，落实企业总部和分支机构食品安全管理责任报告制度。强化网红餐饮店食品安全监管，严防“重营销、轻品控”问题。深入治理“幽灵外卖”等网络餐饮食品安全问题，强化无堂食外卖监管，督促入网餐饮服务提供者严格按照许可项目开展经营活动。强化直播带货、私域电商、社区团购等网络食品销售新业态监管。压实平台管理责任和相关经营者主体责任，着力解决资质造假、虚假宣传、消费欺诈等突出问题。加大网络销售食品抽检力度，推进线上线下同标同质。</w:t>
      </w:r>
      <w:r>
        <w:rPr>
          <w:rFonts w:hint="eastAsia" w:ascii="楷体_GB2312" w:hAnsi="楷体_GB2312" w:eastAsia="楷体_GB2312" w:cs="楷体_GB2312"/>
          <w:szCs w:val="32"/>
        </w:rPr>
        <w:t>（市市场监管委负责）</w:t>
      </w:r>
      <w:r>
        <w:rPr>
          <w:rFonts w:hint="eastAsia" w:eastAsia="仿宋_GB2312" w:cs="仿宋_GB2312"/>
          <w:szCs w:val="32"/>
        </w:rPr>
        <w:t>开展保健食品护老提升专项行动，促进保健食品行业规范发展。（</w:t>
      </w:r>
      <w:r>
        <w:rPr>
          <w:rFonts w:hint="eastAsia" w:ascii="楷体_GB2312" w:hAnsi="楷体_GB2312" w:eastAsia="楷体_GB2312" w:cs="楷体_GB2312"/>
          <w:szCs w:val="32"/>
        </w:rPr>
        <w:t>市市场监管委、市工业和信息化局按职责分工负责）</w:t>
      </w:r>
      <w:r>
        <w:rPr>
          <w:rFonts w:hint="eastAsia" w:eastAsia="仿宋_GB2312" w:cs="仿宋_GB2312"/>
          <w:szCs w:val="32"/>
        </w:rPr>
        <w:t>深化进出口食品安全监管协作，完善跨境电商零售进口食品监管机制，加强召回监管。（</w:t>
      </w:r>
      <w:r>
        <w:rPr>
          <w:rFonts w:hint="eastAsia" w:ascii="楷体_GB2312" w:hAnsi="楷体_GB2312" w:eastAsia="楷体_GB2312" w:cs="楷体_GB2312"/>
          <w:szCs w:val="32"/>
        </w:rPr>
        <w:t>市商务局、天津海关、市市场监管委按职责分工负责）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（九）加强仓储运输配送环节监管。</w:t>
      </w:r>
      <w:r>
        <w:rPr>
          <w:rFonts w:hint="eastAsia" w:eastAsia="仿宋_GB2312" w:cs="仿宋_GB2312"/>
          <w:szCs w:val="32"/>
        </w:rPr>
        <w:t>健全完善食品贮存监管制度，明确监管要求，规范贮存经营行为。</w:t>
      </w:r>
      <w:r>
        <w:rPr>
          <w:rFonts w:hint="eastAsia" w:ascii="楷体_GB2312" w:hAnsi="楷体_GB2312" w:eastAsia="楷体_GB2312" w:cs="楷体_GB2312"/>
          <w:szCs w:val="32"/>
        </w:rPr>
        <w:t>（市农业农村委、天津海关、市市场监管委、市粮食和物资局按职责分工负责）</w:t>
      </w:r>
      <w:r>
        <w:rPr>
          <w:rFonts w:hint="eastAsia" w:eastAsia="仿宋_GB2312" w:cs="仿宋_GB2312"/>
          <w:szCs w:val="32"/>
        </w:rPr>
        <w:t>严格落实重点液态食品道路散装运输管理相关制度规定，做好许可证核发和协同监管，督促发货方、承运方、收货方全面履行食品安全责任。</w:t>
      </w:r>
      <w:r>
        <w:rPr>
          <w:rFonts w:hint="eastAsia" w:ascii="楷体_GB2312" w:hAnsi="楷体_GB2312" w:eastAsia="楷体_GB2312" w:cs="楷体_GB2312"/>
          <w:szCs w:val="32"/>
        </w:rPr>
        <w:t>（市交通运输委、市市场监管委、市粮食和物资局、市农业农村委、天津海关按职责分工负责）</w:t>
      </w:r>
      <w:r>
        <w:rPr>
          <w:rFonts w:hint="eastAsia" w:eastAsia="仿宋_GB2312" w:cs="仿宋_GB2312"/>
          <w:szCs w:val="32"/>
        </w:rPr>
        <w:t>强化食品寄递和配送安全管理。（</w:t>
      </w:r>
      <w:r>
        <w:rPr>
          <w:rFonts w:hint="eastAsia" w:ascii="楷体_GB2312" w:hAnsi="楷体_GB2312" w:eastAsia="楷体_GB2312" w:cs="楷体_GB2312"/>
          <w:szCs w:val="32"/>
        </w:rPr>
        <w:t>市邮政管理局、市市场监管委按职责分工负责）</w:t>
      </w:r>
    </w:p>
    <w:p>
      <w:pPr>
        <w:pStyle w:val="2"/>
        <w:ind w:firstLine="624" w:firstLineChars="200"/>
        <w:rPr>
          <w:rFonts w:ascii="黑体" w:hAnsi="黑体" w:eastAsia="黑体" w:cs="黑体"/>
          <w:szCs w:val="32"/>
        </w:rPr>
      </w:pPr>
      <w:r>
        <w:rPr>
          <w:rFonts w:hint="eastAsia" w:ascii="黑体" w:hAnsi="黑体" w:eastAsia="黑体" w:cs="黑体"/>
          <w:szCs w:val="32"/>
        </w:rPr>
        <w:t>三、强化抽检监测</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（十）提升抽检效能。</w:t>
      </w:r>
      <w:r>
        <w:rPr>
          <w:rFonts w:hint="eastAsia" w:eastAsia="仿宋_GB2312" w:cs="仿宋_GB2312"/>
          <w:szCs w:val="32"/>
        </w:rPr>
        <w:t>优化“常规</w:t>
      </w:r>
      <w:r>
        <w:rPr>
          <w:rFonts w:hint="eastAsia" w:ascii="仿宋_GB2312" w:hAnsi="仿宋_GB2312" w:eastAsia="仿宋_GB2312" w:cs="仿宋_GB2312"/>
          <w:szCs w:val="32"/>
        </w:rPr>
        <w:t>+</w:t>
      </w:r>
      <w:r>
        <w:rPr>
          <w:rFonts w:hint="eastAsia" w:eastAsia="仿宋_GB2312" w:cs="仿宋_GB2312"/>
          <w:szCs w:val="32"/>
        </w:rPr>
        <w:t>专项</w:t>
      </w:r>
      <w:r>
        <w:rPr>
          <w:rFonts w:hint="eastAsia" w:ascii="仿宋_GB2312" w:hAnsi="仿宋_GB2312" w:eastAsia="仿宋_GB2312" w:cs="仿宋_GB2312"/>
          <w:szCs w:val="32"/>
        </w:rPr>
        <w:t>+</w:t>
      </w:r>
      <w:r>
        <w:rPr>
          <w:rFonts w:hint="eastAsia" w:eastAsia="仿宋_GB2312" w:cs="仿宋_GB2312"/>
          <w:szCs w:val="32"/>
        </w:rPr>
        <w:t>应急”抽检工作机制，市级抽检中“专项</w:t>
      </w:r>
      <w:r>
        <w:rPr>
          <w:rFonts w:hint="eastAsia" w:ascii="仿宋_GB2312" w:hAnsi="仿宋_GB2312" w:eastAsia="仿宋_GB2312" w:cs="仿宋_GB2312"/>
          <w:szCs w:val="32"/>
        </w:rPr>
        <w:t>+</w:t>
      </w:r>
      <w:r>
        <w:rPr>
          <w:rFonts w:hint="eastAsia" w:eastAsia="仿宋_GB2312" w:cs="仿宋_GB2312"/>
          <w:szCs w:val="32"/>
        </w:rPr>
        <w:t>应急”抽检占比不少于50%。全年安排食品、食用农产品质量安全抽检11.43万批次，达到8.38批次/千人。</w:t>
      </w:r>
      <w:r>
        <w:rPr>
          <w:rFonts w:hint="eastAsia" w:ascii="楷体_GB2312" w:hAnsi="楷体_GB2312" w:eastAsia="楷体_GB2312" w:cs="楷体_GB2312"/>
          <w:szCs w:val="32"/>
        </w:rPr>
        <w:t>（市市场监管委、市农业农村委按职责分工负责）</w:t>
      </w:r>
      <w:r>
        <w:rPr>
          <w:rFonts w:hint="eastAsia" w:eastAsia="仿宋_GB2312" w:cs="仿宋_GB2312"/>
          <w:szCs w:val="32"/>
        </w:rPr>
        <w:t>探索建立抽检蓝军队伍，提升抽检靶向性。组织开展“你点我检惠民生”活动，广泛征集消费者对食品抽检的意见建议。强化核查处置工作，推行技术帮扶。加强承检机构管理，组织开展食品快检结果实验室验证。严格落实国家食品相关产品监督抽查结果后处理任务。</w:t>
      </w:r>
      <w:r>
        <w:rPr>
          <w:rFonts w:hint="eastAsia" w:ascii="楷体_GB2312" w:hAnsi="楷体_GB2312" w:eastAsia="楷体_GB2312" w:cs="楷体_GB2312"/>
          <w:szCs w:val="32"/>
        </w:rPr>
        <w:t>（市市场监管委负责）</w:t>
      </w:r>
      <w:r>
        <w:rPr>
          <w:rFonts w:hint="eastAsia" w:eastAsia="仿宋_GB2312" w:cs="仿宋_GB2312"/>
          <w:szCs w:val="32"/>
        </w:rPr>
        <w:t>完成国家下达的食用林产品质量安全监测任务。</w:t>
      </w:r>
      <w:r>
        <w:rPr>
          <w:rFonts w:hint="eastAsia" w:ascii="楷体_GB2312" w:hAnsi="楷体_GB2312" w:eastAsia="楷体_GB2312" w:cs="楷体_GB2312"/>
          <w:szCs w:val="32"/>
        </w:rPr>
        <w:t>（市规划资源局负责）</w:t>
      </w:r>
      <w:r>
        <w:rPr>
          <w:rFonts w:hint="eastAsia" w:eastAsia="仿宋_GB2312" w:cs="仿宋_GB2312"/>
          <w:szCs w:val="32"/>
        </w:rPr>
        <w:t>加强铁路运营食品安全检测。（</w:t>
      </w:r>
      <w:r>
        <w:rPr>
          <w:rFonts w:hint="eastAsia" w:ascii="楷体_GB2312" w:hAnsi="楷体_GB2312" w:eastAsia="楷体_GB2312" w:cs="楷体_GB2312"/>
          <w:szCs w:val="32"/>
        </w:rPr>
        <w:t>中国铁路北京局集团有限公司天津铁路办事处负责）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（十一）加强风险监测和风险评估。</w:t>
      </w:r>
      <w:r>
        <w:rPr>
          <w:rFonts w:hint="eastAsia" w:eastAsia="仿宋_GB2312" w:cs="仿宋_GB2312"/>
          <w:szCs w:val="32"/>
        </w:rPr>
        <w:t>高质量落实食品安全风险监测、食源性疾病监测任务，加强监测结果部门通报会商。</w:t>
      </w:r>
      <w:r>
        <w:rPr>
          <w:rFonts w:hint="eastAsia" w:ascii="楷体_GB2312" w:hAnsi="楷体_GB2312" w:eastAsia="楷体_GB2312" w:cs="楷体_GB2312"/>
          <w:szCs w:val="32"/>
        </w:rPr>
        <w:t>（市卫生健康委牵头，市食品药品安全委员会相关成员单位配合）</w:t>
      </w:r>
      <w:r>
        <w:rPr>
          <w:rFonts w:hint="eastAsia" w:eastAsia="仿宋_GB2312" w:cs="仿宋_GB2312"/>
          <w:szCs w:val="32"/>
        </w:rPr>
        <w:t>加大风险监测评估新方法新模型研究力度，开展食品安全风险监测评估并强化结果运用。（</w:t>
      </w:r>
      <w:r>
        <w:rPr>
          <w:rFonts w:hint="eastAsia" w:ascii="楷体_GB2312" w:hAnsi="楷体_GB2312" w:eastAsia="楷体_GB2312" w:cs="楷体_GB2312"/>
          <w:szCs w:val="32"/>
        </w:rPr>
        <w:t>市卫生健康委负责）</w:t>
      </w:r>
    </w:p>
    <w:p>
      <w:pPr>
        <w:pStyle w:val="2"/>
        <w:ind w:firstLine="624" w:firstLineChars="200"/>
        <w:rPr>
          <w:rFonts w:ascii="黑体" w:hAnsi="黑体" w:eastAsia="黑体" w:cs="黑体"/>
          <w:szCs w:val="32"/>
        </w:rPr>
      </w:pPr>
      <w:r>
        <w:rPr>
          <w:rFonts w:hint="eastAsia" w:ascii="黑体" w:hAnsi="黑体" w:eastAsia="黑体" w:cs="黑体"/>
          <w:szCs w:val="32"/>
        </w:rPr>
        <w:t>四、保持从严整治高压态势</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（十二）严惩违法犯罪行为。</w:t>
      </w:r>
      <w:r>
        <w:rPr>
          <w:rFonts w:hint="eastAsia" w:eastAsia="仿宋_GB2312" w:cs="仿宋_GB2312"/>
          <w:szCs w:val="32"/>
        </w:rPr>
        <w:t>依法严厉打击危害食品安全犯罪，加大案件查处、重大案件督办和曝光力度，集中力量查办一批有影响力、震慑力的大案要案，曝光一批打击效果显著、社会反响良好的典型案例。（</w:t>
      </w:r>
      <w:r>
        <w:rPr>
          <w:rFonts w:hint="eastAsia" w:ascii="楷体_GB2312" w:hAnsi="楷体_GB2312" w:eastAsia="楷体_GB2312" w:cs="楷体_GB2312"/>
          <w:szCs w:val="32"/>
        </w:rPr>
        <w:t>市委政法委、市公安局、市高级人民法院、市人民检察院按职责分工负责）</w:t>
      </w:r>
      <w:r>
        <w:rPr>
          <w:rFonts w:hint="eastAsia" w:eastAsia="仿宋_GB2312" w:cs="仿宋_GB2312"/>
          <w:szCs w:val="32"/>
        </w:rPr>
        <w:t>开展“绿剑护粮安”执法行动，严厉打击私屠滥宰、屠宰病死畜禽等食用农产品违法违规行为。</w:t>
      </w:r>
      <w:r>
        <w:rPr>
          <w:rFonts w:hint="eastAsia" w:ascii="楷体_GB2312" w:hAnsi="楷体_GB2312" w:eastAsia="楷体_GB2312" w:cs="楷体_GB2312"/>
          <w:szCs w:val="32"/>
        </w:rPr>
        <w:t>（市农业农村委负责）</w:t>
      </w:r>
      <w:r>
        <w:rPr>
          <w:rFonts w:hint="eastAsia" w:eastAsia="仿宋_GB2312" w:cs="仿宋_GB2312"/>
          <w:szCs w:val="32"/>
        </w:rPr>
        <w:t>深入开展“铁拳”行动，加大网络餐饮食品安全问题查处力度，严厉打击制售假劣肉制品等违法行为，严惩重处社会和群众反映强烈、性质恶劣、突破道德底线的食品安全违法行为。（</w:t>
      </w:r>
      <w:r>
        <w:rPr>
          <w:rFonts w:hint="eastAsia" w:ascii="楷体_GB2312" w:hAnsi="楷体_GB2312" w:eastAsia="楷体_GB2312" w:cs="楷体_GB2312"/>
          <w:szCs w:val="32"/>
        </w:rPr>
        <w:t>市市场监管委负责）</w:t>
      </w:r>
      <w:r>
        <w:rPr>
          <w:rFonts w:hint="eastAsia" w:eastAsia="仿宋_GB2312" w:cs="仿宋_GB2312"/>
          <w:szCs w:val="32"/>
        </w:rPr>
        <w:t>聚焦重点领域、重点环节和“两超一非”、病死畜禽、虚假宣传、制假售假等突出犯罪活动，全力开展破案攻坚行动。</w:t>
      </w:r>
      <w:r>
        <w:rPr>
          <w:rFonts w:hint="eastAsia" w:ascii="楷体_GB2312" w:hAnsi="楷体_GB2312" w:eastAsia="楷体_GB2312" w:cs="楷体_GB2312"/>
          <w:szCs w:val="32"/>
        </w:rPr>
        <w:t>（市公安局负责）</w:t>
      </w:r>
      <w:r>
        <w:rPr>
          <w:rFonts w:hint="eastAsia" w:eastAsia="仿宋_GB2312" w:cs="仿宋_GB2312"/>
          <w:szCs w:val="32"/>
        </w:rPr>
        <w:t>开展进口食品“国门守护”行动，加强口岸食品安全监管，严格落实海关总署关于进口食品安全监督抽检工作要求，持续开展“净海”系列专项行动，严厉打击走私农食产品（含冻品）等违法犯罪活动。（</w:t>
      </w:r>
      <w:r>
        <w:rPr>
          <w:rFonts w:hint="eastAsia" w:ascii="楷体_GB2312" w:hAnsi="楷体_GB2312" w:eastAsia="楷体_GB2312" w:cs="楷体_GB2312"/>
          <w:szCs w:val="32"/>
        </w:rPr>
        <w:t>天津海关、天津海警局按职责分工负责）</w:t>
      </w:r>
      <w:r>
        <w:rPr>
          <w:rFonts w:hint="eastAsia" w:eastAsia="仿宋_GB2312" w:cs="仿宋_GB2312"/>
          <w:szCs w:val="32"/>
        </w:rPr>
        <w:t>开展食品安全行政执法与刑事司法双向衔接机制规范化建设试点。推行重大食品安全刑事案件“一案三查”制度，强化刑纪衔接。严格落实处罚到人、行业禁入等制度规定。（</w:t>
      </w:r>
      <w:r>
        <w:rPr>
          <w:rFonts w:hint="eastAsia" w:ascii="楷体_GB2312" w:hAnsi="楷体_GB2312" w:eastAsia="楷体_GB2312" w:cs="楷体_GB2312"/>
          <w:szCs w:val="32"/>
        </w:rPr>
        <w:t>市司法局、市公安局、市高级人民法院、市人民检察院、市市场监管委、市农业农村委等市食品药品安全委员会相关成员单位按职责分工负责）</w:t>
      </w:r>
    </w:p>
    <w:p>
      <w:pPr>
        <w:pStyle w:val="2"/>
        <w:ind w:firstLine="624" w:firstLineChars="200"/>
        <w:rPr>
          <w:rFonts w:ascii="黑体" w:hAnsi="黑体" w:eastAsia="黑体" w:cs="黑体"/>
          <w:szCs w:val="32"/>
        </w:rPr>
      </w:pPr>
      <w:r>
        <w:rPr>
          <w:rFonts w:hint="eastAsia" w:ascii="黑体" w:hAnsi="黑体" w:eastAsia="黑体" w:cs="黑体"/>
          <w:szCs w:val="32"/>
        </w:rPr>
        <w:t>五、提升综合监管能力</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（十三）健全法规制度标准。</w:t>
      </w:r>
      <w:r>
        <w:rPr>
          <w:rFonts w:hint="eastAsia" w:eastAsia="仿宋_GB2312" w:cs="仿宋_GB2312"/>
          <w:szCs w:val="32"/>
        </w:rPr>
        <w:t>推动制定天津市粮食安全保障条例、修订天津市畜牧条例。（</w:t>
      </w:r>
      <w:r>
        <w:rPr>
          <w:rFonts w:hint="eastAsia" w:ascii="楷体_GB2312" w:hAnsi="楷体_GB2312" w:eastAsia="楷体_GB2312" w:cs="楷体_GB2312"/>
          <w:szCs w:val="32"/>
        </w:rPr>
        <w:t>市粮食和物资局、市发展改革委、市农业农村委、市司法局按职责分工负责）</w:t>
      </w:r>
      <w:r>
        <w:rPr>
          <w:rFonts w:hint="eastAsia" w:eastAsia="仿宋_GB2312" w:cs="仿宋_GB2312"/>
          <w:szCs w:val="32"/>
        </w:rPr>
        <w:t>修订完善天津市连锁企业食品经营许可“先证后核”信用承诺审批实施办法。（</w:t>
      </w:r>
      <w:r>
        <w:rPr>
          <w:rFonts w:hint="eastAsia" w:ascii="楷体_GB2312" w:hAnsi="楷体_GB2312" w:eastAsia="楷体_GB2312" w:cs="楷体_GB2312"/>
          <w:szCs w:val="32"/>
        </w:rPr>
        <w:t>市市场监管委负责）</w:t>
      </w:r>
      <w:r>
        <w:rPr>
          <w:rFonts w:hint="eastAsia" w:eastAsia="仿宋_GB2312" w:cs="仿宋_GB2312"/>
          <w:szCs w:val="32"/>
        </w:rPr>
        <w:t>强化生产经营规范类标准使用，加强食品安全标准实施情况跟踪评价，组织开展食品安全标准宣传贯彻“强基层、进企业”服务活动，大力推广数字标签普及应用。</w:t>
      </w:r>
      <w:r>
        <w:rPr>
          <w:rFonts w:hint="eastAsia" w:ascii="楷体_GB2312" w:hAnsi="楷体_GB2312" w:eastAsia="楷体_GB2312" w:cs="楷体_GB2312"/>
          <w:szCs w:val="32"/>
        </w:rPr>
        <w:t>（市卫生健康委、市市场监管委、市农业农村委按职责分工负责）</w:t>
      </w:r>
      <w:r>
        <w:rPr>
          <w:rFonts w:hint="eastAsia" w:eastAsia="仿宋_GB2312" w:cs="仿宋_GB2312"/>
          <w:szCs w:val="32"/>
        </w:rPr>
        <w:t>推进本市参与的食品安全国家标准制修订进度，加强地方标准制修订。（</w:t>
      </w:r>
      <w:r>
        <w:rPr>
          <w:rFonts w:hint="eastAsia" w:ascii="楷体_GB2312" w:hAnsi="楷体_GB2312" w:eastAsia="楷体_GB2312" w:cs="楷体_GB2312"/>
          <w:szCs w:val="32"/>
        </w:rPr>
        <w:t>市卫生健康委、市农业农村委、市市场监管委按职责分工负责）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（十四）加强信用监管。</w:t>
      </w:r>
      <w:r>
        <w:rPr>
          <w:rFonts w:hint="eastAsia" w:eastAsia="仿宋_GB2312" w:cs="仿宋_GB2312"/>
          <w:szCs w:val="32"/>
        </w:rPr>
        <w:t>深化食品生产经营企业信用风险分级分类管理，加大涉企信用信息归集公示力度，强化分类结果运用，常态化实现企业信用风险分类结果与“双随机、一公开”监管有机融合。依法将食品领域严重违法失信主体列入市场监管严重违法失信名单，强化联合惩戒，引导企业诚信经营。</w:t>
      </w:r>
      <w:r>
        <w:rPr>
          <w:rFonts w:hint="eastAsia" w:ascii="楷体_GB2312" w:hAnsi="楷体_GB2312" w:eastAsia="楷体_GB2312" w:cs="楷体_GB2312"/>
          <w:szCs w:val="32"/>
        </w:rPr>
        <w:t>（市发展改革委、市市场监管委按职责分工负责）</w:t>
      </w:r>
      <w:r>
        <w:rPr>
          <w:rFonts w:hint="eastAsia" w:eastAsia="仿宋_GB2312" w:cs="仿宋_GB2312"/>
          <w:szCs w:val="32"/>
        </w:rPr>
        <w:t>推进食用农产品质量安全信用分级分类监管。</w:t>
      </w:r>
      <w:r>
        <w:rPr>
          <w:rFonts w:hint="eastAsia" w:ascii="楷体_GB2312" w:hAnsi="楷体_GB2312" w:eastAsia="楷体_GB2312" w:cs="楷体_GB2312"/>
          <w:szCs w:val="32"/>
        </w:rPr>
        <w:t>（市农业农村委负责）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（十五）强化智慧监管。</w:t>
      </w:r>
      <w:r>
        <w:rPr>
          <w:rFonts w:hint="eastAsia" w:eastAsia="仿宋_GB2312" w:cs="仿宋_GB2312"/>
          <w:szCs w:val="32"/>
        </w:rPr>
        <w:t>持续推进食品生产经营主体风险画像、监管效能分析、“互联网</w:t>
      </w:r>
      <w:r>
        <w:rPr>
          <w:rFonts w:hint="eastAsia" w:ascii="仿宋_GB2312" w:hAnsi="仿宋_GB2312" w:eastAsia="仿宋_GB2312" w:cs="仿宋_GB2312"/>
          <w:szCs w:val="32"/>
        </w:rPr>
        <w:t>+</w:t>
      </w:r>
      <w:r>
        <w:rPr>
          <w:rFonts w:hint="eastAsia" w:eastAsia="仿宋_GB2312" w:cs="仿宋_GB2312"/>
          <w:szCs w:val="32"/>
        </w:rPr>
        <w:t>明厨亮灶”等应用场景建设。大力推动食品生产经营企业“互联网</w:t>
      </w:r>
      <w:r>
        <w:rPr>
          <w:rFonts w:hint="eastAsia" w:ascii="仿宋_GB2312" w:hAnsi="仿宋_GB2312" w:eastAsia="仿宋_GB2312" w:cs="仿宋_GB2312"/>
          <w:szCs w:val="32"/>
        </w:rPr>
        <w:t>+</w:t>
      </w:r>
      <w:r>
        <w:rPr>
          <w:rFonts w:hint="eastAsia" w:eastAsia="仿宋_GB2312" w:cs="仿宋_GB2312"/>
          <w:szCs w:val="32"/>
        </w:rPr>
        <w:t>AI监管”，逐步实现非现场可视化监管。</w:t>
      </w:r>
      <w:r>
        <w:rPr>
          <w:rFonts w:hint="eastAsia" w:ascii="楷体_GB2312" w:hAnsi="楷体_GB2312" w:eastAsia="楷体_GB2312" w:cs="楷体_GB2312"/>
          <w:szCs w:val="32"/>
        </w:rPr>
        <w:t>（市数据局、市市场监管委按职责分工负责）</w:t>
      </w:r>
      <w:r>
        <w:rPr>
          <w:rFonts w:hint="eastAsia" w:eastAsia="仿宋_GB2312" w:cs="仿宋_GB2312"/>
          <w:szCs w:val="32"/>
        </w:rPr>
        <w:t>强化食用农产品质量安全监管和动物检疫信息化建设。加强肉蛋等重点品类食用农产品全链条追溯管理。加强婴幼儿配方乳粉追溯体系平台应用。强化追溯数据动态分析，提高风险预警能力。（</w:t>
      </w:r>
      <w:r>
        <w:rPr>
          <w:rFonts w:hint="eastAsia" w:ascii="楷体_GB2312" w:hAnsi="楷体_GB2312" w:eastAsia="楷体_GB2312" w:cs="楷体_GB2312"/>
          <w:szCs w:val="32"/>
        </w:rPr>
        <w:t>市农业农村委、市工业和信息化局、市市场监管委按职责分工负责）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（十六）加强队伍建设。</w:t>
      </w:r>
      <w:r>
        <w:rPr>
          <w:rFonts w:hint="eastAsia" w:eastAsia="仿宋_GB2312" w:cs="仿宋_GB2312"/>
          <w:szCs w:val="32"/>
        </w:rPr>
        <w:t>分级组织开展食品安全全链条监管人员全覆盖培训。（</w:t>
      </w:r>
      <w:r>
        <w:rPr>
          <w:rFonts w:hint="eastAsia" w:ascii="楷体_GB2312" w:hAnsi="楷体_GB2312" w:eastAsia="楷体_GB2312" w:cs="楷体_GB2312"/>
          <w:szCs w:val="32"/>
        </w:rPr>
        <w:t>市食品药品安全委员会办公室、市市场监管委、市农业农村委、各区人民政府按职责分工负责）</w:t>
      </w:r>
      <w:r>
        <w:rPr>
          <w:rFonts w:hint="eastAsia" w:eastAsia="仿宋_GB2312" w:cs="仿宋_GB2312"/>
          <w:szCs w:val="32"/>
        </w:rPr>
        <w:t>深入实施食品安全“跟班式调研”，强化调研成果运用。建强食品生产安全监督检查员队伍。</w:t>
      </w:r>
      <w:r>
        <w:rPr>
          <w:rFonts w:hint="eastAsia" w:ascii="楷体_GB2312" w:hAnsi="楷体_GB2312" w:eastAsia="楷体_GB2312" w:cs="楷体_GB2312"/>
          <w:szCs w:val="32"/>
        </w:rPr>
        <w:t>（市市场监管委负责）</w:t>
      </w:r>
      <w:r>
        <w:rPr>
          <w:rFonts w:hint="eastAsia" w:eastAsia="仿宋_GB2312" w:cs="仿宋_GB2312"/>
          <w:szCs w:val="32"/>
        </w:rPr>
        <w:t>组建粮食流通执法督查专业人才库，加强执法队伍建设。（</w:t>
      </w:r>
      <w:r>
        <w:rPr>
          <w:rFonts w:hint="eastAsia" w:ascii="楷体_GB2312" w:hAnsi="楷体_GB2312" w:eastAsia="楷体_GB2312" w:cs="楷体_GB2312"/>
          <w:szCs w:val="32"/>
        </w:rPr>
        <w:t>市粮食和物资局负责）</w:t>
      </w:r>
      <w:r>
        <w:rPr>
          <w:rFonts w:hint="eastAsia" w:eastAsia="仿宋_GB2312" w:cs="仿宋_GB2312"/>
          <w:szCs w:val="32"/>
        </w:rPr>
        <w:t>持续提升进出口食品安全检查员队伍履职能力。（</w:t>
      </w:r>
      <w:r>
        <w:rPr>
          <w:rFonts w:hint="eastAsia" w:ascii="楷体_GB2312" w:hAnsi="楷体_GB2312" w:eastAsia="楷体_GB2312" w:cs="楷体_GB2312"/>
          <w:szCs w:val="32"/>
        </w:rPr>
        <w:t>天津海关负责）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（十七）强化重大活动保障。</w:t>
      </w:r>
      <w:r>
        <w:rPr>
          <w:rFonts w:hint="eastAsia" w:eastAsia="仿宋_GB2312" w:cs="仿宋_GB2312"/>
          <w:szCs w:val="32"/>
        </w:rPr>
        <w:t>总结运用好上海合作组织天津峰会食品安全保障经验，修订完善重大活动食品安全保障实施细则，深化协同工作机制，充分发挥专家团队技术支撑优势，聚焦重点领域、重点场所、重点环节，严格执行各项标准规范，全力做好重大活动食品安全保障工作。</w:t>
      </w:r>
      <w:r>
        <w:rPr>
          <w:rFonts w:hint="eastAsia" w:ascii="楷体_GB2312" w:hAnsi="楷体_GB2312" w:eastAsia="楷体_GB2312" w:cs="楷体_GB2312"/>
          <w:szCs w:val="32"/>
        </w:rPr>
        <w:t>（市市场监管委、市农业农村委、市商务局、市公安局等市食品药品安全委员会相关成员单位按职责分工负责）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（十八）夯实技术支撑。</w:t>
      </w:r>
      <w:r>
        <w:rPr>
          <w:rFonts w:hint="eastAsia" w:eastAsia="仿宋_GB2312" w:cs="仿宋_GB2312"/>
          <w:szCs w:val="32"/>
        </w:rPr>
        <w:t>推动食品安全领域科技创新，引导企业加大科研投入，推动科技成果转化应用，支撑产业创新升级。（</w:t>
      </w:r>
      <w:r>
        <w:rPr>
          <w:rFonts w:hint="eastAsia" w:ascii="楷体_GB2312" w:hAnsi="楷体_GB2312" w:eastAsia="楷体_GB2312" w:cs="楷体_GB2312"/>
          <w:szCs w:val="32"/>
        </w:rPr>
        <w:t>市科技局牵头，市教委、市农业农村委、市卫生健康委、市市场监管委、天津海关按职责分工负责）</w:t>
      </w:r>
      <w:r>
        <w:rPr>
          <w:rFonts w:hint="eastAsia" w:eastAsia="仿宋_GB2312" w:cs="仿宋_GB2312"/>
          <w:szCs w:val="32"/>
        </w:rPr>
        <w:t>持续加强食品安全风险评估与标准研制特色实验室建设。</w:t>
      </w:r>
      <w:r>
        <w:rPr>
          <w:rFonts w:hint="eastAsia" w:ascii="楷体_GB2312" w:hAnsi="楷体_GB2312" w:eastAsia="楷体_GB2312" w:cs="楷体_GB2312"/>
          <w:szCs w:val="32"/>
        </w:rPr>
        <w:t>（市卫生健康委负责）</w:t>
      </w:r>
      <w:r>
        <w:rPr>
          <w:rFonts w:hint="eastAsia" w:eastAsia="仿宋_GB2312" w:cs="仿宋_GB2312"/>
          <w:szCs w:val="32"/>
        </w:rPr>
        <w:t>推进食品安全监管基础设施重大专项建设。实施食品安全检验检测设备更新项目。</w:t>
      </w:r>
      <w:r>
        <w:rPr>
          <w:rFonts w:hint="eastAsia" w:ascii="楷体_GB2312" w:hAnsi="楷体_GB2312" w:eastAsia="楷体_GB2312" w:cs="楷体_GB2312"/>
          <w:szCs w:val="32"/>
        </w:rPr>
        <w:t>（市市场监管委、市发展改革委、市财政局按职责分工负责）</w:t>
      </w:r>
      <w:r>
        <w:rPr>
          <w:rFonts w:hint="eastAsia" w:eastAsia="仿宋_GB2312" w:cs="仿宋_GB2312"/>
          <w:szCs w:val="32"/>
        </w:rPr>
        <w:t>加强农产品、粮食、林产品质量安全检验监测能力建设。</w:t>
      </w:r>
      <w:r>
        <w:rPr>
          <w:rFonts w:hint="eastAsia" w:ascii="楷体_GB2312" w:hAnsi="楷体_GB2312" w:eastAsia="楷体_GB2312" w:cs="楷体_GB2312"/>
          <w:szCs w:val="32"/>
        </w:rPr>
        <w:t>（市农业农村委、市粮食和物资局、市规划资源局按职责分工负责）</w:t>
      </w:r>
      <w:r>
        <w:rPr>
          <w:rFonts w:hint="eastAsia" w:eastAsia="仿宋_GB2312" w:cs="仿宋_GB2312"/>
          <w:szCs w:val="32"/>
        </w:rPr>
        <w:t>面向</w:t>
      </w:r>
      <w:r>
        <w:rPr>
          <w:rFonts w:hint="eastAsia" w:eastAsia="仿宋_GB2312" w:cs="仿宋_GB2312"/>
          <w:spacing w:val="-6"/>
          <w:szCs w:val="32"/>
        </w:rPr>
        <w:t>校园及养老机构深入开展食品安全技术服务。</w:t>
      </w:r>
      <w:r>
        <w:rPr>
          <w:rFonts w:hint="eastAsia" w:ascii="楷体_GB2312" w:hAnsi="楷体_GB2312" w:eastAsia="楷体_GB2312" w:cs="楷体_GB2312"/>
          <w:spacing w:val="-6"/>
          <w:szCs w:val="32"/>
        </w:rPr>
        <w:t>（市市场监管委负责）</w:t>
      </w:r>
    </w:p>
    <w:p>
      <w:pPr>
        <w:pStyle w:val="2"/>
        <w:ind w:firstLine="624" w:firstLineChars="200"/>
        <w:rPr>
          <w:rFonts w:ascii="黑体" w:hAnsi="黑体" w:eastAsia="黑体" w:cs="黑体"/>
          <w:szCs w:val="32"/>
        </w:rPr>
      </w:pPr>
      <w:r>
        <w:rPr>
          <w:rFonts w:hint="eastAsia" w:ascii="黑体" w:hAnsi="黑体" w:eastAsia="黑体" w:cs="黑体"/>
          <w:szCs w:val="32"/>
        </w:rPr>
        <w:t>六、深化社会共治</w:t>
      </w:r>
    </w:p>
    <w:p>
      <w:pPr>
        <w:pStyle w:val="2"/>
        <w:ind w:firstLine="624" w:firstLineChars="200"/>
        <w:rPr>
          <w:rFonts w:eastAsia="仿宋_GB2312" w:cs="仿宋_GB2312"/>
          <w:szCs w:val="32"/>
        </w:rPr>
      </w:pPr>
      <w:r>
        <w:rPr>
          <w:rFonts w:hint="eastAsia" w:ascii="楷体_GB2312" w:hAnsi="楷体_GB2312" w:eastAsia="楷体_GB2312" w:cs="楷体_GB2312"/>
          <w:szCs w:val="32"/>
        </w:rPr>
        <w:t>（十九）强化宣传引导。</w:t>
      </w:r>
      <w:r>
        <w:rPr>
          <w:rFonts w:hint="eastAsia" w:eastAsia="仿宋_GB2312" w:cs="仿宋_GB2312"/>
          <w:szCs w:val="32"/>
        </w:rPr>
        <w:t>组织开展食品安全宣传周活动。充分利用“一网一微”宣传主阵地，聚焦群众关切，主动发布权威信息。全年发布“祥说莹论”食品安全科普视频不少于40期、“食安晨课”不少于30期。完善与中央、市级主流媒体沟通协作机制，探索建立食品安全典型案例、重大信息联合发布路径，加强正面宣传，增强宣传合力。</w:t>
      </w:r>
      <w:r>
        <w:rPr>
          <w:rFonts w:hint="eastAsia" w:ascii="楷体_GB2312" w:hAnsi="楷体_GB2312" w:eastAsia="楷体_GB2312" w:cs="楷体_GB2312"/>
          <w:szCs w:val="32"/>
        </w:rPr>
        <w:t>（市食品药品安全委员会办公室牵头，市食品药品安全委员会相关成员单位、市科协按职责分工负责）</w:t>
      </w:r>
      <w:r>
        <w:rPr>
          <w:rFonts w:hint="eastAsia" w:eastAsia="仿宋_GB2312" w:cs="仿宋_GB2312"/>
          <w:szCs w:val="32"/>
        </w:rPr>
        <w:t>持续做好粮食节约和反食品浪费工作。（</w:t>
      </w:r>
      <w:r>
        <w:rPr>
          <w:rFonts w:hint="eastAsia" w:ascii="楷体_GB2312" w:hAnsi="楷体_GB2312" w:eastAsia="楷体_GB2312" w:cs="楷体_GB2312"/>
          <w:szCs w:val="32"/>
        </w:rPr>
        <w:t>市发展改革委牵头，市食品药品安全委员会相关成员单位、市科协按职责分工负责）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（二十）激发社会参与活力。</w:t>
      </w:r>
      <w:r>
        <w:rPr>
          <w:rFonts w:hint="eastAsia" w:eastAsia="仿宋_GB2312" w:cs="仿宋_GB2312"/>
          <w:szCs w:val="32"/>
        </w:rPr>
        <w:t>持续推动生产经营单位食品安全风险隐患内部报告奖励机制落地见效。</w:t>
      </w:r>
      <w:r>
        <w:rPr>
          <w:rFonts w:hint="eastAsia" w:ascii="楷体_GB2312" w:hAnsi="楷体_GB2312" w:eastAsia="楷体_GB2312" w:cs="楷体_GB2312"/>
          <w:szCs w:val="32"/>
        </w:rPr>
        <w:t>（市食品药品安全委员会相关成员单位按职责分工负责）</w:t>
      </w:r>
      <w:r>
        <w:rPr>
          <w:rFonts w:hint="eastAsia" w:eastAsia="仿宋_GB2312" w:cs="仿宋_GB2312"/>
          <w:szCs w:val="32"/>
        </w:rPr>
        <w:t>持续开展“随机查餐厅”活动，做好“红黑榜”公示。（</w:t>
      </w:r>
      <w:r>
        <w:rPr>
          <w:rFonts w:hint="eastAsia" w:ascii="楷体_GB2312" w:hAnsi="楷体_GB2312" w:eastAsia="楷体_GB2312" w:cs="楷体_GB2312"/>
          <w:szCs w:val="32"/>
        </w:rPr>
        <w:t>市市场监管委负责）</w:t>
      </w:r>
      <w:r>
        <w:rPr>
          <w:rFonts w:hint="eastAsia" w:eastAsia="仿宋_GB2312" w:cs="仿宋_GB2312"/>
          <w:szCs w:val="32"/>
        </w:rPr>
        <w:t>突出食品安全专家委员会“智库”作用，开展重点领域风险研究，完善常态化全链条监管风险发现机制。</w:t>
      </w:r>
      <w:r>
        <w:rPr>
          <w:rFonts w:hint="eastAsia" w:ascii="楷体_GB2312" w:hAnsi="楷体_GB2312" w:eastAsia="楷体_GB2312" w:cs="楷体_GB2312"/>
          <w:szCs w:val="32"/>
        </w:rPr>
        <w:t>（市食品药品安全委员会办公室负责）</w:t>
      </w:r>
      <w:r>
        <w:rPr>
          <w:rFonts w:hint="eastAsia" w:eastAsia="仿宋_GB2312" w:cs="仿宋_GB2312"/>
          <w:szCs w:val="32"/>
        </w:rPr>
        <w:t>积极筹建天津市校园食品安全行业组织。</w:t>
      </w:r>
      <w:r>
        <w:rPr>
          <w:rFonts w:hint="eastAsia" w:ascii="楷体_GB2312" w:hAnsi="楷体_GB2312" w:eastAsia="楷体_GB2312" w:cs="楷体_GB2312"/>
          <w:szCs w:val="32"/>
        </w:rPr>
        <w:t>（市供销合作总社负责）</w:t>
      </w:r>
      <w:r>
        <w:rPr>
          <w:rFonts w:hint="eastAsia" w:eastAsia="仿宋_GB2312" w:cs="仿宋_GB2312"/>
          <w:szCs w:val="32"/>
        </w:rPr>
        <w:t>开展食品安全群众满意度调查，聚焦群众关心关注加大工作力度，更好满足人民群众食品安全需要。</w:t>
      </w:r>
      <w:r>
        <w:rPr>
          <w:rFonts w:hint="eastAsia" w:ascii="楷体_GB2312" w:hAnsi="楷体_GB2312" w:eastAsia="楷体_GB2312" w:cs="楷体_GB2312"/>
          <w:szCs w:val="32"/>
        </w:rPr>
        <w:t>（市食品药品安全委员会办公室负责）</w:t>
      </w:r>
      <w:r>
        <w:rPr>
          <w:rFonts w:hint="eastAsia" w:eastAsia="仿宋_GB2312" w:cs="仿宋_GB2312"/>
          <w:szCs w:val="32"/>
        </w:rPr>
        <w:t>发挥食品工业协会、烹饪协会、肉类协会等行业协会桥梁纽带、行业自律作用，推动本市食品产业高质量发展。（</w:t>
      </w:r>
      <w:r>
        <w:rPr>
          <w:rFonts w:hint="eastAsia" w:ascii="楷体_GB2312" w:hAnsi="楷体_GB2312" w:eastAsia="楷体_GB2312" w:cs="楷体_GB2312"/>
          <w:szCs w:val="32"/>
        </w:rPr>
        <w:t>市工业和信息化局、市商务局、市市场监管委按职责分工负责）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（二十一）提升应急管理水平。</w:t>
      </w:r>
      <w:r>
        <w:rPr>
          <w:rFonts w:hint="eastAsia" w:eastAsia="仿宋_GB2312" w:cs="仿宋_GB2312"/>
          <w:szCs w:val="32"/>
        </w:rPr>
        <w:t>修订完善食品安全事故应急预案操作手册等支撑性文件，加强应急演练培训，提高应急处置能力。</w:t>
      </w:r>
      <w:r>
        <w:rPr>
          <w:rFonts w:hint="eastAsia" w:ascii="楷体_GB2312" w:hAnsi="楷体_GB2312" w:eastAsia="楷体_GB2312" w:cs="楷体_GB2312"/>
          <w:szCs w:val="32"/>
        </w:rPr>
        <w:t>（市食品药品安全委员会办公室牵头，市食品药品安全委员会各成员单位按职责分工负责）</w:t>
      </w:r>
      <w:r>
        <w:rPr>
          <w:rFonts w:hint="eastAsia" w:eastAsia="仿宋_GB2312" w:cs="仿宋_GB2312"/>
          <w:szCs w:val="32"/>
        </w:rPr>
        <w:t>持续加强网上舆情信息监测，强化舆情线索监测预警，及时发现并推送网上敏感舆情信息，加强舆情分析研判、应对处置，有效防范化解舆情风险。（</w:t>
      </w:r>
      <w:r>
        <w:rPr>
          <w:rFonts w:hint="eastAsia" w:ascii="楷体_GB2312" w:hAnsi="楷体_GB2312" w:eastAsia="楷体_GB2312" w:cs="楷体_GB2312"/>
          <w:szCs w:val="32"/>
        </w:rPr>
        <w:t>市委网信办、市委宣传部、市市场监管委、市教委、市农业农村委、市卫生健康委、天津海关等市食品药品安全委员会相关成员单位按职责分工负责）</w:t>
      </w:r>
      <w:r>
        <w:rPr>
          <w:rFonts w:hint="eastAsia" w:eastAsia="仿宋_GB2312" w:cs="仿宋_GB2312"/>
          <w:szCs w:val="32"/>
        </w:rPr>
        <w:t>加强食品安全谣言专项治理，强化自媒体发布传播食品安全信息行为监管，营造良好舆论环境。（</w:t>
      </w:r>
      <w:r>
        <w:rPr>
          <w:rFonts w:hint="eastAsia" w:ascii="楷体_GB2312" w:hAnsi="楷体_GB2312" w:eastAsia="楷体_GB2312" w:cs="楷体_GB2312"/>
          <w:szCs w:val="32"/>
        </w:rPr>
        <w:t>市委网信办、市食品药品安全委员会办公室牵头，市委宣传部、市公安局、市农业农村委、市卫生健康委、市市场监管委、天津海关按职责分工负责）</w:t>
      </w:r>
    </w:p>
    <w:p>
      <w:pPr>
        <w:pStyle w:val="2"/>
        <w:ind w:firstLine="624" w:firstLineChars="200"/>
        <w:rPr>
          <w:rFonts w:ascii="黑体" w:hAnsi="黑体" w:eastAsia="黑体" w:cs="黑体"/>
          <w:szCs w:val="32"/>
        </w:rPr>
      </w:pPr>
      <w:r>
        <w:rPr>
          <w:rFonts w:hint="eastAsia" w:ascii="黑体" w:hAnsi="黑体" w:eastAsia="黑体" w:cs="黑体"/>
          <w:szCs w:val="32"/>
        </w:rPr>
        <w:t>七、持续推进食品产业高质量发展</w:t>
      </w:r>
    </w:p>
    <w:p>
      <w:pPr>
        <w:pStyle w:val="2"/>
        <w:ind w:firstLine="624" w:firstLineChars="200"/>
        <w:rPr>
          <w:rFonts w:ascii="黑体" w:hAnsi="黑体" w:eastAsia="黑体" w:cs="黑体"/>
          <w:szCs w:val="32"/>
        </w:rPr>
      </w:pPr>
      <w:r>
        <w:rPr>
          <w:rFonts w:hint="eastAsia" w:ascii="楷体_GB2312" w:hAnsi="楷体_GB2312" w:eastAsia="楷体_GB2312" w:cs="楷体_GB2312"/>
          <w:szCs w:val="32"/>
        </w:rPr>
        <w:t>（二十二）提升食品安全产业能级。</w:t>
      </w:r>
      <w:r>
        <w:rPr>
          <w:rFonts w:hint="eastAsia" w:eastAsia="仿宋_GB2312" w:cs="仿宋_GB2312"/>
          <w:szCs w:val="32"/>
        </w:rPr>
        <w:t>持续加大传统优势食品产区和天津特色食品产业培育力度，打造特色食品产业集群。深入推进食品工业数字化转型升级，利用数字技术对食品工业进行全方位、全链条改造。推动食品包装印刷绿色化，倡导减量减色化设计。</w:t>
      </w:r>
      <w:r>
        <w:rPr>
          <w:rFonts w:hint="eastAsia" w:ascii="楷体_GB2312" w:hAnsi="楷体_GB2312" w:eastAsia="楷体_GB2312" w:cs="楷体_GB2312"/>
          <w:szCs w:val="32"/>
        </w:rPr>
        <w:t>（市工业和信息化局、市生态环境局按职责分工负责）</w:t>
      </w:r>
      <w:r>
        <w:rPr>
          <w:rFonts w:hint="eastAsia" w:eastAsia="仿宋_GB2312" w:cs="仿宋_GB2312"/>
          <w:szCs w:val="32"/>
        </w:rPr>
        <w:t>优化产地冷链规划布局，完善全链条冷链配送系统。大力提升综合保税区冷冻品产业综合配套服务水平，高水平建设东疆冷链物流主题园区。（</w:t>
      </w:r>
      <w:r>
        <w:rPr>
          <w:rFonts w:hint="eastAsia" w:ascii="楷体_GB2312" w:hAnsi="楷体_GB2312" w:eastAsia="楷体_GB2312" w:cs="楷体_GB2312"/>
          <w:szCs w:val="32"/>
        </w:rPr>
        <w:t>市发展改革委、市农业农村委、市商务局、滨海新区人民政府按职责分工负责）</w:t>
      </w:r>
      <w:r>
        <w:rPr>
          <w:rFonts w:hint="eastAsia" w:eastAsia="仿宋_GB2312" w:cs="仿宋_GB2312"/>
          <w:szCs w:val="32"/>
        </w:rPr>
        <w:t>加强绿色优质农产品认证，持续打造“津农精品”农业品牌。（</w:t>
      </w:r>
      <w:r>
        <w:rPr>
          <w:rFonts w:hint="eastAsia" w:ascii="楷体_GB2312" w:hAnsi="楷体_GB2312" w:eastAsia="楷体_GB2312" w:cs="楷体_GB2312"/>
          <w:szCs w:val="32"/>
        </w:rPr>
        <w:t>市农业农村委、市知识产权局按职责分工负责）</w:t>
      </w:r>
      <w:r>
        <w:rPr>
          <w:rFonts w:hint="eastAsia" w:eastAsia="仿宋_GB2312" w:cs="仿宋_GB2312"/>
          <w:szCs w:val="32"/>
        </w:rPr>
        <w:t>推动重点商圈“食商文旅”融合发展，培育兼具天津特色与安全品质的餐饮品牌。</w:t>
      </w:r>
      <w:r>
        <w:rPr>
          <w:rFonts w:hint="eastAsia" w:ascii="楷体_GB2312" w:hAnsi="楷体_GB2312" w:eastAsia="楷体_GB2312" w:cs="楷体_GB2312"/>
          <w:szCs w:val="32"/>
        </w:rPr>
        <w:t>（市文化和旅游局、市商务局按职责分工负责）</w:t>
      </w:r>
      <w:r>
        <w:rPr>
          <w:rFonts w:hint="eastAsia" w:eastAsia="仿宋_GB2312" w:cs="仿宋_GB2312"/>
          <w:szCs w:val="32"/>
        </w:rPr>
        <w:t>支持合成生物学领域科技创新，鼓励科研机构、企业开展关键技术攻关。（</w:t>
      </w:r>
      <w:r>
        <w:rPr>
          <w:rFonts w:hint="eastAsia" w:ascii="楷体_GB2312" w:hAnsi="楷体_GB2312" w:eastAsia="楷体_GB2312" w:cs="楷体_GB2312"/>
          <w:szCs w:val="32"/>
        </w:rPr>
        <w:t>市科技局牵头，市农业农村委、市卫生健康委、市工业和信息化局等单位配合）</w:t>
      </w:r>
      <w:r>
        <w:rPr>
          <w:rFonts w:hint="eastAsia" w:eastAsia="仿宋_GB2312" w:cs="仿宋_GB2312"/>
          <w:szCs w:val="32"/>
        </w:rPr>
        <w:t>推进在产在售“双无”保健食品换证，完善注册信息。通过“政策</w:t>
      </w:r>
      <w:r>
        <w:rPr>
          <w:rFonts w:hint="eastAsia" w:ascii="仿宋_GB2312" w:hAnsi="仿宋_GB2312" w:eastAsia="仿宋_GB2312" w:cs="仿宋_GB2312"/>
          <w:szCs w:val="32"/>
        </w:rPr>
        <w:t>+</w:t>
      </w:r>
      <w:r>
        <w:rPr>
          <w:rFonts w:hint="eastAsia" w:eastAsia="仿宋_GB2312" w:cs="仿宋_GB2312"/>
          <w:szCs w:val="32"/>
        </w:rPr>
        <w:t>技术”形式，支持企业积极研发特殊医学用途配方食品填补国内市场空白。</w:t>
      </w:r>
      <w:r>
        <w:rPr>
          <w:rFonts w:hint="eastAsia" w:ascii="楷体_GB2312" w:hAnsi="楷体_GB2312" w:eastAsia="楷体_GB2312" w:cs="楷体_GB2312"/>
          <w:szCs w:val="32"/>
        </w:rPr>
        <w:t>（市市场监管委负责）</w:t>
      </w:r>
      <w:r>
        <w:rPr>
          <w:rFonts w:hint="eastAsia" w:eastAsia="仿宋_GB2312" w:cs="仿宋_GB2312"/>
          <w:szCs w:val="32"/>
        </w:rPr>
        <w:t>推进国产复方配伍保健食品备案管理试点，充分发挥天津市保健食品检测与评价公共技术平台技术支撑作用。</w:t>
      </w:r>
      <w:r>
        <w:rPr>
          <w:rFonts w:hint="eastAsia" w:ascii="楷体_GB2312" w:hAnsi="楷体_GB2312" w:eastAsia="楷体_GB2312" w:cs="楷体_GB2312"/>
          <w:szCs w:val="32"/>
        </w:rPr>
        <w:t>（市市场监管委牵头，市卫生健康委配合）</w:t>
      </w:r>
      <w:r>
        <w:rPr>
          <w:rFonts w:hint="eastAsia" w:eastAsia="仿宋_GB2312" w:cs="仿宋_GB2312"/>
          <w:szCs w:val="32"/>
        </w:rPr>
        <w:t>支持鼓励引导辖内保险机构推广食品安全责任保险。</w:t>
      </w:r>
      <w:r>
        <w:rPr>
          <w:rFonts w:hint="eastAsia" w:ascii="楷体_GB2312" w:hAnsi="楷体_GB2312" w:eastAsia="楷体_GB2312" w:cs="楷体_GB2312"/>
          <w:szCs w:val="32"/>
        </w:rPr>
        <w:t>（天津金融监管局负责）</w:t>
      </w:r>
      <w:r>
        <w:rPr>
          <w:rFonts w:hint="eastAsia" w:eastAsia="仿宋_GB2312" w:cs="仿宋_GB2312"/>
          <w:szCs w:val="32"/>
        </w:rPr>
        <w:t>在全市域推进便民智能售</w:t>
      </w:r>
      <w:r>
        <w:rPr>
          <w:rFonts w:hint="eastAsia" w:eastAsia="仿宋_GB2312" w:cs="仿宋_GB2312"/>
          <w:spacing w:val="-6"/>
          <w:szCs w:val="32"/>
        </w:rPr>
        <w:t>卖终端项目。</w:t>
      </w:r>
      <w:r>
        <w:rPr>
          <w:rFonts w:hint="eastAsia" w:ascii="楷体_GB2312" w:hAnsi="楷体_GB2312" w:eastAsia="楷体_GB2312" w:cs="楷体_GB2312"/>
          <w:spacing w:val="-6"/>
          <w:szCs w:val="32"/>
        </w:rPr>
        <w:t>（市食品药品安全委员会相关成员单位按职责分工负责）</w:t>
      </w:r>
    </w:p>
    <w:p>
      <w:pPr>
        <w:pStyle w:val="2"/>
        <w:ind w:firstLine="624" w:firstLineChars="200"/>
        <w:rPr>
          <w:rFonts w:eastAsia="仿宋_GB2312"/>
          <w:szCs w:val="32"/>
        </w:rPr>
      </w:pPr>
      <w:r>
        <w:rPr>
          <w:rFonts w:hint="eastAsia" w:ascii="仿宋_GB2312" w:hAnsi="仿宋_GB2312" w:eastAsia="仿宋_GB2312" w:cs="仿宋_GB2312"/>
          <w:szCs w:val="32"/>
        </w:rPr>
        <w:t>强</w:t>
      </w:r>
      <w:r>
        <w:rPr>
          <w:rFonts w:hint="eastAsia" w:eastAsia="仿宋_GB2312" w:cs="仿宋_GB2312"/>
          <w:szCs w:val="32"/>
        </w:rPr>
        <w:t>化市食品药品安全委员会办公室统筹协调作用，定期开展风险会商研判，及时通报信息，联合应急处置。用足用好“三书一函”等手段，加强常态化提醒和督促调度，进一步压紧压实各方责任。各单位每半年向市食品药品安全委员会办公室提交贯彻落实监管计划情况，年底前市食品药品安全委员会办公室形成全市食品安全工作情况报告报市委、市政府。</w:t>
      </w:r>
    </w:p>
    <w:p>
      <w:pPr>
        <w:pStyle w:val="2"/>
        <w:rPr>
          <w:rFonts w:eastAsia="仿宋_GB2312"/>
          <w:szCs w:val="32"/>
        </w:rPr>
      </w:pPr>
    </w:p>
    <w:p>
      <w:pPr>
        <w:pStyle w:val="2"/>
        <w:rPr>
          <w:rFonts w:eastAsia="仿宋_GB2312"/>
          <w:szCs w:val="32"/>
        </w:rPr>
      </w:pPr>
    </w:p>
    <w:p>
      <w:pPr>
        <w:pStyle w:val="2"/>
        <w:rPr>
          <w:rFonts w:eastAsia="仿宋_GB2312"/>
          <w:szCs w:val="32"/>
        </w:rPr>
      </w:pPr>
    </w:p>
    <w:p>
      <w:pPr>
        <w:pStyle w:val="2"/>
        <w:rPr>
          <w:rFonts w:eastAsia="仿宋_GB2312"/>
          <w:szCs w:val="32"/>
        </w:rPr>
      </w:pPr>
    </w:p>
    <w:p>
      <w:pPr>
        <w:pStyle w:val="2"/>
        <w:rPr>
          <w:rFonts w:eastAsia="仿宋_GB2312"/>
          <w:szCs w:val="32"/>
        </w:rPr>
        <w:sectPr>
          <w:pgSz w:w="11907" w:h="16840"/>
          <w:pgMar w:top="2098" w:right="1474" w:bottom="1984" w:left="1587" w:header="851" w:footer="1701" w:gutter="0"/>
          <w:cols w:space="720" w:num="1"/>
          <w:docGrid w:type="linesAndChars" w:linePitch="289" w:charSpace="-1839"/>
        </w:sectPr>
      </w:pPr>
    </w:p>
    <w:p>
      <w:pPr>
        <w:pStyle w:val="2"/>
        <w:rPr>
          <w:rFonts w:eastAsia="仿宋_GB2312"/>
          <w:szCs w:val="32"/>
        </w:rPr>
      </w:pPr>
    </w:p>
    <w:p>
      <w:pPr>
        <w:pStyle w:val="2"/>
        <w:rPr>
          <w:rFonts w:eastAsia="仿宋_GB2312"/>
          <w:szCs w:val="32"/>
        </w:rPr>
      </w:pPr>
    </w:p>
    <w:sectPr>
      <w:footerReference r:id="rId6" w:type="default"/>
      <w:pgSz w:w="11907" w:h="16840"/>
      <w:pgMar w:top="2098" w:right="1474" w:bottom="1984" w:left="1587"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ind w:left="420" w:leftChars="200" w:right="420" w:rightChars="200"/>
      <w:jc w:val="center"/>
      <w:rPr>
        <w:rStyle w:val="10"/>
        <w:sz w:val="28"/>
      </w:rPr>
    </w:pPr>
    <w:r>
      <w:rPr>
        <w:rStyle w:val="10"/>
        <w:rFonts w:hint="eastAsia"/>
        <w:sz w:val="28"/>
      </w:rPr>
      <w:t>—</w:t>
    </w:r>
    <w:r>
      <w:rPr>
        <w:rStyle w:val="10"/>
        <w:sz w:val="28"/>
      </w:rPr>
      <w:t xml:space="preserve"> </w:t>
    </w:r>
    <w:r>
      <w:rPr>
        <w:sz w:val="28"/>
      </w:rPr>
      <w:fldChar w:fldCharType="begin"/>
    </w:r>
    <w:r>
      <w:rPr>
        <w:rStyle w:val="10"/>
        <w:sz w:val="28"/>
      </w:rPr>
      <w:instrText xml:space="preserve">PAGE  </w:instrText>
    </w:r>
    <w:r>
      <w:rPr>
        <w:sz w:val="28"/>
      </w:rPr>
      <w:fldChar w:fldCharType="separate"/>
    </w:r>
    <w:r>
      <w:rPr>
        <w:rStyle w:val="10"/>
        <w:sz w:val="28"/>
      </w:rPr>
      <w:t>13</w:t>
    </w:r>
    <w:r>
      <w:rPr>
        <w:sz w:val="28"/>
      </w:rPr>
      <w:fldChar w:fldCharType="end"/>
    </w:r>
    <w:r>
      <w:rPr>
        <w:rStyle w:val="10"/>
        <w:sz w:val="28"/>
      </w:rPr>
      <w:t xml:space="preserve"> </w:t>
    </w:r>
    <w:r>
      <w:rPr>
        <w:rStyle w:val="10"/>
        <w:rFonts w:hint="eastAsia"/>
        <w:sz w:val="28"/>
      </w:rPr>
      <w:t>—</w:t>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0"/>
      </w:rPr>
    </w:pPr>
    <w:r>
      <w:fldChar w:fldCharType="begin"/>
    </w:r>
    <w:r>
      <w:rPr>
        <w:rStyle w:val="10"/>
      </w:rPr>
      <w:instrText xml:space="preserve">PAGE  </w:instrTex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gwMzk0YTNmOTEwYzJjM2U3NzNmMTczYWNhOTU0MmYifQ=="/>
  </w:docVars>
  <w:rsids>
    <w:rsidRoot w:val="0052186E"/>
    <w:rsid w:val="000007A8"/>
    <w:rsid w:val="000044C7"/>
    <w:rsid w:val="000068A5"/>
    <w:rsid w:val="0003738B"/>
    <w:rsid w:val="00071623"/>
    <w:rsid w:val="000E2D13"/>
    <w:rsid w:val="00143BAA"/>
    <w:rsid w:val="00184D7D"/>
    <w:rsid w:val="001C2AA4"/>
    <w:rsid w:val="001C3B43"/>
    <w:rsid w:val="002B4F82"/>
    <w:rsid w:val="002E19E1"/>
    <w:rsid w:val="002E5E1B"/>
    <w:rsid w:val="002F11DA"/>
    <w:rsid w:val="002F6A2E"/>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C17D4"/>
    <w:rsid w:val="004D08EE"/>
    <w:rsid w:val="0052186E"/>
    <w:rsid w:val="00573751"/>
    <w:rsid w:val="00577ED3"/>
    <w:rsid w:val="005A520C"/>
    <w:rsid w:val="005C2FB4"/>
    <w:rsid w:val="00600D6F"/>
    <w:rsid w:val="006060B6"/>
    <w:rsid w:val="00643EF8"/>
    <w:rsid w:val="006463F7"/>
    <w:rsid w:val="00672D83"/>
    <w:rsid w:val="00686D91"/>
    <w:rsid w:val="006D1237"/>
    <w:rsid w:val="006D751E"/>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7E175A"/>
    <w:rsid w:val="00846D11"/>
    <w:rsid w:val="0085493B"/>
    <w:rsid w:val="00873B40"/>
    <w:rsid w:val="008914FD"/>
    <w:rsid w:val="008D6530"/>
    <w:rsid w:val="008E29A0"/>
    <w:rsid w:val="008F2448"/>
    <w:rsid w:val="00912EC7"/>
    <w:rsid w:val="00942266"/>
    <w:rsid w:val="00946110"/>
    <w:rsid w:val="00963484"/>
    <w:rsid w:val="009920BF"/>
    <w:rsid w:val="0099656B"/>
    <w:rsid w:val="009C102D"/>
    <w:rsid w:val="009C116B"/>
    <w:rsid w:val="009F78DD"/>
    <w:rsid w:val="009F7972"/>
    <w:rsid w:val="00A36258"/>
    <w:rsid w:val="00A55CF2"/>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61E7C"/>
    <w:rsid w:val="00FB20E7"/>
    <w:rsid w:val="0E5F0BA2"/>
    <w:rsid w:val="17FF822E"/>
    <w:rsid w:val="1EBD1CDF"/>
    <w:rsid w:val="1FDFB334"/>
    <w:rsid w:val="29F79B4C"/>
    <w:rsid w:val="38BF4E6A"/>
    <w:rsid w:val="3B8E0534"/>
    <w:rsid w:val="3CBA66D8"/>
    <w:rsid w:val="3F13F7B0"/>
    <w:rsid w:val="4BCEDF44"/>
    <w:rsid w:val="4F7E1BD4"/>
    <w:rsid w:val="50C7C5A8"/>
    <w:rsid w:val="53BBA97A"/>
    <w:rsid w:val="576FC1D0"/>
    <w:rsid w:val="57F76090"/>
    <w:rsid w:val="5F7CABDD"/>
    <w:rsid w:val="5FF54B3F"/>
    <w:rsid w:val="5FFC4FAA"/>
    <w:rsid w:val="60F5C1D3"/>
    <w:rsid w:val="67EF89D4"/>
    <w:rsid w:val="69EFB244"/>
    <w:rsid w:val="6E6BB89D"/>
    <w:rsid w:val="6FAAE27E"/>
    <w:rsid w:val="6FB5B4FB"/>
    <w:rsid w:val="6FBADFA2"/>
    <w:rsid w:val="6FDDF90E"/>
    <w:rsid w:val="6FF741FE"/>
    <w:rsid w:val="6FFD4649"/>
    <w:rsid w:val="75FFD392"/>
    <w:rsid w:val="7AFEF08A"/>
    <w:rsid w:val="7CA908B6"/>
    <w:rsid w:val="7F9B5E5D"/>
    <w:rsid w:val="7FAA7E91"/>
    <w:rsid w:val="7FBE175A"/>
    <w:rsid w:val="7FDB9B86"/>
    <w:rsid w:val="7FDBDB52"/>
    <w:rsid w:val="7FDE926C"/>
    <w:rsid w:val="7FFA306B"/>
    <w:rsid w:val="8FBBB986"/>
    <w:rsid w:val="9E5B4CBD"/>
    <w:rsid w:val="A3DDE2FD"/>
    <w:rsid w:val="AC7D66BD"/>
    <w:rsid w:val="B7BEC9BA"/>
    <w:rsid w:val="B7F2A9A3"/>
    <w:rsid w:val="B8BE6E16"/>
    <w:rsid w:val="BA7F8216"/>
    <w:rsid w:val="BF7F705B"/>
    <w:rsid w:val="BFBA7E5E"/>
    <w:rsid w:val="C7EF4EA2"/>
    <w:rsid w:val="D3B3B82B"/>
    <w:rsid w:val="D67C42A4"/>
    <w:rsid w:val="D7FFAE1C"/>
    <w:rsid w:val="DB17C457"/>
    <w:rsid w:val="DFDAC1F9"/>
    <w:rsid w:val="E6FFA52C"/>
    <w:rsid w:val="E9BD9F45"/>
    <w:rsid w:val="E9DB84AA"/>
    <w:rsid w:val="EAFD12AA"/>
    <w:rsid w:val="ECFE30B6"/>
    <w:rsid w:val="EEA59011"/>
    <w:rsid w:val="EFBB2E3F"/>
    <w:rsid w:val="EFBF4376"/>
    <w:rsid w:val="F3FF444F"/>
    <w:rsid w:val="F76D0056"/>
    <w:rsid w:val="F7FF47C6"/>
    <w:rsid w:val="F875087C"/>
    <w:rsid w:val="F87F2BE3"/>
    <w:rsid w:val="FB3FA40B"/>
    <w:rsid w:val="FBCC3E1C"/>
    <w:rsid w:val="FBD1411E"/>
    <w:rsid w:val="FDDB0ED2"/>
    <w:rsid w:val="FDFB1475"/>
    <w:rsid w:val="FEED37AB"/>
    <w:rsid w:val="FEF775DB"/>
    <w:rsid w:val="FF7FFDB2"/>
    <w:rsid w:val="FFD93150"/>
    <w:rsid w:val="FFF78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link w:val="12"/>
    <w:uiPriority w:val="0"/>
    <w:rPr>
      <w:rFonts w:eastAsia="文星仿宋"/>
      <w:sz w:val="32"/>
    </w:rPr>
  </w:style>
  <w:style w:type="paragraph" w:styleId="3">
    <w:name w:val="Body Text Indent"/>
    <w:basedOn w:val="1"/>
    <w:qFormat/>
    <w:uiPriority w:val="0"/>
    <w:pPr>
      <w:ind w:firstLine="720" w:firstLineChars="225"/>
    </w:pPr>
    <w:rPr>
      <w:sz w:val="32"/>
      <w:szCs w:val="20"/>
    </w:rPr>
  </w:style>
  <w:style w:type="paragraph" w:styleId="4">
    <w:name w:val="Date"/>
    <w:basedOn w:val="1"/>
    <w:next w:val="1"/>
    <w:uiPriority w:val="0"/>
    <w:pPr>
      <w:ind w:left="100" w:leftChars="2500"/>
    </w:p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qFormat/>
    <w:uiPriority w:val="0"/>
    <w:rPr>
      <w:color w:val="0000FF"/>
      <w:u w:val="single"/>
    </w:rPr>
  </w:style>
  <w:style w:type="character" w:customStyle="1" w:styleId="12">
    <w:name w:val="正文文本 Char"/>
    <w:link w:val="2"/>
    <w:qFormat/>
    <w:uiPriority w:val="0"/>
    <w:rPr>
      <w:rFonts w:eastAsia="文星仿宋"/>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14</Pages>
  <Words>7049</Words>
  <Characters>7090</Characters>
  <Lines>50</Lines>
  <Paragraphs>14</Paragraphs>
  <TotalTime>0</TotalTime>
  <ScaleCrop>false</ScaleCrop>
  <LinksUpToDate>false</LinksUpToDate>
  <CharactersWithSpaces>7127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2014-06-18T00:51:00Z</dcterms:created>
  <dc:creator>jsj</dc:creator>
  <cp:lastModifiedBy> Chloe堂姐</cp:lastModifiedBy>
  <cp:lastPrinted>2026-06-03T00:22:00Z</cp:lastPrinted>
  <dcterms:modified xsi:type="dcterms:W3CDTF">2026-06-05T01:16:17Z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76B6F824E9915CED694E196A41609BCF</vt:lpwstr>
  </property>
</Properties>
</file>