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6BE1" w14:textId="3B7C8E76" w:rsidR="001327BF" w:rsidRDefault="001327BF" w:rsidP="001327BF">
      <w:pPr>
        <w:spacing w:line="520" w:lineRule="exact"/>
        <w:ind w:rightChars="-32" w:right="-67"/>
        <w:rPr>
          <w:rFonts w:ascii="黑体" w:eastAsia="黑体" w:hAnsi="黑体"/>
          <w:bCs/>
          <w:color w:val="000000"/>
          <w:sz w:val="32"/>
          <w:szCs w:val="32"/>
        </w:rPr>
      </w:pPr>
      <w:r w:rsidRPr="001327BF">
        <w:rPr>
          <w:rFonts w:ascii="黑体" w:eastAsia="黑体" w:hAnsi="黑体" w:hint="eastAsia"/>
          <w:bCs/>
          <w:color w:val="000000"/>
          <w:sz w:val="32"/>
          <w:szCs w:val="32"/>
        </w:rPr>
        <w:t>附件4</w:t>
      </w:r>
    </w:p>
    <w:p w14:paraId="3472265A" w14:textId="77777777" w:rsidR="001327BF" w:rsidRPr="001327BF" w:rsidRDefault="001327BF" w:rsidP="001327BF">
      <w:pPr>
        <w:pStyle w:val="a0"/>
      </w:pPr>
    </w:p>
    <w:p w14:paraId="479DC73F" w14:textId="432D89CE" w:rsidR="00B17835" w:rsidRDefault="001A6881">
      <w:pPr>
        <w:spacing w:line="520" w:lineRule="exact"/>
        <w:ind w:rightChars="-32" w:right="-67"/>
        <w:jc w:val="center"/>
        <w:rPr>
          <w:rFonts w:eastAsia="方正小标宋简体"/>
          <w:bCs/>
          <w:color w:val="000000"/>
          <w:sz w:val="44"/>
          <w:szCs w:val="44"/>
        </w:rPr>
      </w:pPr>
      <w:r>
        <w:rPr>
          <w:rFonts w:eastAsia="方正小标宋简体" w:hint="eastAsia"/>
          <w:bCs/>
          <w:color w:val="000000"/>
          <w:sz w:val="44"/>
          <w:szCs w:val="44"/>
        </w:rPr>
        <w:t>钙磷</w:t>
      </w:r>
      <w:r>
        <w:rPr>
          <w:rFonts w:eastAsia="方正小标宋简体"/>
          <w:bCs/>
          <w:color w:val="000000"/>
          <w:sz w:val="44"/>
          <w:szCs w:val="44"/>
        </w:rPr>
        <w:t>/</w:t>
      </w:r>
      <w:r>
        <w:rPr>
          <w:rFonts w:eastAsia="方正小标宋简体" w:hint="eastAsia"/>
          <w:bCs/>
          <w:color w:val="000000"/>
          <w:sz w:val="44"/>
          <w:szCs w:val="44"/>
        </w:rPr>
        <w:t>硅类骨填充材料注册审查指导原则</w:t>
      </w:r>
    </w:p>
    <w:p w14:paraId="1CF1E4FB" w14:textId="3B5B49E6" w:rsidR="005B73C0" w:rsidRDefault="001A6881" w:rsidP="005B73C0">
      <w:pPr>
        <w:spacing w:line="520" w:lineRule="exact"/>
        <w:ind w:rightChars="-32" w:right="-67"/>
        <w:jc w:val="center"/>
        <w:rPr>
          <w:rFonts w:eastAsia="方正小标宋简体"/>
          <w:sz w:val="44"/>
          <w:szCs w:val="44"/>
        </w:rPr>
      </w:pPr>
      <w:r>
        <w:rPr>
          <w:rFonts w:eastAsia="方正小标宋简体" w:hint="eastAsia"/>
          <w:bCs/>
          <w:color w:val="000000"/>
          <w:sz w:val="44"/>
          <w:szCs w:val="44"/>
        </w:rPr>
        <w:t>（</w:t>
      </w:r>
      <w:r>
        <w:rPr>
          <w:rFonts w:eastAsia="方正小标宋简体"/>
          <w:bCs/>
          <w:color w:val="000000"/>
          <w:sz w:val="44"/>
          <w:szCs w:val="44"/>
        </w:rPr>
        <w:t>2025</w:t>
      </w:r>
      <w:r>
        <w:rPr>
          <w:rFonts w:eastAsia="方正小标宋简体" w:hint="eastAsia"/>
          <w:bCs/>
          <w:color w:val="000000"/>
          <w:sz w:val="44"/>
          <w:szCs w:val="44"/>
        </w:rPr>
        <w:t>年修订</w:t>
      </w:r>
      <w:r>
        <w:rPr>
          <w:rFonts w:eastAsia="方正小标宋简体" w:hint="eastAsia"/>
          <w:sz w:val="44"/>
          <w:szCs w:val="44"/>
        </w:rPr>
        <w:t>）</w:t>
      </w:r>
    </w:p>
    <w:p w14:paraId="382ED51F" w14:textId="07862E28" w:rsidR="005B73C0" w:rsidRPr="005B73C0" w:rsidRDefault="005B73C0" w:rsidP="005B73C0">
      <w:pPr>
        <w:spacing w:line="520" w:lineRule="exact"/>
        <w:ind w:rightChars="-32" w:right="-67"/>
        <w:jc w:val="center"/>
        <w:rPr>
          <w:rFonts w:eastAsia="方正小标宋简体"/>
          <w:bCs/>
          <w:color w:val="000000"/>
          <w:sz w:val="44"/>
          <w:szCs w:val="44"/>
        </w:rPr>
      </w:pPr>
      <w:r>
        <w:rPr>
          <w:rFonts w:eastAsia="方正小标宋简体" w:hint="eastAsia"/>
          <w:bCs/>
          <w:color w:val="000000"/>
          <w:sz w:val="44"/>
          <w:szCs w:val="44"/>
        </w:rPr>
        <w:t>（</w:t>
      </w:r>
      <w:r w:rsidRPr="005B73C0">
        <w:rPr>
          <w:rFonts w:eastAsia="方正小标宋简体" w:hint="eastAsia"/>
          <w:bCs/>
          <w:color w:val="000000"/>
          <w:sz w:val="44"/>
          <w:szCs w:val="44"/>
        </w:rPr>
        <w:t>征求意见稿</w:t>
      </w:r>
      <w:r>
        <w:rPr>
          <w:rFonts w:eastAsia="方正小标宋简体" w:hint="eastAsia"/>
          <w:bCs/>
          <w:color w:val="000000"/>
          <w:sz w:val="44"/>
          <w:szCs w:val="44"/>
        </w:rPr>
        <w:t>）</w:t>
      </w:r>
    </w:p>
    <w:p w14:paraId="7F3E24E3" w14:textId="77777777" w:rsidR="00B17835" w:rsidRDefault="00B17835">
      <w:pPr>
        <w:spacing w:line="520" w:lineRule="exact"/>
        <w:ind w:firstLineChars="200" w:firstLine="640"/>
        <w:rPr>
          <w:rFonts w:eastAsia="仿宋_GB2312"/>
          <w:sz w:val="32"/>
          <w:szCs w:val="32"/>
        </w:rPr>
      </w:pPr>
    </w:p>
    <w:p w14:paraId="324EC9CF"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本指导原则旨在指导注册申请人对钙磷</w:t>
      </w:r>
      <w:r>
        <w:rPr>
          <w:rFonts w:eastAsia="仿宋_GB2312" w:hint="eastAsia"/>
          <w:sz w:val="32"/>
          <w:szCs w:val="32"/>
        </w:rPr>
        <w:t>/</w:t>
      </w:r>
      <w:r>
        <w:rPr>
          <w:rFonts w:eastAsia="仿宋_GB2312" w:hint="eastAsia"/>
          <w:sz w:val="32"/>
          <w:szCs w:val="32"/>
        </w:rPr>
        <w:t>硅类骨填充材料注册申报资料的准备及撰写，同时也为技术审评部门对注册申报资料的审评提供参考。</w:t>
      </w:r>
    </w:p>
    <w:p w14:paraId="13A0E28B"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本指导原则是对钙磷</w:t>
      </w:r>
      <w:r>
        <w:rPr>
          <w:rFonts w:eastAsia="仿宋_GB2312" w:hint="eastAsia"/>
          <w:sz w:val="32"/>
          <w:szCs w:val="32"/>
        </w:rPr>
        <w:t>/</w:t>
      </w:r>
      <w:r>
        <w:rPr>
          <w:rFonts w:eastAsia="仿宋_GB2312" w:hint="eastAsia"/>
          <w:sz w:val="32"/>
          <w:szCs w:val="32"/>
        </w:rPr>
        <w:t>硅类骨填充材料的一般要求，申请人应依据产品的具体特性确定其中内容是否适用。若不适用，需具体阐述理由及相应的科学依据，并依据产品的具体特性对注册申报资料的内容进行充实和细化。</w:t>
      </w:r>
    </w:p>
    <w:p w14:paraId="1E1FA7E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本指导原则是</w:t>
      </w:r>
      <w:proofErr w:type="gramStart"/>
      <w:r>
        <w:rPr>
          <w:rFonts w:eastAsia="仿宋_GB2312" w:hint="eastAsia"/>
          <w:sz w:val="32"/>
          <w:szCs w:val="32"/>
        </w:rPr>
        <w:t>供注册</w:t>
      </w:r>
      <w:proofErr w:type="gramEnd"/>
      <w:r>
        <w:rPr>
          <w:rFonts w:eastAsia="仿宋_GB2312" w:hint="eastAsia"/>
          <w:sz w:val="32"/>
          <w:szCs w:val="32"/>
        </w:rPr>
        <w:t>申请人和技术审评人员使用的指导性文件，但不包括</w:t>
      </w:r>
      <w:proofErr w:type="gramStart"/>
      <w:r>
        <w:rPr>
          <w:rFonts w:eastAsia="仿宋_GB2312" w:hint="eastAsia"/>
          <w:sz w:val="32"/>
          <w:szCs w:val="32"/>
        </w:rPr>
        <w:t>审评审批</w:t>
      </w:r>
      <w:proofErr w:type="gramEnd"/>
      <w:r>
        <w:rPr>
          <w:rFonts w:eastAsia="仿宋_GB2312" w:hint="eastAsia"/>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3F78B4EA"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本指导原则是在现行法规和标准体系以及当前认知水平下制定，随着法规和标准的不断完善，以及科学技术的不断发展，相关内容也将适时进行调整。</w:t>
      </w:r>
    </w:p>
    <w:p w14:paraId="14C13BBE" w14:textId="77777777" w:rsidR="00B17835" w:rsidRDefault="001A6881">
      <w:pPr>
        <w:spacing w:line="520" w:lineRule="exact"/>
        <w:ind w:rightChars="-32" w:right="-67" w:firstLineChars="200" w:firstLine="640"/>
        <w:rPr>
          <w:rFonts w:eastAsia="黑体"/>
          <w:sz w:val="32"/>
          <w:szCs w:val="32"/>
        </w:rPr>
      </w:pPr>
      <w:r>
        <w:rPr>
          <w:rFonts w:eastAsia="黑体"/>
          <w:sz w:val="32"/>
          <w:szCs w:val="32"/>
        </w:rPr>
        <w:t>一、适用范围</w:t>
      </w:r>
    </w:p>
    <w:p w14:paraId="541DAD7B" w14:textId="4D20788D" w:rsidR="00B17835" w:rsidRDefault="001A6881">
      <w:pPr>
        <w:spacing w:line="520" w:lineRule="exact"/>
        <w:ind w:firstLineChars="200" w:firstLine="640"/>
        <w:rPr>
          <w:rFonts w:eastAsia="仿宋_GB2312"/>
          <w:sz w:val="32"/>
          <w:szCs w:val="32"/>
        </w:rPr>
      </w:pPr>
      <w:r>
        <w:rPr>
          <w:rFonts w:eastAsia="仿宋_GB2312" w:hint="eastAsia"/>
          <w:sz w:val="32"/>
          <w:szCs w:val="32"/>
        </w:rPr>
        <w:t>本指导原则中的钙磷</w:t>
      </w:r>
      <w:r>
        <w:rPr>
          <w:rFonts w:eastAsia="仿宋_GB2312" w:hint="eastAsia"/>
          <w:sz w:val="32"/>
          <w:szCs w:val="32"/>
        </w:rPr>
        <w:t>/</w:t>
      </w:r>
      <w:r>
        <w:rPr>
          <w:rFonts w:eastAsia="仿宋_GB2312" w:hint="eastAsia"/>
          <w:sz w:val="32"/>
          <w:szCs w:val="32"/>
        </w:rPr>
        <w:t>硅类骨填充材料包括人工合成的磷酸钙类生物陶瓷、钙硅类生物活性玻璃和玻璃陶瓷、磷酸钙类骨水泥，适用于骨科创伤以及手术引起的不影响骨结构稳定性的骨缺</w:t>
      </w:r>
      <w:r>
        <w:rPr>
          <w:rFonts w:eastAsia="仿宋_GB2312" w:hint="eastAsia"/>
          <w:sz w:val="32"/>
          <w:szCs w:val="32"/>
        </w:rPr>
        <w:lastRenderedPageBreak/>
        <w:t>损的填充，即四肢和脊柱的非结构性植骨。本指导原则中的钙磷</w:t>
      </w:r>
      <w:r>
        <w:rPr>
          <w:rFonts w:eastAsia="仿宋_GB2312" w:hint="eastAsia"/>
          <w:sz w:val="32"/>
          <w:szCs w:val="32"/>
        </w:rPr>
        <w:t>/</w:t>
      </w:r>
      <w:r>
        <w:rPr>
          <w:rFonts w:eastAsia="仿宋_GB2312" w:hint="eastAsia"/>
          <w:sz w:val="32"/>
          <w:szCs w:val="32"/>
        </w:rPr>
        <w:t>硅类骨填充材料涵盖植入后部分降解和完全降解两种情形，其中部分降解材料中未降解部分将长期原位留存，完全降解材料会在缺损部位实现自体骨修复。该指导原则未涵盖含生长因子（如骨形成蛋白）的钙磷</w:t>
      </w:r>
      <w:r>
        <w:rPr>
          <w:rFonts w:eastAsia="仿宋_GB2312" w:hint="eastAsia"/>
          <w:sz w:val="32"/>
          <w:szCs w:val="32"/>
        </w:rPr>
        <w:t>/</w:t>
      </w:r>
      <w:r>
        <w:rPr>
          <w:rFonts w:eastAsia="仿宋_GB2312" w:hint="eastAsia"/>
          <w:sz w:val="32"/>
          <w:szCs w:val="32"/>
        </w:rPr>
        <w:t>硅类骨填充材料、与胶原复合的钙磷</w:t>
      </w:r>
      <w:r>
        <w:rPr>
          <w:rFonts w:eastAsia="仿宋_GB2312" w:hint="eastAsia"/>
          <w:sz w:val="32"/>
          <w:szCs w:val="32"/>
        </w:rPr>
        <w:t>/</w:t>
      </w:r>
      <w:r>
        <w:rPr>
          <w:rFonts w:eastAsia="仿宋_GB2312" w:hint="eastAsia"/>
          <w:sz w:val="32"/>
          <w:szCs w:val="32"/>
        </w:rPr>
        <w:t>硅类骨填充材料、含有纳米</w:t>
      </w:r>
      <w:proofErr w:type="gramStart"/>
      <w:r>
        <w:rPr>
          <w:rFonts w:eastAsia="仿宋_GB2312" w:hint="eastAsia"/>
          <w:sz w:val="32"/>
          <w:szCs w:val="32"/>
        </w:rPr>
        <w:t>级材料</w:t>
      </w:r>
      <w:proofErr w:type="gramEnd"/>
      <w:r>
        <w:rPr>
          <w:rFonts w:eastAsia="仿宋_GB2312" w:hint="eastAsia"/>
          <w:sz w:val="32"/>
          <w:szCs w:val="32"/>
        </w:rPr>
        <w:t>和</w:t>
      </w:r>
      <w:r>
        <w:rPr>
          <w:rFonts w:eastAsia="仿宋_GB2312" w:hint="eastAsia"/>
          <w:sz w:val="32"/>
          <w:szCs w:val="32"/>
        </w:rPr>
        <w:t>/</w:t>
      </w:r>
      <w:r>
        <w:rPr>
          <w:rFonts w:eastAsia="仿宋_GB2312" w:hint="eastAsia"/>
          <w:sz w:val="32"/>
          <w:szCs w:val="32"/>
        </w:rPr>
        <w:t>或纳米工艺制成的钙磷</w:t>
      </w:r>
      <w:r>
        <w:rPr>
          <w:rFonts w:eastAsia="仿宋_GB2312" w:hint="eastAsia"/>
          <w:sz w:val="32"/>
          <w:szCs w:val="32"/>
        </w:rPr>
        <w:t>/</w:t>
      </w:r>
      <w:r>
        <w:rPr>
          <w:rFonts w:eastAsia="仿宋_GB2312" w:hint="eastAsia"/>
          <w:sz w:val="32"/>
          <w:szCs w:val="32"/>
        </w:rPr>
        <w:t>硅类骨填充材料、复合可降解高分子材料（如聚乳酸类）的钙磷</w:t>
      </w:r>
      <w:r>
        <w:rPr>
          <w:rFonts w:eastAsia="仿宋_GB2312" w:hint="eastAsia"/>
          <w:sz w:val="32"/>
          <w:szCs w:val="32"/>
        </w:rPr>
        <w:t>/</w:t>
      </w:r>
      <w:r>
        <w:rPr>
          <w:rFonts w:eastAsia="仿宋_GB2312" w:hint="eastAsia"/>
          <w:sz w:val="32"/>
          <w:szCs w:val="32"/>
        </w:rPr>
        <w:t>硅类骨填充材料、</w:t>
      </w:r>
      <w:proofErr w:type="gramStart"/>
      <w:r>
        <w:rPr>
          <w:rFonts w:eastAsia="仿宋_GB2312" w:hint="eastAsia"/>
          <w:sz w:val="32"/>
          <w:szCs w:val="32"/>
        </w:rPr>
        <w:t>增材制造</w:t>
      </w:r>
      <w:proofErr w:type="gramEnd"/>
      <w:r>
        <w:rPr>
          <w:rFonts w:eastAsia="仿宋_GB2312" w:hint="eastAsia"/>
          <w:sz w:val="32"/>
          <w:szCs w:val="32"/>
        </w:rPr>
        <w:t>工艺的钙磷</w:t>
      </w:r>
      <w:r>
        <w:rPr>
          <w:rFonts w:eastAsia="仿宋_GB2312"/>
          <w:sz w:val="32"/>
          <w:szCs w:val="32"/>
        </w:rPr>
        <w:t>/</w:t>
      </w:r>
      <w:r>
        <w:rPr>
          <w:rFonts w:eastAsia="仿宋_GB2312" w:hint="eastAsia"/>
          <w:sz w:val="32"/>
          <w:szCs w:val="32"/>
        </w:rPr>
        <w:t>硅类骨填充材料、新型钙磷</w:t>
      </w:r>
      <w:r>
        <w:rPr>
          <w:rFonts w:eastAsia="仿宋_GB2312" w:hint="eastAsia"/>
          <w:sz w:val="32"/>
          <w:szCs w:val="32"/>
        </w:rPr>
        <w:t>/</w:t>
      </w:r>
      <w:r>
        <w:rPr>
          <w:rFonts w:eastAsia="仿宋_GB2312" w:hint="eastAsia"/>
          <w:sz w:val="32"/>
          <w:szCs w:val="32"/>
        </w:rPr>
        <w:t>硅类骨填充材料等，但适用部分可根据产品材料属性、结构特征、生物力学特性及临床使用要求，参考本指导原则中的相关内容。</w:t>
      </w:r>
      <w:r>
        <w:rPr>
          <w:rFonts w:eastAsia="仿宋_GB2312"/>
          <w:sz w:val="32"/>
          <w:szCs w:val="32"/>
        </w:rPr>
        <w:t xml:space="preserve"> </w:t>
      </w:r>
    </w:p>
    <w:p w14:paraId="11953023" w14:textId="77777777" w:rsidR="00B17835" w:rsidRDefault="001A6881">
      <w:pPr>
        <w:spacing w:line="520" w:lineRule="exact"/>
        <w:ind w:rightChars="-32" w:right="-67" w:firstLineChars="200" w:firstLine="640"/>
        <w:rPr>
          <w:rFonts w:eastAsia="楷体_GB2312"/>
          <w:sz w:val="32"/>
          <w:szCs w:val="32"/>
        </w:rPr>
      </w:pPr>
      <w:r>
        <w:rPr>
          <w:rFonts w:eastAsia="黑体"/>
          <w:sz w:val="32"/>
          <w:szCs w:val="32"/>
        </w:rPr>
        <w:t>二、</w:t>
      </w:r>
      <w:r>
        <w:rPr>
          <w:rFonts w:eastAsia="黑体" w:hint="eastAsia"/>
          <w:sz w:val="32"/>
          <w:szCs w:val="32"/>
        </w:rPr>
        <w:t>注册</w:t>
      </w:r>
      <w:r>
        <w:rPr>
          <w:rFonts w:eastAsia="黑体"/>
          <w:sz w:val="32"/>
          <w:szCs w:val="32"/>
        </w:rPr>
        <w:t>审查要点</w:t>
      </w:r>
    </w:p>
    <w:p w14:paraId="381BDF84" w14:textId="77777777" w:rsidR="00B17835" w:rsidRDefault="001A6881">
      <w:pPr>
        <w:spacing w:line="520" w:lineRule="exact"/>
        <w:ind w:firstLineChars="200" w:firstLine="640"/>
        <w:rPr>
          <w:rFonts w:eastAsia="仿宋_GB2312"/>
          <w:sz w:val="32"/>
          <w:szCs w:val="32"/>
        </w:rPr>
      </w:pPr>
      <w:r>
        <w:rPr>
          <w:rFonts w:eastAsia="仿宋_GB2312"/>
          <w:sz w:val="32"/>
          <w:szCs w:val="32"/>
        </w:rPr>
        <w:t>注册申报资料应符合国家药品监督管理局《关于公布医疗器械注册申报资料要求和批准证明文件格式的公告》中的要求，同时宜符合以下要求：</w:t>
      </w:r>
    </w:p>
    <w:p w14:paraId="23646A23" w14:textId="77777777" w:rsidR="00B17835" w:rsidRDefault="001A6881">
      <w:pPr>
        <w:spacing w:line="520" w:lineRule="exact"/>
        <w:ind w:rightChars="-32" w:right="-67" w:firstLineChars="200" w:firstLine="640"/>
        <w:rPr>
          <w:rFonts w:eastAsia="楷体_GB2312"/>
          <w:sz w:val="32"/>
          <w:szCs w:val="32"/>
        </w:rPr>
      </w:pPr>
      <w:r>
        <w:rPr>
          <w:rFonts w:eastAsia="楷体_GB2312"/>
          <w:sz w:val="32"/>
          <w:szCs w:val="32"/>
        </w:rPr>
        <w:t>（一）</w:t>
      </w:r>
      <w:r>
        <w:rPr>
          <w:rFonts w:eastAsia="楷体_GB2312" w:hint="eastAsia"/>
          <w:sz w:val="32"/>
          <w:szCs w:val="32"/>
        </w:rPr>
        <w:t>监管信息</w:t>
      </w:r>
    </w:p>
    <w:p w14:paraId="0BD5A40E" w14:textId="77777777" w:rsidR="00B17835" w:rsidRDefault="001A6881">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产品名称</w:t>
      </w:r>
    </w:p>
    <w:p w14:paraId="1E035CD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的命名需符合《医疗器械通用名称命名规则》、《无源植入器械通用名称命名指导原则》等相关法规的要求，可采用国家标准、行业标准中的通用名称。医疗器械通用名称由一个核心词和一般不超过三个特征词组成。该类产品核心词可为骨填充材料、骨修复材料、人工骨等。可增加表述产品材料成分、材料特性等特征词，例如β</w:t>
      </w:r>
      <w:r>
        <w:rPr>
          <w:rFonts w:eastAsia="仿宋_GB2312" w:hint="eastAsia"/>
          <w:sz w:val="32"/>
          <w:szCs w:val="32"/>
        </w:rPr>
        <w:t>-</w:t>
      </w:r>
      <w:r>
        <w:rPr>
          <w:rFonts w:eastAsia="仿宋_GB2312" w:hint="eastAsia"/>
          <w:sz w:val="32"/>
          <w:szCs w:val="32"/>
        </w:rPr>
        <w:t>磷酸三钙人工骨、可吸收生物玻璃骨填充物、可吸收复合材料人工骨。</w:t>
      </w:r>
    </w:p>
    <w:p w14:paraId="604DE4E6"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分类编码</w:t>
      </w:r>
    </w:p>
    <w:p w14:paraId="385FBF64"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根据《医疗器械分类目录》，分类编码为</w:t>
      </w:r>
      <w:r>
        <w:rPr>
          <w:rFonts w:eastAsia="仿宋_GB2312"/>
          <w:sz w:val="32"/>
          <w:szCs w:val="32"/>
        </w:rPr>
        <w:t>13-05-02</w:t>
      </w:r>
      <w:r>
        <w:rPr>
          <w:rFonts w:eastAsia="仿宋_GB2312" w:hint="eastAsia"/>
          <w:sz w:val="32"/>
          <w:szCs w:val="32"/>
        </w:rPr>
        <w:t>，管理类</w:t>
      </w:r>
      <w:r>
        <w:rPr>
          <w:rFonts w:eastAsia="仿宋_GB2312" w:hint="eastAsia"/>
          <w:sz w:val="32"/>
          <w:szCs w:val="32"/>
        </w:rPr>
        <w:lastRenderedPageBreak/>
        <w:t>别为Ⅲ类。</w:t>
      </w:r>
    </w:p>
    <w:p w14:paraId="5E062645"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注册单元划分</w:t>
      </w:r>
    </w:p>
    <w:p w14:paraId="0D3D8118"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注册单元的划分需符合《医疗器械注册单元划分指导原则》的要求。主要组成材料、制备工艺原理、关键性能指标（如主要组分含量、固相液相配比、结晶度、孔径分布、孔隙率等）不同的产品应划分为不同的注册单元。与申报产品配套使用的工具可作为同一注册单元进行申报。</w:t>
      </w:r>
    </w:p>
    <w:p w14:paraId="4176F447" w14:textId="77777777" w:rsidR="00B17835" w:rsidRDefault="001A6881">
      <w:pPr>
        <w:spacing w:line="520" w:lineRule="exact"/>
        <w:ind w:rightChars="-32" w:right="-67" w:firstLineChars="200" w:firstLine="640"/>
        <w:rPr>
          <w:rFonts w:eastAsia="楷体_GB2312"/>
          <w:sz w:val="32"/>
          <w:szCs w:val="32"/>
        </w:rPr>
      </w:pPr>
      <w:r>
        <w:rPr>
          <w:rFonts w:eastAsia="楷体_GB2312"/>
          <w:sz w:val="32"/>
          <w:szCs w:val="32"/>
        </w:rPr>
        <w:t>（二）</w:t>
      </w:r>
      <w:r>
        <w:rPr>
          <w:rFonts w:eastAsia="楷体_GB2312" w:hint="eastAsia"/>
          <w:sz w:val="32"/>
          <w:szCs w:val="32"/>
        </w:rPr>
        <w:t>综述资料</w:t>
      </w:r>
    </w:p>
    <w:p w14:paraId="45491FD0" w14:textId="77777777" w:rsidR="00B17835" w:rsidRDefault="001A6881">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产品描述</w:t>
      </w:r>
    </w:p>
    <w:p w14:paraId="7BCE1EB7" w14:textId="77777777" w:rsidR="00B17835" w:rsidRDefault="001A6881">
      <w:pPr>
        <w:spacing w:line="520"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结构组成</w:t>
      </w:r>
    </w:p>
    <w:p w14:paraId="20FFBAAF"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申报资料中需明确产品材料的成分、性状、配比、作用机理及符合标准，交付状态、灭菌方式及货架有效期等信息。明确申报产品所用原材料通用名称、材料牌号（如有）、分子式、符合的相关标准（包括国家标准、行业标准、国际标准等）。对于尚无相应标准的原材料，需明确质量控制标准。</w:t>
      </w:r>
    </w:p>
    <w:p w14:paraId="7EEB9337" w14:textId="10B4789E" w:rsidR="00B17835" w:rsidRDefault="001A6881">
      <w:pPr>
        <w:spacing w:line="520" w:lineRule="exact"/>
        <w:ind w:firstLineChars="200" w:firstLine="640"/>
        <w:rPr>
          <w:rFonts w:eastAsia="仿宋_GB2312"/>
          <w:sz w:val="32"/>
          <w:szCs w:val="32"/>
        </w:rPr>
      </w:pPr>
      <w:r>
        <w:rPr>
          <w:rFonts w:eastAsia="仿宋_GB2312" w:hint="eastAsia"/>
          <w:sz w:val="32"/>
          <w:szCs w:val="32"/>
        </w:rPr>
        <w:t>对于多孔结构的产品或者固化后为多孔结构的产品，描述产品内部多孔结构几何特征，包括总孔隙率、</w:t>
      </w:r>
      <w:proofErr w:type="gramStart"/>
      <w:r w:rsidRPr="00696F34">
        <w:rPr>
          <w:rFonts w:eastAsia="仿宋_GB2312" w:hint="eastAsia"/>
          <w:sz w:val="32"/>
          <w:szCs w:val="32"/>
        </w:rPr>
        <w:t>宏孔和</w:t>
      </w:r>
      <w:proofErr w:type="gramEnd"/>
      <w:r w:rsidRPr="00696F34">
        <w:rPr>
          <w:rFonts w:eastAsia="仿宋_GB2312" w:hint="eastAsia"/>
          <w:sz w:val="32"/>
          <w:szCs w:val="32"/>
        </w:rPr>
        <w:t>微孔尺寸</w:t>
      </w:r>
      <w:r>
        <w:rPr>
          <w:rFonts w:eastAsia="仿宋_GB2312" w:hint="eastAsia"/>
          <w:sz w:val="32"/>
          <w:szCs w:val="32"/>
        </w:rPr>
        <w:t>（如平均孔径、孔径分布）、内连接（如开孔孔隙率和</w:t>
      </w:r>
      <w:r>
        <w:rPr>
          <w:rFonts w:eastAsia="仿宋_GB2312" w:hint="eastAsia"/>
          <w:sz w:val="32"/>
          <w:szCs w:val="32"/>
        </w:rPr>
        <w:t>/</w:t>
      </w:r>
      <w:r>
        <w:rPr>
          <w:rFonts w:eastAsia="仿宋_GB2312" w:hint="eastAsia"/>
          <w:sz w:val="32"/>
          <w:szCs w:val="32"/>
        </w:rPr>
        <w:t>或孔连通率）。对于块状、柱状、楔形等具有一定形状的产品，描述其关键尺寸参数，如长度、宽度、高度（或厚度）、直径</w:t>
      </w:r>
      <w:r>
        <w:rPr>
          <w:rFonts w:eastAsia="仿宋_GB2312"/>
          <w:sz w:val="32"/>
          <w:szCs w:val="32"/>
        </w:rPr>
        <w:t>、</w:t>
      </w:r>
      <w:r>
        <w:rPr>
          <w:rFonts w:eastAsia="仿宋_GB2312" w:hint="eastAsia"/>
          <w:sz w:val="32"/>
          <w:szCs w:val="32"/>
        </w:rPr>
        <w:t>角度（如适用）等。可以结构示意图和</w:t>
      </w:r>
      <w:r>
        <w:rPr>
          <w:rFonts w:eastAsia="仿宋_GB2312"/>
          <w:sz w:val="32"/>
          <w:szCs w:val="32"/>
        </w:rPr>
        <w:t>/</w:t>
      </w:r>
      <w:r>
        <w:rPr>
          <w:rFonts w:eastAsia="仿宋_GB2312" w:hint="eastAsia"/>
          <w:sz w:val="32"/>
          <w:szCs w:val="32"/>
        </w:rPr>
        <w:t>或实物图进行说明，明确区别于其他同类产品的特征内容。</w:t>
      </w:r>
    </w:p>
    <w:p w14:paraId="56121241" w14:textId="77777777" w:rsidR="00B17835" w:rsidRDefault="001A6881">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器械及操作原理描述</w:t>
      </w:r>
    </w:p>
    <w:p w14:paraId="0E5329C6"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描述申报产品的设计原理（如实现骨传导的原理、各组分的作用原理、水化反应的原理等）、制造原理（如合成原理、造孔</w:t>
      </w:r>
      <w:r>
        <w:rPr>
          <w:rFonts w:eastAsia="仿宋_GB2312" w:hint="eastAsia"/>
          <w:sz w:val="32"/>
          <w:szCs w:val="32"/>
        </w:rPr>
        <w:lastRenderedPageBreak/>
        <w:t>原理等）、降解原理和性能（如适用）。</w:t>
      </w:r>
    </w:p>
    <w:p w14:paraId="1AB7BFB1" w14:textId="77777777" w:rsidR="00B17835" w:rsidRDefault="001A6881">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型号规格</w:t>
      </w:r>
    </w:p>
    <w:p w14:paraId="2D30C83B" w14:textId="768410A0" w:rsidR="00B17835" w:rsidRDefault="001A6881">
      <w:pPr>
        <w:spacing w:line="520" w:lineRule="exact"/>
        <w:ind w:firstLineChars="200" w:firstLine="640"/>
        <w:rPr>
          <w:rFonts w:eastAsia="仿宋_GB2312"/>
          <w:sz w:val="32"/>
          <w:szCs w:val="32"/>
        </w:rPr>
      </w:pPr>
      <w:r>
        <w:rPr>
          <w:rFonts w:eastAsia="仿宋_GB2312" w:hint="eastAsia"/>
          <w:sz w:val="32"/>
          <w:szCs w:val="32"/>
        </w:rPr>
        <w:t>明确产品结构及关键尺寸信息、各组成成分、含量、包装形式和包装材料（如适用）。对于存在多种型号、规格的产品，需明确各型号、规格的区别。建议采用对比表及带有说明性文字的图片、图表，对各种型号、规格的结构组成、产品特征、性能指标等方面加以描述。需提供体现产品设计特征的关键尺寸及公差信息，如块状产品的长度、宽度、高度、角度（如适用）等；颗粒型产品的粒径范围、装量</w:t>
      </w:r>
      <w:r>
        <w:rPr>
          <w:rFonts w:eastAsia="仿宋_GB2312" w:hint="eastAsia"/>
          <w:sz w:val="32"/>
          <w:szCs w:val="32"/>
        </w:rPr>
        <w:t>/</w:t>
      </w:r>
      <w:r>
        <w:rPr>
          <w:rFonts w:eastAsia="仿宋_GB2312" w:hint="eastAsia"/>
          <w:sz w:val="32"/>
          <w:szCs w:val="32"/>
        </w:rPr>
        <w:t>容重；磷酸钙类骨水泥固相、液相和添加剂成分、配比及装量等。</w:t>
      </w:r>
    </w:p>
    <w:p w14:paraId="272084A9"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包装说明</w:t>
      </w:r>
    </w:p>
    <w:p w14:paraId="77A59553" w14:textId="437EB20D" w:rsidR="00B17835" w:rsidRDefault="001A6881">
      <w:pPr>
        <w:spacing w:line="520" w:lineRule="exact"/>
        <w:ind w:firstLineChars="200" w:firstLine="640"/>
        <w:rPr>
          <w:rFonts w:eastAsia="仿宋_GB2312"/>
          <w:sz w:val="32"/>
          <w:szCs w:val="32"/>
        </w:rPr>
      </w:pPr>
      <w:r>
        <w:rPr>
          <w:rFonts w:eastAsia="仿宋_GB2312"/>
          <w:sz w:val="32"/>
          <w:szCs w:val="32"/>
        </w:rPr>
        <w:t>说明所有产品组成的包装信息。</w:t>
      </w:r>
      <w:r>
        <w:rPr>
          <w:rFonts w:eastAsia="仿宋_GB2312" w:hint="eastAsia"/>
          <w:sz w:val="32"/>
          <w:szCs w:val="32"/>
        </w:rPr>
        <w:t>结合包装结构解析图的形式明示申报产品的包装信息</w:t>
      </w:r>
      <w:r>
        <w:rPr>
          <w:rFonts w:eastAsia="仿宋_GB2312"/>
          <w:sz w:val="32"/>
          <w:szCs w:val="32"/>
        </w:rPr>
        <w:t>（如材料、成分和尺寸等）</w:t>
      </w:r>
      <w:r>
        <w:rPr>
          <w:rFonts w:eastAsia="仿宋_GB2312" w:hint="eastAsia"/>
          <w:sz w:val="32"/>
          <w:szCs w:val="32"/>
        </w:rPr>
        <w:t>，以列表形式明示所有包装内容物和包装材料的信息。对于多组分组成的产品，如包含固相和液相部分的产品，需明示各相的包装信息。</w:t>
      </w:r>
    </w:p>
    <w:p w14:paraId="08A73AD6" w14:textId="77777777" w:rsidR="00B17835" w:rsidRDefault="001A6881">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研发历程</w:t>
      </w:r>
    </w:p>
    <w:p w14:paraId="531EA37C" w14:textId="77777777" w:rsidR="00B17835" w:rsidRDefault="001A6881">
      <w:pPr>
        <w:spacing w:line="520" w:lineRule="exact"/>
        <w:ind w:firstLineChars="200" w:firstLine="640"/>
        <w:rPr>
          <w:rFonts w:eastAsia="仿宋_GB2312"/>
          <w:sz w:val="32"/>
          <w:szCs w:val="32"/>
        </w:rPr>
      </w:pPr>
      <w:r>
        <w:rPr>
          <w:rFonts w:eastAsia="仿宋_GB2312"/>
          <w:sz w:val="32"/>
          <w:szCs w:val="32"/>
        </w:rPr>
        <w:t>阐述申请注册产品的研发背景和目的。</w:t>
      </w:r>
      <w:r>
        <w:rPr>
          <w:rFonts w:eastAsia="仿宋_GB2312" w:hint="eastAsia"/>
          <w:sz w:val="32"/>
          <w:szCs w:val="32"/>
        </w:rPr>
        <w:t>综述同类产品国内外研究及临床使用现状及发展趋势。</w:t>
      </w:r>
      <w:r>
        <w:rPr>
          <w:rFonts w:eastAsia="仿宋_GB2312"/>
          <w:sz w:val="32"/>
          <w:szCs w:val="32"/>
        </w:rPr>
        <w:t>如有参考的同类产品</w:t>
      </w:r>
      <w:r>
        <w:rPr>
          <w:rFonts w:eastAsia="仿宋_GB2312" w:hint="eastAsia"/>
          <w:sz w:val="32"/>
          <w:szCs w:val="32"/>
        </w:rPr>
        <w:t>（国内外已上市）</w:t>
      </w:r>
      <w:r>
        <w:rPr>
          <w:rFonts w:eastAsia="仿宋_GB2312"/>
          <w:sz w:val="32"/>
          <w:szCs w:val="32"/>
        </w:rPr>
        <w:t>或前代产品</w:t>
      </w:r>
      <w:r>
        <w:rPr>
          <w:rFonts w:eastAsia="仿宋_GB2312" w:hint="eastAsia"/>
          <w:sz w:val="32"/>
          <w:szCs w:val="32"/>
        </w:rPr>
        <w:t>（如有）</w:t>
      </w:r>
      <w:r>
        <w:rPr>
          <w:rFonts w:eastAsia="仿宋_GB2312"/>
          <w:sz w:val="32"/>
          <w:szCs w:val="32"/>
        </w:rPr>
        <w:t>，应当提供同类产品或前代产品的信息，并说明选择其作为研发参考的原因。</w:t>
      </w:r>
    </w:p>
    <w:p w14:paraId="53247A73" w14:textId="77777777" w:rsidR="00B17835" w:rsidRDefault="001A6881">
      <w:pPr>
        <w:tabs>
          <w:tab w:val="left" w:pos="993"/>
        </w:tabs>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与同类和</w:t>
      </w:r>
      <w:r>
        <w:rPr>
          <w:rFonts w:eastAsia="仿宋_GB2312"/>
          <w:sz w:val="32"/>
          <w:szCs w:val="32"/>
        </w:rPr>
        <w:t>/</w:t>
      </w:r>
      <w:r>
        <w:rPr>
          <w:rFonts w:eastAsia="仿宋_GB2312"/>
          <w:sz w:val="32"/>
          <w:szCs w:val="32"/>
        </w:rPr>
        <w:t>或前代产品的参考和比较</w:t>
      </w:r>
    </w:p>
    <w:p w14:paraId="09B0AE09" w14:textId="77777777" w:rsidR="00B17835" w:rsidRDefault="001A6881">
      <w:pPr>
        <w:spacing w:line="520" w:lineRule="exact"/>
        <w:ind w:firstLineChars="200" w:firstLine="636"/>
        <w:rPr>
          <w:rFonts w:eastAsia="仿宋_GB2312"/>
          <w:sz w:val="32"/>
          <w:szCs w:val="32"/>
        </w:rPr>
      </w:pPr>
      <w:r>
        <w:rPr>
          <w:rFonts w:eastAsia="仿宋_GB2312" w:hint="eastAsia"/>
          <w:spacing w:val="-1"/>
          <w:sz w:val="32"/>
          <w:szCs w:val="32"/>
        </w:rPr>
        <w:t>列表比较说明申报产品与参考产品（同类产品或前代产品）在工作原理和</w:t>
      </w:r>
      <w:r>
        <w:rPr>
          <w:rFonts w:eastAsia="仿宋_GB2312" w:hint="eastAsia"/>
          <w:spacing w:val="-1"/>
          <w:sz w:val="32"/>
          <w:szCs w:val="32"/>
        </w:rPr>
        <w:t>/</w:t>
      </w:r>
      <w:r>
        <w:rPr>
          <w:rFonts w:eastAsia="仿宋_GB2312" w:hint="eastAsia"/>
          <w:spacing w:val="-1"/>
          <w:sz w:val="32"/>
          <w:szCs w:val="32"/>
        </w:rPr>
        <w:t>或作用机理、结构组成、制造材料、制造工艺、性能指标、</w:t>
      </w:r>
      <w:r>
        <w:rPr>
          <w:rFonts w:eastAsia="仿宋_GB2312" w:hint="eastAsia"/>
          <w:bCs/>
          <w:sz w:val="32"/>
          <w:szCs w:val="32"/>
        </w:rPr>
        <w:t>应用技术</w:t>
      </w:r>
      <w:r>
        <w:rPr>
          <w:rFonts w:eastAsia="仿宋_GB2312" w:hint="eastAsia"/>
          <w:spacing w:val="-1"/>
          <w:sz w:val="32"/>
          <w:szCs w:val="32"/>
        </w:rPr>
        <w:t>，以及适用范围（如适用部位、指征）等方面的异同。</w:t>
      </w:r>
      <w:r>
        <w:rPr>
          <w:rFonts w:eastAsia="仿宋_GB2312"/>
          <w:bCs/>
          <w:sz w:val="32"/>
          <w:szCs w:val="32"/>
        </w:rPr>
        <w:t>性能指标</w:t>
      </w:r>
      <w:r>
        <w:rPr>
          <w:rFonts w:eastAsia="仿宋_GB2312" w:hint="eastAsia"/>
          <w:bCs/>
          <w:sz w:val="32"/>
          <w:szCs w:val="32"/>
        </w:rPr>
        <w:t>的</w:t>
      </w:r>
      <w:r>
        <w:rPr>
          <w:rFonts w:eastAsia="仿宋_GB2312"/>
          <w:bCs/>
          <w:sz w:val="32"/>
          <w:szCs w:val="32"/>
        </w:rPr>
        <w:t>对比应重点关注</w:t>
      </w:r>
      <w:r>
        <w:rPr>
          <w:rFonts w:eastAsia="仿宋_GB2312" w:hint="eastAsia"/>
          <w:bCs/>
          <w:sz w:val="32"/>
          <w:szCs w:val="32"/>
        </w:rPr>
        <w:t>产品降解前后的理化表征、</w:t>
      </w:r>
      <w:r>
        <w:rPr>
          <w:rFonts w:eastAsia="仿宋_GB2312" w:hint="eastAsia"/>
          <w:bCs/>
          <w:sz w:val="32"/>
          <w:szCs w:val="32"/>
        </w:rPr>
        <w:lastRenderedPageBreak/>
        <w:t>机械性能变化。明确产品有无使用新材料、新的活性成分、新技术、新设计或</w:t>
      </w:r>
      <w:r>
        <w:rPr>
          <w:rFonts w:eastAsia="仿宋_GB2312" w:hint="eastAsia"/>
          <w:sz w:val="32"/>
          <w:szCs w:val="32"/>
        </w:rPr>
        <w:t>具有新作用机理、新功能。</w:t>
      </w:r>
    </w:p>
    <w:p w14:paraId="0927535C" w14:textId="77777777" w:rsidR="00B17835" w:rsidRDefault="001A6881">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适用范围和禁忌证</w:t>
      </w:r>
    </w:p>
    <w:p w14:paraId="72EB423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钙磷</w:t>
      </w:r>
      <w:r>
        <w:rPr>
          <w:rFonts w:eastAsia="仿宋_GB2312"/>
          <w:sz w:val="32"/>
          <w:szCs w:val="32"/>
        </w:rPr>
        <w:t>/</w:t>
      </w:r>
      <w:r>
        <w:rPr>
          <w:rFonts w:eastAsia="仿宋_GB2312" w:hint="eastAsia"/>
          <w:sz w:val="32"/>
          <w:szCs w:val="32"/>
        </w:rPr>
        <w:t>硅类骨填充材料适用于骨科创伤以及手术引起的不影响骨结构稳定性的骨缺损的填充。申请人需根据申报产品的设计特征，进一步说明其具体的适用人群、适用部位、最大可填充的缺损体积、配合使用的内固定和</w:t>
      </w:r>
      <w:r>
        <w:rPr>
          <w:rFonts w:eastAsia="仿宋_GB2312" w:hint="eastAsia"/>
          <w:sz w:val="32"/>
          <w:szCs w:val="32"/>
        </w:rPr>
        <w:t>/</w:t>
      </w:r>
      <w:r>
        <w:rPr>
          <w:rFonts w:eastAsia="仿宋_GB2312" w:hint="eastAsia"/>
          <w:sz w:val="32"/>
          <w:szCs w:val="32"/>
        </w:rPr>
        <w:t>或外固定器械、是否与骨髓、血液等配合使用、使用注意事项等信息。</w:t>
      </w:r>
    </w:p>
    <w:p w14:paraId="7ECB403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描述产品的禁忌证，包括绝对禁忌证、相对禁忌证，如不适宜使用的人群、疾病等情形。</w:t>
      </w:r>
    </w:p>
    <w:p w14:paraId="7D1AF66A" w14:textId="77777777" w:rsidR="00B17835" w:rsidRDefault="001A6881">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申报产品上市历史</w:t>
      </w:r>
    </w:p>
    <w:p w14:paraId="7FA42E6A" w14:textId="77777777" w:rsidR="00B17835" w:rsidRDefault="001A6881">
      <w:pPr>
        <w:spacing w:line="520" w:lineRule="exact"/>
        <w:ind w:firstLineChars="200" w:firstLine="640"/>
        <w:rPr>
          <w:rFonts w:eastAsia="仿宋_GB2312"/>
          <w:sz w:val="32"/>
          <w:szCs w:val="32"/>
        </w:rPr>
      </w:pPr>
      <w:r>
        <w:rPr>
          <w:rFonts w:eastAsia="仿宋_GB2312"/>
          <w:sz w:val="32"/>
          <w:szCs w:val="32"/>
        </w:rPr>
        <w:t>应当提交申报产品上市情况</w:t>
      </w:r>
      <w:r>
        <w:rPr>
          <w:rFonts w:eastAsia="仿宋_GB2312" w:hint="eastAsia"/>
          <w:sz w:val="32"/>
          <w:szCs w:val="32"/>
        </w:rPr>
        <w:t>、</w:t>
      </w:r>
      <w:r>
        <w:rPr>
          <w:rFonts w:eastAsia="仿宋_GB2312"/>
          <w:sz w:val="32"/>
          <w:szCs w:val="32"/>
        </w:rPr>
        <w:t>不良事件和召回</w:t>
      </w:r>
      <w:r>
        <w:rPr>
          <w:rFonts w:eastAsia="仿宋_GB2312" w:hint="eastAsia"/>
          <w:sz w:val="32"/>
          <w:szCs w:val="32"/>
        </w:rPr>
        <w:t>以及</w:t>
      </w:r>
      <w:r>
        <w:rPr>
          <w:rFonts w:eastAsia="仿宋_GB2312"/>
          <w:sz w:val="32"/>
          <w:szCs w:val="32"/>
        </w:rPr>
        <w:t>销售、不良事件及召回</w:t>
      </w:r>
      <w:proofErr w:type="gramStart"/>
      <w:r>
        <w:rPr>
          <w:rFonts w:eastAsia="仿宋_GB2312"/>
          <w:sz w:val="32"/>
          <w:szCs w:val="32"/>
        </w:rPr>
        <w:t>率</w:t>
      </w:r>
      <w:r>
        <w:rPr>
          <w:rFonts w:eastAsia="仿宋_GB2312" w:hint="eastAsia"/>
          <w:sz w:val="32"/>
          <w:szCs w:val="32"/>
        </w:rPr>
        <w:t>相关</w:t>
      </w:r>
      <w:proofErr w:type="gramEnd"/>
      <w:r>
        <w:rPr>
          <w:rFonts w:eastAsia="仿宋_GB2312" w:hint="eastAsia"/>
          <w:sz w:val="32"/>
          <w:szCs w:val="32"/>
        </w:rPr>
        <w:t>资料。如不适用请予以说明。</w:t>
      </w:r>
    </w:p>
    <w:p w14:paraId="55BF3596" w14:textId="77777777" w:rsidR="00B17835" w:rsidRDefault="001A6881">
      <w:pPr>
        <w:spacing w:line="52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配合使用器械</w:t>
      </w:r>
    </w:p>
    <w:p w14:paraId="23779183"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对于已获得批准的部件或配合使用的附件，应当提供批准文号和批准文件复印件。若申报产品预期需与其他医疗器械组合使用，应当予以说明。</w:t>
      </w:r>
    </w:p>
    <w:p w14:paraId="1E60AF0A" w14:textId="77777777" w:rsidR="00B17835" w:rsidRDefault="001A6881">
      <w:pPr>
        <w:spacing w:line="520" w:lineRule="exact"/>
        <w:ind w:firstLineChars="200" w:firstLine="640"/>
        <w:rPr>
          <w:rFonts w:eastAsia="楷体_GB2312"/>
          <w:color w:val="000000"/>
          <w:sz w:val="32"/>
          <w:szCs w:val="32"/>
        </w:rPr>
      </w:pPr>
      <w:r>
        <w:rPr>
          <w:rFonts w:eastAsia="楷体_GB2312" w:hint="eastAsia"/>
          <w:color w:val="000000"/>
          <w:sz w:val="32"/>
          <w:szCs w:val="32"/>
        </w:rPr>
        <w:t>（三）非临床资料</w:t>
      </w:r>
    </w:p>
    <w:p w14:paraId="7E27CD4C"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产品风险管理资料</w:t>
      </w:r>
    </w:p>
    <w:p w14:paraId="493E184D"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注册申请人需对产品全生命周期实施风险管理，提交风险管理资料（参照</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充分识别产品的设计、原材料、制造过程、产品包装、灭菌、运输、贮存、使用等产品生命周期内各个环节的安全特征，从生物学危险（源）、环境危险（源）等方面，对产品进行全面的风险分析，并详述所采取的风险控制措施。</w:t>
      </w:r>
    </w:p>
    <w:p w14:paraId="6E371E3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lastRenderedPageBreak/>
        <w:t>风险管理报告</w:t>
      </w:r>
      <w:proofErr w:type="gramStart"/>
      <w:r>
        <w:rPr>
          <w:rFonts w:eastAsia="仿宋_GB2312" w:hint="eastAsia"/>
          <w:sz w:val="32"/>
          <w:szCs w:val="32"/>
        </w:rPr>
        <w:t>需包括</w:t>
      </w:r>
      <w:proofErr w:type="gramEnd"/>
      <w:r>
        <w:rPr>
          <w:rFonts w:eastAsia="仿宋_GB2312" w:hint="eastAsia"/>
          <w:sz w:val="32"/>
          <w:szCs w:val="32"/>
        </w:rPr>
        <w:t>生产和生产后信息（具体内容参考</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风险管理对医疗器械的应用》第</w:t>
      </w:r>
      <w:r>
        <w:rPr>
          <w:rFonts w:eastAsia="仿宋_GB2312" w:hint="eastAsia"/>
          <w:sz w:val="32"/>
          <w:szCs w:val="32"/>
        </w:rPr>
        <w:t>10</w:t>
      </w:r>
      <w:r>
        <w:rPr>
          <w:rFonts w:eastAsia="仿宋_GB2312" w:hint="eastAsia"/>
          <w:sz w:val="32"/>
          <w:szCs w:val="32"/>
        </w:rPr>
        <w:t>章和《医疗器械安全和性能的基本原则》的</w:t>
      </w:r>
      <w:r>
        <w:rPr>
          <w:rFonts w:eastAsia="仿宋_GB2312" w:hint="eastAsia"/>
          <w:sz w:val="32"/>
          <w:szCs w:val="32"/>
        </w:rPr>
        <w:t>2.1.2 e)</w:t>
      </w:r>
      <w:r>
        <w:rPr>
          <w:rFonts w:eastAsia="仿宋_GB2312" w:hint="eastAsia"/>
          <w:sz w:val="32"/>
          <w:szCs w:val="32"/>
        </w:rPr>
        <w:t>和</w:t>
      </w:r>
      <w:r>
        <w:rPr>
          <w:rFonts w:eastAsia="仿宋_GB2312" w:hint="eastAsia"/>
          <w:sz w:val="32"/>
          <w:szCs w:val="32"/>
        </w:rPr>
        <w:t>f)</w:t>
      </w:r>
      <w:r>
        <w:rPr>
          <w:rFonts w:eastAsia="仿宋_GB2312" w:hint="eastAsia"/>
          <w:sz w:val="32"/>
          <w:szCs w:val="32"/>
        </w:rPr>
        <w:t>部分）。产品变更注册和已在境外上市产品注册时，申报资料中的风险管理报告</w:t>
      </w:r>
      <w:proofErr w:type="gramStart"/>
      <w:r>
        <w:rPr>
          <w:rFonts w:eastAsia="仿宋_GB2312" w:hint="eastAsia"/>
          <w:sz w:val="32"/>
          <w:szCs w:val="32"/>
        </w:rPr>
        <w:t>需包括</w:t>
      </w:r>
      <w:proofErr w:type="gramEnd"/>
      <w:r>
        <w:rPr>
          <w:rFonts w:eastAsia="仿宋_GB2312" w:hint="eastAsia"/>
          <w:sz w:val="32"/>
          <w:szCs w:val="32"/>
        </w:rPr>
        <w:t>上述内容，将风险管理贯穿于产品的全生命周期。</w:t>
      </w:r>
    </w:p>
    <w:p w14:paraId="2E7C0AA6" w14:textId="77777777" w:rsidR="00B17835" w:rsidRDefault="001A6881">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医疗器械安全和性能基本原则清单</w:t>
      </w:r>
    </w:p>
    <w:p w14:paraId="6C3923C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明确产品符合《医疗器械安全和性能基本原则清单》各适用项要求所采用的方法及证明其符合性的文件。</w:t>
      </w:r>
    </w:p>
    <w:p w14:paraId="4DAA6417"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产品技术要求的主要性能指标</w:t>
      </w:r>
      <w:r>
        <w:rPr>
          <w:rFonts w:eastAsia="仿宋_GB2312" w:hint="eastAsia"/>
          <w:sz w:val="32"/>
          <w:szCs w:val="32"/>
        </w:rPr>
        <w:t xml:space="preserve"> </w:t>
      </w:r>
    </w:p>
    <w:p w14:paraId="079396F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产品技术要求的制定需符合《医疗器械产品技术要求编写指导原则》的要求，同时结合产品具体适用的通用指导原则或相关国家标准、行业标准以及产品的特点，选择适用</w:t>
      </w:r>
      <w:proofErr w:type="gramStart"/>
      <w:r>
        <w:rPr>
          <w:rFonts w:eastAsia="仿宋_GB2312" w:hint="eastAsia"/>
          <w:sz w:val="32"/>
          <w:szCs w:val="32"/>
        </w:rPr>
        <w:t>项制定</w:t>
      </w:r>
      <w:proofErr w:type="gramEnd"/>
      <w:r>
        <w:rPr>
          <w:rFonts w:eastAsia="仿宋_GB2312" w:hint="eastAsia"/>
          <w:sz w:val="32"/>
          <w:szCs w:val="32"/>
        </w:rPr>
        <w:t>各项性能指标和检验方法，保证产品安全、有效、质量可控。</w:t>
      </w:r>
    </w:p>
    <w:p w14:paraId="409C108A"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.1</w:t>
      </w:r>
      <w:r>
        <w:rPr>
          <w:rFonts w:eastAsia="仿宋_GB2312" w:hint="eastAsia"/>
          <w:sz w:val="32"/>
          <w:szCs w:val="32"/>
        </w:rPr>
        <w:t>产品型号</w:t>
      </w:r>
      <w:r>
        <w:rPr>
          <w:rFonts w:eastAsia="仿宋_GB2312" w:hint="eastAsia"/>
          <w:sz w:val="32"/>
          <w:szCs w:val="32"/>
        </w:rPr>
        <w:t>/</w:t>
      </w:r>
      <w:r>
        <w:rPr>
          <w:rFonts w:eastAsia="仿宋_GB2312" w:hint="eastAsia"/>
          <w:sz w:val="32"/>
          <w:szCs w:val="32"/>
        </w:rPr>
        <w:t>规格及其划分的说明</w:t>
      </w:r>
    </w:p>
    <w:p w14:paraId="5AC4CCD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列表说明产品的型号、规格，明确产品型号、规格的划分说明。需包含以下产品相关信息：明确各组成成分、含量及符合的标准、包装形式和包装材料（如适用）。提供产品关键尺寸信息及结构图并标识关键尺寸。</w:t>
      </w:r>
    </w:p>
    <w:p w14:paraId="2841A450"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.2</w:t>
      </w:r>
      <w:r>
        <w:rPr>
          <w:rFonts w:eastAsia="仿宋_GB2312" w:hint="eastAsia"/>
          <w:sz w:val="32"/>
          <w:szCs w:val="32"/>
        </w:rPr>
        <w:t>性能指标</w:t>
      </w:r>
    </w:p>
    <w:p w14:paraId="0A2436E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产品技术要求的主要性能指标</w:t>
      </w:r>
      <w:proofErr w:type="gramStart"/>
      <w:r>
        <w:rPr>
          <w:rFonts w:eastAsia="仿宋_GB2312" w:hint="eastAsia"/>
          <w:sz w:val="32"/>
          <w:szCs w:val="32"/>
        </w:rPr>
        <w:t>需包括</w:t>
      </w:r>
      <w:proofErr w:type="gramEnd"/>
      <w:r>
        <w:rPr>
          <w:rFonts w:eastAsia="仿宋_GB2312" w:hint="eastAsia"/>
          <w:sz w:val="32"/>
          <w:szCs w:val="32"/>
        </w:rPr>
        <w:t>以下适用内容：</w:t>
      </w:r>
    </w:p>
    <w:p w14:paraId="2A5AEEF2" w14:textId="7752481F" w:rsidR="00B17835" w:rsidRDefault="001A6881">
      <w:pPr>
        <w:spacing w:line="520" w:lineRule="exact"/>
        <w:ind w:firstLineChars="200" w:firstLine="640"/>
        <w:rPr>
          <w:rFonts w:eastAsia="仿宋_GB2312"/>
          <w:sz w:val="32"/>
          <w:szCs w:val="32"/>
        </w:rPr>
      </w:pPr>
      <w:r>
        <w:rPr>
          <w:rFonts w:eastAsia="仿宋_GB2312" w:hint="eastAsia"/>
          <w:sz w:val="32"/>
          <w:szCs w:val="32"/>
        </w:rPr>
        <w:t>对于磷酸钙类生物陶瓷，产品技术要求中性能指标至少应考虑各成分含量、钙磷比、</w:t>
      </w:r>
      <w:proofErr w:type="gramStart"/>
      <w:r>
        <w:rPr>
          <w:rFonts w:eastAsia="仿宋_GB2312" w:hint="eastAsia"/>
          <w:sz w:val="32"/>
          <w:szCs w:val="32"/>
        </w:rPr>
        <w:t>晶相定性</w:t>
      </w:r>
      <w:proofErr w:type="gramEnd"/>
      <w:r>
        <w:rPr>
          <w:rFonts w:eastAsia="仿宋_GB2312" w:hint="eastAsia"/>
          <w:sz w:val="32"/>
          <w:szCs w:val="32"/>
        </w:rPr>
        <w:t>及定量（如晶相分析、结晶度）、总孔隙率、</w:t>
      </w:r>
      <w:proofErr w:type="gramStart"/>
      <w:r>
        <w:rPr>
          <w:rFonts w:eastAsia="仿宋_GB2312" w:hint="eastAsia"/>
          <w:sz w:val="32"/>
          <w:szCs w:val="32"/>
        </w:rPr>
        <w:t>宏孔和</w:t>
      </w:r>
      <w:proofErr w:type="gramEnd"/>
      <w:r>
        <w:rPr>
          <w:rFonts w:eastAsia="仿宋_GB2312" w:hint="eastAsia"/>
          <w:sz w:val="32"/>
          <w:szCs w:val="32"/>
        </w:rPr>
        <w:t>微孔尺寸（孔径范围和分布）、内连接（开孔孔隙率和</w:t>
      </w:r>
      <w:r>
        <w:rPr>
          <w:rFonts w:eastAsia="仿宋_GB2312" w:hint="eastAsia"/>
          <w:sz w:val="32"/>
          <w:szCs w:val="32"/>
        </w:rPr>
        <w:t>/</w:t>
      </w:r>
      <w:r>
        <w:rPr>
          <w:rFonts w:eastAsia="仿宋_GB2312" w:hint="eastAsia"/>
          <w:sz w:val="32"/>
          <w:szCs w:val="32"/>
        </w:rPr>
        <w:t>或孔连通率）、微量元素极限含量（如</w:t>
      </w:r>
      <w:proofErr w:type="gramStart"/>
      <w:r>
        <w:rPr>
          <w:rFonts w:eastAsia="仿宋_GB2312" w:hint="eastAsia"/>
          <w:sz w:val="32"/>
          <w:szCs w:val="32"/>
        </w:rPr>
        <w:t>以铅计的</w:t>
      </w:r>
      <w:proofErr w:type="gramEnd"/>
      <w:r>
        <w:rPr>
          <w:rFonts w:eastAsia="仿宋_GB2312" w:hint="eastAsia"/>
          <w:sz w:val="32"/>
          <w:szCs w:val="32"/>
        </w:rPr>
        <w:t>重金属总量、砷、镉、汞、铅等元素含量）、外观、尺寸（如颗粒型产品</w:t>
      </w:r>
      <w:r>
        <w:rPr>
          <w:rFonts w:eastAsia="仿宋_GB2312" w:hint="eastAsia"/>
          <w:sz w:val="32"/>
          <w:szCs w:val="32"/>
        </w:rPr>
        <w:lastRenderedPageBreak/>
        <w:t>的粒度分布、块状尺寸）、容重、</w:t>
      </w:r>
      <w:r>
        <w:rPr>
          <w:rFonts w:eastAsia="仿宋_GB2312"/>
          <w:sz w:val="32"/>
          <w:szCs w:val="32"/>
        </w:rPr>
        <w:t>力学性能（如抗压强度、各向异性等）、</w:t>
      </w:r>
      <w:r>
        <w:rPr>
          <w:rFonts w:eastAsia="仿宋_GB2312" w:hint="eastAsia"/>
          <w:sz w:val="32"/>
          <w:szCs w:val="32"/>
        </w:rPr>
        <w:t>浸提液</w:t>
      </w:r>
      <w:r>
        <w:rPr>
          <w:rFonts w:eastAsia="仿宋_GB2312"/>
          <w:sz w:val="32"/>
          <w:szCs w:val="32"/>
        </w:rPr>
        <w:t>pH</w:t>
      </w:r>
      <w:r>
        <w:rPr>
          <w:rFonts w:eastAsia="仿宋_GB2312" w:hint="eastAsia"/>
          <w:sz w:val="32"/>
          <w:szCs w:val="32"/>
        </w:rPr>
        <w:t>值（考虑不同时间点）、无菌等。</w:t>
      </w:r>
    </w:p>
    <w:p w14:paraId="7D8D8823"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对于钙硅类生物活性玻璃和玻璃陶瓷，产品技术要求中性能指标至少应考虑各成分含量、晶相分析、体外沉积羟基磷灰石的测定、微量元素极限含量（如</w:t>
      </w:r>
      <w:proofErr w:type="gramStart"/>
      <w:r>
        <w:rPr>
          <w:rFonts w:eastAsia="仿宋_GB2312" w:hint="eastAsia"/>
          <w:sz w:val="32"/>
          <w:szCs w:val="32"/>
        </w:rPr>
        <w:t>以铅计的</w:t>
      </w:r>
      <w:proofErr w:type="gramEnd"/>
      <w:r>
        <w:rPr>
          <w:rFonts w:eastAsia="仿宋_GB2312" w:hint="eastAsia"/>
          <w:sz w:val="32"/>
          <w:szCs w:val="32"/>
        </w:rPr>
        <w:t>重金属总量、砷、镉、汞、铅等元素含量）、外观、尺寸（颗粒型产品的粒度分布）、结晶度、比表面积、硬度、密度、</w:t>
      </w:r>
      <w:r>
        <w:rPr>
          <w:rFonts w:eastAsia="仿宋_GB2312"/>
          <w:sz w:val="32"/>
          <w:szCs w:val="32"/>
        </w:rPr>
        <w:t>力学性能（如抗压强度、各向异性等）</w:t>
      </w:r>
      <w:r>
        <w:rPr>
          <w:rFonts w:eastAsia="仿宋_GB2312" w:hint="eastAsia"/>
          <w:sz w:val="32"/>
          <w:szCs w:val="32"/>
        </w:rPr>
        <w:t>、浸提液</w:t>
      </w:r>
      <w:r>
        <w:rPr>
          <w:rFonts w:eastAsia="仿宋_GB2312"/>
          <w:sz w:val="32"/>
          <w:szCs w:val="32"/>
        </w:rPr>
        <w:t>pH</w:t>
      </w:r>
      <w:r>
        <w:rPr>
          <w:rFonts w:eastAsia="仿宋_GB2312" w:hint="eastAsia"/>
          <w:sz w:val="32"/>
          <w:szCs w:val="32"/>
        </w:rPr>
        <w:t>值（考虑不同时间点）、无菌、装量等。</w:t>
      </w:r>
    </w:p>
    <w:p w14:paraId="39AC98D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磷酸钙类骨水泥，产品技术要求中性能指标至少应考虑固相、液相和添加剂各组分的定性、定量指标、晶相分析、固相钙磷比；磷酸钙类骨水泥工作时间和凝固时间、固化过程的温度升高、固化后产物的孔隙率、钙磷比、</w:t>
      </w:r>
      <w:r>
        <w:rPr>
          <w:rFonts w:eastAsia="仿宋_GB2312"/>
          <w:sz w:val="32"/>
          <w:szCs w:val="32"/>
        </w:rPr>
        <w:t>力学性能（如抗压强度、各向异性等）、</w:t>
      </w:r>
      <w:r>
        <w:rPr>
          <w:rFonts w:eastAsia="仿宋_GB2312" w:hint="eastAsia"/>
          <w:sz w:val="32"/>
          <w:szCs w:val="32"/>
        </w:rPr>
        <w:t>浸提液</w:t>
      </w:r>
      <w:r>
        <w:rPr>
          <w:rFonts w:eastAsia="仿宋_GB2312"/>
          <w:sz w:val="32"/>
          <w:szCs w:val="32"/>
        </w:rPr>
        <w:t>pH</w:t>
      </w:r>
      <w:r>
        <w:rPr>
          <w:rFonts w:eastAsia="仿宋_GB2312" w:hint="eastAsia"/>
          <w:sz w:val="32"/>
          <w:szCs w:val="32"/>
        </w:rPr>
        <w:t>值（考虑不同时间点）、可注射性、溶解性、干燥失重、固相和液相微量元素极限含量（如</w:t>
      </w:r>
      <w:proofErr w:type="gramStart"/>
      <w:r>
        <w:rPr>
          <w:rFonts w:eastAsia="仿宋_GB2312" w:hint="eastAsia"/>
          <w:sz w:val="32"/>
          <w:szCs w:val="32"/>
        </w:rPr>
        <w:t>以铅计的</w:t>
      </w:r>
      <w:proofErr w:type="gramEnd"/>
      <w:r>
        <w:rPr>
          <w:rFonts w:eastAsia="仿宋_GB2312" w:hint="eastAsia"/>
          <w:sz w:val="32"/>
          <w:szCs w:val="32"/>
        </w:rPr>
        <w:t>重金属总量、砷、镉、汞、铅等元素含量）、无菌等。如组成部分为《中华人民共和国药典》所涵盖的品目，应符合其适用部分。</w:t>
      </w:r>
    </w:p>
    <w:p w14:paraId="3A4136D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除上述性能指标，申请人可根据产品的设计特征和适用范围视情况规定产品的性能指标和试验方法。对于不适用的性能指标，提供合理说明。</w:t>
      </w:r>
    </w:p>
    <w:p w14:paraId="72E099F5" w14:textId="77777777" w:rsidR="00B17835" w:rsidRDefault="001A6881">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.3</w:t>
      </w:r>
      <w:r>
        <w:rPr>
          <w:rFonts w:eastAsia="仿宋_GB2312" w:hint="eastAsia"/>
          <w:sz w:val="32"/>
          <w:szCs w:val="32"/>
        </w:rPr>
        <w:t>检验方法</w:t>
      </w:r>
    </w:p>
    <w:p w14:paraId="516245AE"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产品的检验方法需根据技术性能指标设定，检验方法需优先采用公认的或已颁布的标准检验方法；自建检验方法需提供相应的方法学依据及理论基础，同时保证检验方法具有可操作性和</w:t>
      </w:r>
      <w:proofErr w:type="gramStart"/>
      <w:r>
        <w:rPr>
          <w:rFonts w:eastAsia="仿宋_GB2312" w:hint="eastAsia"/>
          <w:sz w:val="32"/>
          <w:szCs w:val="32"/>
        </w:rPr>
        <w:t>可</w:t>
      </w:r>
      <w:proofErr w:type="gramEnd"/>
      <w:r>
        <w:rPr>
          <w:rFonts w:eastAsia="仿宋_GB2312" w:hint="eastAsia"/>
          <w:sz w:val="32"/>
          <w:szCs w:val="32"/>
        </w:rPr>
        <w:t>重现性，必要时可附相应图示进行说明，文本较大的可以附录形式提供。</w:t>
      </w:r>
    </w:p>
    <w:p w14:paraId="2D7F4863" w14:textId="77777777" w:rsidR="00B17835" w:rsidRDefault="001A6881">
      <w:pPr>
        <w:spacing w:line="520" w:lineRule="exact"/>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w:t>
      </w:r>
      <w:r>
        <w:rPr>
          <w:rFonts w:eastAsia="仿宋_GB2312"/>
          <w:sz w:val="32"/>
          <w:szCs w:val="32"/>
        </w:rPr>
        <w:t>4</w:t>
      </w:r>
      <w:r>
        <w:rPr>
          <w:rFonts w:eastAsia="仿宋_GB2312" w:hint="eastAsia"/>
          <w:sz w:val="32"/>
          <w:szCs w:val="32"/>
        </w:rPr>
        <w:t>附录</w:t>
      </w:r>
    </w:p>
    <w:p w14:paraId="526C4645" w14:textId="4C3F259B" w:rsidR="00B17835" w:rsidRDefault="001A6881">
      <w:pPr>
        <w:spacing w:line="520" w:lineRule="exact"/>
        <w:ind w:firstLineChars="200" w:firstLine="640"/>
        <w:rPr>
          <w:rFonts w:eastAsia="仿宋_GB2312"/>
          <w:sz w:val="32"/>
          <w:szCs w:val="32"/>
        </w:rPr>
      </w:pPr>
      <w:r>
        <w:rPr>
          <w:rFonts w:eastAsia="仿宋_GB2312" w:hint="eastAsia"/>
          <w:sz w:val="32"/>
          <w:szCs w:val="32"/>
        </w:rPr>
        <w:t>在附录中更为详尽地注明某些描述性特性内容，如主要原材料（如红外光谱）、关键的技术规格等。</w:t>
      </w:r>
    </w:p>
    <w:p w14:paraId="39D9B96C" w14:textId="77777777" w:rsidR="00B17835" w:rsidRDefault="001A6881">
      <w:pPr>
        <w:spacing w:line="520" w:lineRule="exact"/>
        <w:ind w:firstLineChars="200" w:firstLine="640"/>
        <w:rPr>
          <w:rFonts w:eastAsia="仿宋_GB2312"/>
          <w:sz w:val="32"/>
          <w:szCs w:val="32"/>
        </w:rPr>
      </w:pPr>
      <w:r>
        <w:rPr>
          <w:rFonts w:eastAsia="仿宋_GB2312"/>
          <w:sz w:val="32"/>
          <w:szCs w:val="32"/>
        </w:rPr>
        <w:t>3.5</w:t>
      </w:r>
      <w:r>
        <w:rPr>
          <w:rFonts w:eastAsia="仿宋_GB2312" w:hint="eastAsia"/>
          <w:sz w:val="32"/>
          <w:szCs w:val="32"/>
        </w:rPr>
        <w:t>其他</w:t>
      </w:r>
    </w:p>
    <w:p w14:paraId="46522B8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对于使用新材料、新技术、新设计或具有新作用机理、新功能的产品，需在产品技术要求中明确产品所具有的其他功能性、安全性指标，性能指标的制定需符合《医疗器械产品技术要求编写指导原则》的要求。</w:t>
      </w:r>
    </w:p>
    <w:p w14:paraId="3DB706AB"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对于配套使用的工具，请根据相关工具的使用要求和结构特征等，制定相应的性能指标。</w:t>
      </w:r>
    </w:p>
    <w:p w14:paraId="2466F3AD" w14:textId="77777777" w:rsidR="00B17835" w:rsidRDefault="001A6881">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sz w:val="32"/>
          <w:szCs w:val="32"/>
        </w:rPr>
        <w:t>产品检验</w:t>
      </w:r>
    </w:p>
    <w:p w14:paraId="52454877" w14:textId="2D92964F" w:rsidR="00B17835" w:rsidRDefault="001A6881">
      <w:pPr>
        <w:spacing w:line="520" w:lineRule="exact"/>
        <w:ind w:firstLineChars="200" w:firstLine="640"/>
        <w:rPr>
          <w:rFonts w:eastAsia="仿宋_GB2312"/>
          <w:sz w:val="32"/>
          <w:szCs w:val="32"/>
        </w:rPr>
      </w:pPr>
      <w:r>
        <w:rPr>
          <w:rFonts w:eastAsia="仿宋_GB2312" w:hint="eastAsia"/>
          <w:sz w:val="32"/>
          <w:szCs w:val="32"/>
        </w:rPr>
        <w:t>需提供符合医疗器械注册申报法规文件要求的检验报告。若申报的产品包括多个型号，选取检验的典型性型号</w:t>
      </w:r>
      <w:proofErr w:type="gramStart"/>
      <w:r>
        <w:rPr>
          <w:rFonts w:eastAsia="仿宋_GB2312" w:hint="eastAsia"/>
          <w:sz w:val="32"/>
          <w:szCs w:val="32"/>
        </w:rPr>
        <w:t>需能代表本注册</w:t>
      </w:r>
      <w:proofErr w:type="gramEnd"/>
      <w:r>
        <w:rPr>
          <w:rFonts w:eastAsia="仿宋_GB2312" w:hint="eastAsia"/>
          <w:sz w:val="32"/>
          <w:szCs w:val="32"/>
        </w:rPr>
        <w:t>单元内其他产品的安全性和有效性。典型性产品的考虑因素包括组成材料、结构、制备工艺、主要性能指标的最复杂情形。</w:t>
      </w:r>
    </w:p>
    <w:p w14:paraId="013D8952" w14:textId="77777777" w:rsidR="00B17835" w:rsidRDefault="001A6881">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hint="eastAsia"/>
          <w:sz w:val="32"/>
          <w:szCs w:val="32"/>
        </w:rPr>
        <w:t>研究资料</w:t>
      </w:r>
    </w:p>
    <w:p w14:paraId="510A032E" w14:textId="77777777" w:rsidR="00B17835" w:rsidRDefault="001A6881">
      <w:pPr>
        <w:spacing w:line="520" w:lineRule="exact"/>
        <w:ind w:firstLineChars="200" w:firstLine="640"/>
        <w:rPr>
          <w:rFonts w:eastAsia="仿宋_GB2312"/>
          <w:sz w:val="32"/>
          <w:szCs w:val="32"/>
        </w:rPr>
      </w:pPr>
      <w:r>
        <w:rPr>
          <w:rFonts w:eastAsia="仿宋_GB2312"/>
          <w:sz w:val="32"/>
          <w:szCs w:val="32"/>
        </w:rPr>
        <w:t>所提交研究</w:t>
      </w:r>
      <w:r>
        <w:rPr>
          <w:rFonts w:eastAsia="仿宋_GB2312" w:hint="eastAsia"/>
          <w:sz w:val="32"/>
          <w:szCs w:val="32"/>
        </w:rPr>
        <w:t>资料</w:t>
      </w:r>
      <w:r>
        <w:rPr>
          <w:rFonts w:eastAsia="仿宋_GB2312"/>
          <w:sz w:val="32"/>
          <w:szCs w:val="32"/>
        </w:rPr>
        <w:t>需详细列明具体试验方法、试验结果及结果接受依据等。</w:t>
      </w:r>
    </w:p>
    <w:p w14:paraId="296C880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w:t>
      </w:r>
      <w:r>
        <w:rPr>
          <w:rFonts w:eastAsia="仿宋_GB2312" w:hint="eastAsia"/>
          <w:sz w:val="32"/>
          <w:szCs w:val="32"/>
        </w:rPr>
        <w:t>原材料及工艺质控</w:t>
      </w:r>
    </w:p>
    <w:p w14:paraId="1D2065A8" w14:textId="77777777" w:rsidR="00B17835" w:rsidRDefault="001A6881">
      <w:pPr>
        <w:spacing w:line="520" w:lineRule="exact"/>
        <w:ind w:firstLineChars="200" w:firstLine="640"/>
        <w:rPr>
          <w:rFonts w:eastAsia="仿宋_GB2312"/>
          <w:sz w:val="32"/>
          <w:szCs w:val="32"/>
        </w:rPr>
      </w:pPr>
      <w:r>
        <w:rPr>
          <w:rFonts w:eastAsia="仿宋_GB2312"/>
          <w:sz w:val="32"/>
          <w:szCs w:val="32"/>
        </w:rPr>
        <w:t>5.1.1</w:t>
      </w:r>
      <w:r>
        <w:rPr>
          <w:rFonts w:eastAsia="仿宋_GB2312" w:hint="eastAsia"/>
          <w:sz w:val="32"/>
          <w:szCs w:val="32"/>
        </w:rPr>
        <w:t>原材料控制</w:t>
      </w:r>
    </w:p>
    <w:p w14:paraId="062AB441" w14:textId="6B9D16DC" w:rsidR="00B17835" w:rsidRDefault="001A6881">
      <w:pPr>
        <w:spacing w:line="520" w:lineRule="exact"/>
        <w:ind w:firstLineChars="200" w:firstLine="640"/>
        <w:rPr>
          <w:rFonts w:eastAsia="仿宋_GB2312"/>
          <w:sz w:val="32"/>
          <w:szCs w:val="32"/>
        </w:rPr>
      </w:pPr>
      <w:r>
        <w:rPr>
          <w:rFonts w:eastAsia="仿宋_GB2312" w:hint="eastAsia"/>
          <w:sz w:val="32"/>
          <w:szCs w:val="32"/>
        </w:rPr>
        <w:t>明确</w:t>
      </w:r>
      <w:r>
        <w:rPr>
          <w:rFonts w:eastAsia="仿宋_GB2312"/>
          <w:sz w:val="32"/>
          <w:szCs w:val="32"/>
        </w:rPr>
        <w:t>产品</w:t>
      </w:r>
      <w:r>
        <w:rPr>
          <w:rFonts w:eastAsia="仿宋_GB2312" w:hint="eastAsia"/>
          <w:sz w:val="32"/>
          <w:szCs w:val="32"/>
        </w:rPr>
        <w:t>原材料成分</w:t>
      </w:r>
      <w:r>
        <w:rPr>
          <w:rFonts w:eastAsia="仿宋_GB2312"/>
          <w:sz w:val="32"/>
          <w:szCs w:val="32"/>
        </w:rPr>
        <w:t>，</w:t>
      </w:r>
      <w:r>
        <w:rPr>
          <w:rFonts w:eastAsia="仿宋_GB2312" w:hint="eastAsia"/>
          <w:sz w:val="32"/>
          <w:szCs w:val="32"/>
        </w:rPr>
        <w:t>说明</w:t>
      </w:r>
      <w:r>
        <w:rPr>
          <w:rFonts w:eastAsia="仿宋_GB2312"/>
          <w:sz w:val="32"/>
          <w:szCs w:val="32"/>
        </w:rPr>
        <w:t>产品生产过程中由起始物质至</w:t>
      </w:r>
      <w:proofErr w:type="gramStart"/>
      <w:r>
        <w:rPr>
          <w:rFonts w:eastAsia="仿宋_GB2312"/>
          <w:sz w:val="32"/>
          <w:szCs w:val="32"/>
        </w:rPr>
        <w:t>终产品</w:t>
      </w:r>
      <w:proofErr w:type="gramEnd"/>
      <w:r>
        <w:rPr>
          <w:rFonts w:eastAsia="仿宋_GB2312"/>
          <w:sz w:val="32"/>
          <w:szCs w:val="32"/>
        </w:rPr>
        <w:t>过程中所需全部材料的化学名称、材料</w:t>
      </w:r>
      <w:r>
        <w:rPr>
          <w:rFonts w:eastAsia="仿宋_GB2312" w:hint="eastAsia"/>
          <w:sz w:val="32"/>
          <w:szCs w:val="32"/>
        </w:rPr>
        <w:t>通用名称</w:t>
      </w:r>
      <w:r>
        <w:rPr>
          <w:rFonts w:eastAsia="仿宋_GB2312"/>
          <w:sz w:val="32"/>
          <w:szCs w:val="32"/>
        </w:rPr>
        <w:t>、</w:t>
      </w:r>
      <w:r>
        <w:rPr>
          <w:rFonts w:eastAsia="仿宋_GB2312"/>
          <w:sz w:val="32"/>
          <w:szCs w:val="32"/>
        </w:rPr>
        <w:t>CAS</w:t>
      </w:r>
      <w:r>
        <w:rPr>
          <w:rFonts w:eastAsia="仿宋_GB2312"/>
          <w:sz w:val="32"/>
          <w:szCs w:val="32"/>
        </w:rPr>
        <w:t>号</w:t>
      </w:r>
      <w:r>
        <w:rPr>
          <w:rFonts w:eastAsia="仿宋_GB2312" w:hint="eastAsia"/>
          <w:sz w:val="32"/>
          <w:szCs w:val="32"/>
        </w:rPr>
        <w:t>（如适用）</w:t>
      </w:r>
      <w:r>
        <w:rPr>
          <w:rFonts w:eastAsia="仿宋_GB2312"/>
          <w:sz w:val="32"/>
          <w:szCs w:val="32"/>
        </w:rPr>
        <w:t>、化学结构式</w:t>
      </w:r>
      <w:r>
        <w:rPr>
          <w:rFonts w:eastAsia="仿宋_GB2312"/>
          <w:sz w:val="32"/>
          <w:szCs w:val="32"/>
        </w:rPr>
        <w:t>/</w:t>
      </w:r>
      <w:r>
        <w:rPr>
          <w:rFonts w:eastAsia="仿宋_GB2312"/>
          <w:sz w:val="32"/>
          <w:szCs w:val="32"/>
        </w:rPr>
        <w:t>分子式、纯度</w:t>
      </w:r>
      <w:r>
        <w:rPr>
          <w:rFonts w:eastAsia="仿宋_GB2312" w:hint="eastAsia"/>
          <w:sz w:val="32"/>
          <w:szCs w:val="32"/>
        </w:rPr>
        <w:t>或等级</w:t>
      </w:r>
      <w:r>
        <w:rPr>
          <w:rFonts w:eastAsia="仿宋_GB2312"/>
          <w:sz w:val="32"/>
          <w:szCs w:val="32"/>
        </w:rPr>
        <w:t>、</w:t>
      </w:r>
      <w:r>
        <w:rPr>
          <w:rFonts w:eastAsia="仿宋_GB2312" w:hint="eastAsia"/>
          <w:sz w:val="32"/>
          <w:szCs w:val="32"/>
        </w:rPr>
        <w:t>含量和</w:t>
      </w:r>
      <w:r>
        <w:rPr>
          <w:rFonts w:eastAsia="仿宋_GB2312"/>
          <w:sz w:val="32"/>
          <w:szCs w:val="32"/>
        </w:rPr>
        <w:t>组成比例、供应商、符合的标准等基本信息，建议以列表的形式提供。</w:t>
      </w:r>
      <w:r>
        <w:rPr>
          <w:rFonts w:eastAsia="仿宋_GB2312" w:hint="eastAsia"/>
          <w:sz w:val="32"/>
          <w:szCs w:val="32"/>
        </w:rPr>
        <w:t>提供</w:t>
      </w:r>
      <w:r>
        <w:rPr>
          <w:rFonts w:eastAsia="仿宋_GB2312"/>
          <w:sz w:val="32"/>
          <w:szCs w:val="32"/>
        </w:rPr>
        <w:t>原材料的</w:t>
      </w:r>
      <w:r>
        <w:rPr>
          <w:rFonts w:eastAsia="仿宋_GB2312" w:hint="eastAsia"/>
          <w:sz w:val="32"/>
          <w:szCs w:val="32"/>
        </w:rPr>
        <w:t>确定</w:t>
      </w:r>
      <w:r>
        <w:rPr>
          <w:rFonts w:eastAsia="仿宋_GB2312"/>
          <w:sz w:val="32"/>
          <w:szCs w:val="32"/>
        </w:rPr>
        <w:t>依据</w:t>
      </w:r>
      <w:r>
        <w:rPr>
          <w:rFonts w:eastAsia="仿宋_GB2312" w:hint="eastAsia"/>
          <w:sz w:val="32"/>
          <w:szCs w:val="32"/>
        </w:rPr>
        <w:t>及来源</w:t>
      </w:r>
      <w:r>
        <w:rPr>
          <w:rFonts w:eastAsia="仿宋_GB2312"/>
          <w:sz w:val="32"/>
          <w:szCs w:val="32"/>
        </w:rPr>
        <w:t>。应保证产品质量，明确所用原材料的</w:t>
      </w:r>
      <w:r>
        <w:rPr>
          <w:rFonts w:eastAsia="仿宋_GB2312"/>
          <w:sz w:val="32"/>
          <w:szCs w:val="32"/>
        </w:rPr>
        <w:lastRenderedPageBreak/>
        <w:t>质</w:t>
      </w:r>
      <w:proofErr w:type="gramStart"/>
      <w:r>
        <w:rPr>
          <w:rFonts w:eastAsia="仿宋_GB2312"/>
          <w:sz w:val="32"/>
          <w:szCs w:val="32"/>
        </w:rPr>
        <w:t>控标准</w:t>
      </w:r>
      <w:proofErr w:type="gramEnd"/>
      <w:r>
        <w:rPr>
          <w:rFonts w:eastAsia="仿宋_GB2312"/>
          <w:sz w:val="32"/>
          <w:szCs w:val="32"/>
        </w:rPr>
        <w:t>及</w:t>
      </w:r>
      <w:r>
        <w:rPr>
          <w:rFonts w:eastAsia="仿宋_GB2312" w:hint="eastAsia"/>
          <w:sz w:val="32"/>
          <w:szCs w:val="32"/>
        </w:rPr>
        <w:t>生产过程</w:t>
      </w:r>
      <w:r>
        <w:rPr>
          <w:rFonts w:eastAsia="仿宋_GB2312"/>
          <w:sz w:val="32"/>
          <w:szCs w:val="32"/>
        </w:rPr>
        <w:t>中的检验指标和控制要求，</w:t>
      </w:r>
      <w:r>
        <w:rPr>
          <w:rFonts w:eastAsia="仿宋_GB2312" w:hint="eastAsia"/>
          <w:sz w:val="32"/>
          <w:szCs w:val="32"/>
        </w:rPr>
        <w:t>用</w:t>
      </w:r>
      <w:r>
        <w:rPr>
          <w:rFonts w:eastAsia="仿宋_GB2312"/>
          <w:sz w:val="32"/>
          <w:szCs w:val="32"/>
        </w:rPr>
        <w:t>科学有效的方法进行表征</w:t>
      </w:r>
      <w:r>
        <w:rPr>
          <w:rFonts w:eastAsia="仿宋_GB2312" w:hint="eastAsia"/>
          <w:sz w:val="32"/>
          <w:szCs w:val="32"/>
        </w:rPr>
        <w:t>，</w:t>
      </w:r>
      <w:r>
        <w:rPr>
          <w:rFonts w:eastAsia="仿宋_GB2312"/>
          <w:sz w:val="32"/>
          <w:szCs w:val="32"/>
        </w:rPr>
        <w:t>提交材料符合相应标准的</w:t>
      </w:r>
      <w:r>
        <w:rPr>
          <w:rFonts w:eastAsia="仿宋_GB2312" w:hint="eastAsia"/>
          <w:sz w:val="32"/>
          <w:szCs w:val="32"/>
        </w:rPr>
        <w:t>研究资料</w:t>
      </w:r>
      <w:r>
        <w:rPr>
          <w:rFonts w:eastAsia="仿宋_GB2312"/>
          <w:sz w:val="32"/>
          <w:szCs w:val="32"/>
        </w:rPr>
        <w:t>。</w:t>
      </w:r>
      <w:r>
        <w:rPr>
          <w:rFonts w:eastAsia="仿宋_GB2312" w:hint="eastAsia"/>
          <w:sz w:val="32"/>
          <w:szCs w:val="32"/>
        </w:rPr>
        <w:t>对于外购的原材料，需提供原材料生产厂家的资质证明、质控协议</w:t>
      </w:r>
      <w:r>
        <w:rPr>
          <w:rFonts w:eastAsia="仿宋_GB2312" w:hint="eastAsia"/>
          <w:sz w:val="32"/>
          <w:szCs w:val="32"/>
        </w:rPr>
        <w:t>/</w:t>
      </w:r>
      <w:r>
        <w:rPr>
          <w:rFonts w:eastAsia="仿宋_GB2312" w:hint="eastAsia"/>
          <w:sz w:val="32"/>
          <w:szCs w:val="32"/>
        </w:rPr>
        <w:t>要求及原材料检验报告等支持性资料。</w:t>
      </w:r>
    </w:p>
    <w:p w14:paraId="48BE0A62" w14:textId="77777777" w:rsidR="00B17835" w:rsidRDefault="001A6881">
      <w:pPr>
        <w:pStyle w:val="a0"/>
        <w:spacing w:line="52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提供各原材料</w:t>
      </w:r>
      <w:r>
        <w:rPr>
          <w:rFonts w:ascii="Times New Roman" w:eastAsia="仿宋_GB2312" w:hAnsi="Times New Roman"/>
          <w:kern w:val="2"/>
          <w:sz w:val="32"/>
          <w:szCs w:val="32"/>
        </w:rPr>
        <w:t>成分</w:t>
      </w:r>
      <w:r>
        <w:rPr>
          <w:rFonts w:ascii="Times New Roman" w:eastAsia="仿宋_GB2312" w:hAnsi="Times New Roman" w:hint="eastAsia"/>
          <w:kern w:val="2"/>
          <w:sz w:val="32"/>
          <w:szCs w:val="32"/>
        </w:rPr>
        <w:t>、配比的确定依据和研究资料；提供粉体制备和质量控制的研究资料，重点关注钙磷比、结晶度、纯度和粒度分布等；使用造孔成型工艺加工的产品，需明确选择的造孔剂及其选择依据，提供造孔剂的质量控制标准和用量。</w:t>
      </w:r>
    </w:p>
    <w:p w14:paraId="0A58447B"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.1.2</w:t>
      </w:r>
      <w:r>
        <w:rPr>
          <w:rFonts w:eastAsia="仿宋_GB2312" w:hint="eastAsia"/>
          <w:sz w:val="32"/>
          <w:szCs w:val="32"/>
        </w:rPr>
        <w:t>工艺质控</w:t>
      </w:r>
    </w:p>
    <w:p w14:paraId="299997DB"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描述生产工艺流程，注明关键工艺和特殊过程，说明过程控制点及控制标准。当某一生产过程的输出不能由后续的监视或测量加以验证时，需对这样的过程实施确认并提供相应的过程确认报告。明确生产过程中使用的各种加工助剂，提供其质量控制标准，详述对加工助剂残留的控制方法和结果。</w:t>
      </w:r>
    </w:p>
    <w:p w14:paraId="046377DE" w14:textId="0482DEAD" w:rsidR="00B17835" w:rsidRDefault="001A6881">
      <w:pPr>
        <w:spacing w:line="520" w:lineRule="exact"/>
        <w:ind w:firstLineChars="200" w:firstLine="640"/>
        <w:rPr>
          <w:rFonts w:eastAsia="仿宋_GB2312"/>
          <w:sz w:val="32"/>
          <w:szCs w:val="32"/>
        </w:rPr>
      </w:pPr>
      <w:r>
        <w:rPr>
          <w:rFonts w:eastAsia="仿宋_GB2312" w:hint="eastAsia"/>
          <w:sz w:val="32"/>
          <w:szCs w:val="32"/>
        </w:rPr>
        <w:t>对于磷酸钙类生物陶瓷，生产工艺流程至少需涵盖磷酸钙粉体的合成、产品成型、干燥、烧成（如压力、温度、时间）等过程要素。以磷酸钙粉体的合成为例，</w:t>
      </w:r>
      <w:proofErr w:type="gramStart"/>
      <w:r>
        <w:rPr>
          <w:rFonts w:eastAsia="仿宋_GB2312" w:hint="eastAsia"/>
          <w:sz w:val="32"/>
          <w:szCs w:val="32"/>
        </w:rPr>
        <w:t>需包括</w:t>
      </w:r>
      <w:proofErr w:type="gramEnd"/>
      <w:r>
        <w:rPr>
          <w:rFonts w:eastAsia="仿宋_GB2312" w:hint="eastAsia"/>
          <w:sz w:val="32"/>
          <w:szCs w:val="32"/>
        </w:rPr>
        <w:t>合成原理（前体物质、反应条件、反应原理等）、制备过程、重要影响因素及其控制、磷酸钙粉体的质量控制标准（如纯度、钙磷比、粒径分布）等。如外购粉体，则需提供质量控制标准和相应验证资料。描述造孔剂去除的原理和过程，提交造孔剂及其反应产物（如碳化物）残留的控制和验证资料。</w:t>
      </w:r>
    </w:p>
    <w:p w14:paraId="1DBEBD89" w14:textId="77777777" w:rsidR="00B17835" w:rsidRDefault="001A6881">
      <w:pPr>
        <w:spacing w:line="520" w:lineRule="exact"/>
        <w:ind w:firstLineChars="200" w:firstLine="640"/>
        <w:rPr>
          <w:rFonts w:ascii="Tahoma" w:eastAsia="微软雅黑" w:hAnsi="Tahoma"/>
          <w:kern w:val="0"/>
          <w:sz w:val="22"/>
          <w:szCs w:val="22"/>
        </w:rPr>
      </w:pPr>
      <w:r>
        <w:rPr>
          <w:rFonts w:eastAsia="仿宋_GB2312" w:hint="eastAsia"/>
          <w:sz w:val="32"/>
          <w:szCs w:val="32"/>
        </w:rPr>
        <w:t>对于钙硅类生物活性玻璃，生产工艺流程至少需涵盖熔制（压力、温度、时间）、成型等过程要素。对于呈块状、柱状、楔形等具有一定形状的玻璃陶瓷类产品，还需关注合成及成型（如</w:t>
      </w:r>
      <w:r>
        <w:rPr>
          <w:rFonts w:eastAsia="仿宋_GB2312" w:hint="eastAsia"/>
          <w:sz w:val="32"/>
          <w:szCs w:val="32"/>
        </w:rPr>
        <w:lastRenderedPageBreak/>
        <w:t>冷却条件）等工艺过程对结晶度的影响。</w:t>
      </w:r>
    </w:p>
    <w:p w14:paraId="7DAC123D" w14:textId="77777777" w:rsidR="00B17835" w:rsidRDefault="001A6881">
      <w:pPr>
        <w:spacing w:line="520" w:lineRule="exact"/>
        <w:ind w:firstLineChars="200" w:firstLine="640"/>
      </w:pPr>
      <w:r>
        <w:rPr>
          <w:rFonts w:eastAsia="仿宋_GB2312" w:hint="eastAsia"/>
          <w:sz w:val="32"/>
          <w:szCs w:val="32"/>
        </w:rPr>
        <w:t>对于磷酸钙类骨水泥，生产工艺流程中需明示各固相成分的合成原理（前体物质、反应条件、反应原理等）、制备过程、重要影响因素及其控制、磷酸钙粉体的质量控制标准（包括粒径分布）、液相成分质量控制标准等。</w:t>
      </w:r>
    </w:p>
    <w:p w14:paraId="1219B8E8"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.2</w:t>
      </w:r>
      <w:r>
        <w:rPr>
          <w:rFonts w:eastAsia="仿宋_GB2312" w:hint="eastAsia"/>
          <w:sz w:val="32"/>
          <w:szCs w:val="32"/>
        </w:rPr>
        <w:t>化学</w:t>
      </w:r>
      <w:r>
        <w:rPr>
          <w:rFonts w:eastAsia="仿宋_GB2312" w:hint="eastAsia"/>
          <w:sz w:val="32"/>
          <w:szCs w:val="32"/>
        </w:rPr>
        <w:t>/</w:t>
      </w:r>
      <w:r>
        <w:rPr>
          <w:rFonts w:eastAsia="仿宋_GB2312" w:hint="eastAsia"/>
          <w:sz w:val="32"/>
          <w:szCs w:val="32"/>
        </w:rPr>
        <w:t>材料表征研究</w:t>
      </w:r>
    </w:p>
    <w:p w14:paraId="205DE524"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磷酸钙类生物陶瓷主要包括羟基磷灰石、β</w:t>
      </w:r>
      <w:r>
        <w:rPr>
          <w:rFonts w:eastAsia="仿宋_GB2312" w:hint="eastAsia"/>
          <w:sz w:val="32"/>
          <w:szCs w:val="32"/>
        </w:rPr>
        <w:t>-</w:t>
      </w:r>
      <w:r>
        <w:rPr>
          <w:rFonts w:eastAsia="仿宋_GB2312" w:hint="eastAsia"/>
          <w:sz w:val="32"/>
          <w:szCs w:val="32"/>
        </w:rPr>
        <w:t>磷酸三钙及其组成的双相磷酸钙陶瓷。该类产品一般由磷酸钙粉体和粘结剂混合制成浆料，经不同的造孔方法（如造孔剂法、气体造孔法、化学发泡法等）制造出多孔结构，成型后经高温烧制而成。</w:t>
      </w:r>
    </w:p>
    <w:p w14:paraId="07C8567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钙硅类生物活性玻璃通常为</w:t>
      </w:r>
      <w:r>
        <w:rPr>
          <w:rFonts w:eastAsia="仿宋_GB2312"/>
          <w:sz w:val="32"/>
          <w:szCs w:val="32"/>
        </w:rPr>
        <w:t>Na</w:t>
      </w:r>
      <w:r w:rsidRPr="00042474">
        <w:rPr>
          <w:rFonts w:eastAsia="仿宋_GB2312"/>
          <w:sz w:val="32"/>
          <w:szCs w:val="32"/>
          <w:vertAlign w:val="subscript"/>
        </w:rPr>
        <w:t>2</w:t>
      </w:r>
      <w:r>
        <w:rPr>
          <w:rFonts w:eastAsia="仿宋_GB2312"/>
          <w:sz w:val="32"/>
          <w:szCs w:val="32"/>
        </w:rPr>
        <w:t>O-CaO-SiO</w:t>
      </w:r>
      <w:r w:rsidRPr="00042474">
        <w:rPr>
          <w:rFonts w:eastAsia="仿宋_GB2312"/>
          <w:sz w:val="32"/>
          <w:szCs w:val="32"/>
          <w:vertAlign w:val="subscript"/>
        </w:rPr>
        <w:t>2</w:t>
      </w:r>
      <w:r>
        <w:rPr>
          <w:rFonts w:eastAsia="仿宋_GB2312"/>
          <w:sz w:val="32"/>
          <w:szCs w:val="32"/>
        </w:rPr>
        <w:t>-P</w:t>
      </w:r>
      <w:r w:rsidRPr="00042474">
        <w:rPr>
          <w:rFonts w:eastAsia="仿宋_GB2312"/>
          <w:sz w:val="32"/>
          <w:szCs w:val="32"/>
          <w:vertAlign w:val="subscript"/>
        </w:rPr>
        <w:t>2</w:t>
      </w:r>
      <w:r>
        <w:rPr>
          <w:rFonts w:eastAsia="仿宋_GB2312"/>
          <w:sz w:val="32"/>
          <w:szCs w:val="32"/>
        </w:rPr>
        <w:t>O</w:t>
      </w:r>
      <w:r w:rsidRPr="00042474">
        <w:rPr>
          <w:rFonts w:eastAsia="仿宋_GB2312"/>
          <w:sz w:val="32"/>
          <w:szCs w:val="32"/>
          <w:vertAlign w:val="subscript"/>
        </w:rPr>
        <w:t>5</w:t>
      </w:r>
      <w:proofErr w:type="gramStart"/>
      <w:r>
        <w:rPr>
          <w:rFonts w:eastAsia="仿宋_GB2312" w:hint="eastAsia"/>
          <w:sz w:val="32"/>
          <w:szCs w:val="32"/>
        </w:rPr>
        <w:t>四</w:t>
      </w:r>
      <w:proofErr w:type="gramEnd"/>
      <w:r>
        <w:rPr>
          <w:rFonts w:eastAsia="仿宋_GB2312" w:hint="eastAsia"/>
          <w:sz w:val="32"/>
          <w:szCs w:val="32"/>
        </w:rPr>
        <w:t>元系统，包括网络形成体</w:t>
      </w:r>
      <w:r>
        <w:rPr>
          <w:rFonts w:eastAsia="仿宋_GB2312"/>
          <w:sz w:val="32"/>
          <w:szCs w:val="32"/>
        </w:rPr>
        <w:t>SiO</w:t>
      </w:r>
      <w:r w:rsidRPr="00042474">
        <w:rPr>
          <w:rFonts w:eastAsia="仿宋_GB2312"/>
          <w:sz w:val="32"/>
          <w:szCs w:val="32"/>
          <w:vertAlign w:val="subscript"/>
        </w:rPr>
        <w:t>2</w:t>
      </w:r>
      <w:r>
        <w:rPr>
          <w:rFonts w:eastAsia="仿宋_GB2312" w:hint="eastAsia"/>
          <w:sz w:val="32"/>
          <w:szCs w:val="32"/>
        </w:rPr>
        <w:t>、玻璃网络外体</w:t>
      </w:r>
      <w:r>
        <w:rPr>
          <w:rFonts w:eastAsia="仿宋_GB2312"/>
          <w:sz w:val="32"/>
          <w:szCs w:val="32"/>
        </w:rPr>
        <w:t>Na</w:t>
      </w:r>
      <w:r w:rsidRPr="00042474">
        <w:rPr>
          <w:rFonts w:eastAsia="仿宋_GB2312"/>
          <w:sz w:val="32"/>
          <w:szCs w:val="32"/>
          <w:vertAlign w:val="subscript"/>
        </w:rPr>
        <w:t>2</w:t>
      </w:r>
      <w:r>
        <w:rPr>
          <w:rFonts w:eastAsia="仿宋_GB2312"/>
          <w:sz w:val="32"/>
          <w:szCs w:val="32"/>
        </w:rPr>
        <w:t>O</w:t>
      </w:r>
      <w:r>
        <w:rPr>
          <w:rFonts w:eastAsia="仿宋_GB2312" w:hint="eastAsia"/>
          <w:sz w:val="32"/>
          <w:szCs w:val="32"/>
        </w:rPr>
        <w:t>、</w:t>
      </w:r>
      <w:proofErr w:type="spellStart"/>
      <w:r>
        <w:rPr>
          <w:rFonts w:eastAsia="仿宋_GB2312"/>
          <w:sz w:val="32"/>
          <w:szCs w:val="32"/>
        </w:rPr>
        <w:t>CaO</w:t>
      </w:r>
      <w:proofErr w:type="spellEnd"/>
      <w:proofErr w:type="gramStart"/>
      <w:r>
        <w:rPr>
          <w:rFonts w:eastAsia="仿宋_GB2312" w:hint="eastAsia"/>
          <w:sz w:val="32"/>
          <w:szCs w:val="32"/>
        </w:rPr>
        <w:t>和磷氧四面体</w:t>
      </w:r>
      <w:proofErr w:type="gramEnd"/>
      <w:r>
        <w:rPr>
          <w:rFonts w:eastAsia="仿宋_GB2312" w:hint="eastAsia"/>
          <w:sz w:val="32"/>
          <w:szCs w:val="32"/>
        </w:rPr>
        <w:t>，如</w:t>
      </w:r>
      <w:r>
        <w:rPr>
          <w:rFonts w:eastAsia="仿宋_GB2312"/>
          <w:sz w:val="32"/>
          <w:szCs w:val="32"/>
        </w:rPr>
        <w:t>45S5</w:t>
      </w:r>
      <w:r>
        <w:rPr>
          <w:rFonts w:eastAsia="仿宋_GB2312" w:hint="eastAsia"/>
          <w:sz w:val="32"/>
          <w:szCs w:val="32"/>
        </w:rPr>
        <w:t>系列等</w:t>
      </w:r>
      <w:r>
        <w:rPr>
          <w:rFonts w:eastAsia="仿宋_GB2312"/>
          <w:sz w:val="32"/>
          <w:szCs w:val="32"/>
        </w:rPr>
        <w:t>，是由高温熔制而成的无规则网络结构的非晶态固体物质，一般为粉体或颗粒状，在</w:t>
      </w:r>
      <w:proofErr w:type="gramStart"/>
      <w:r>
        <w:rPr>
          <w:rFonts w:eastAsia="仿宋_GB2312"/>
          <w:sz w:val="32"/>
          <w:szCs w:val="32"/>
        </w:rPr>
        <w:t>体内其</w:t>
      </w:r>
      <w:proofErr w:type="gramEnd"/>
      <w:r>
        <w:rPr>
          <w:rFonts w:eastAsia="仿宋_GB2312"/>
          <w:sz w:val="32"/>
          <w:szCs w:val="32"/>
        </w:rPr>
        <w:t>表面通过与体液离子交换而沉积为低结晶度的碳酸羟基磷灰石层。</w:t>
      </w:r>
    </w:p>
    <w:p w14:paraId="219D919A" w14:textId="77777777" w:rsidR="00B17835" w:rsidRDefault="001A6881">
      <w:pPr>
        <w:spacing w:line="520" w:lineRule="exact"/>
        <w:ind w:firstLineChars="200" w:firstLine="640"/>
        <w:rPr>
          <w:rFonts w:eastAsia="仿宋_GB2312"/>
          <w:sz w:val="32"/>
          <w:szCs w:val="32"/>
        </w:rPr>
      </w:pPr>
      <w:r>
        <w:rPr>
          <w:rFonts w:eastAsia="仿宋_GB2312"/>
          <w:sz w:val="32"/>
          <w:szCs w:val="32"/>
        </w:rPr>
        <w:t>磷酸钙类骨水泥一般由固相成分、液相成分和添加剂组成，固相成分一般由两种及以上的粉末状磷酸钙盐（含偏酸性的磷酸钙盐和偏碱性的磷酸钙盐）混合而成；液相成分可为生理盐水、稀磷酸等；添加剂为促进凝固、提高强度、改善抗溃散性能、调节降解性能等目的而添加。固相和液相按照规定比例混合均匀后，得到可塑形的糊状物，通过一系列水化反应生成弱结晶的羟基磷灰石晶体，在体内环境下逐渐固化。水化反应副产物之间的酸碱反应保证水化反应的持续进行。常规的磷酸钙类骨水泥固化后仅形成微孔，吸收过程由表及里逐层进行。</w:t>
      </w:r>
    </w:p>
    <w:p w14:paraId="6CB9424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针对不同的骨填充材料，申请人需提交的研究资料包括但不</w:t>
      </w:r>
      <w:r>
        <w:rPr>
          <w:rFonts w:eastAsia="仿宋_GB2312" w:hint="eastAsia"/>
          <w:sz w:val="32"/>
          <w:szCs w:val="32"/>
        </w:rPr>
        <w:lastRenderedPageBreak/>
        <w:t>限于下列内容：</w:t>
      </w:r>
    </w:p>
    <w:p w14:paraId="7FD75CF1" w14:textId="77777777" w:rsidR="00B17835" w:rsidRDefault="001A6881">
      <w:pPr>
        <w:spacing w:line="520" w:lineRule="exact"/>
        <w:ind w:firstLineChars="200" w:firstLine="640"/>
        <w:rPr>
          <w:rFonts w:eastAsia="仿宋_GB2312"/>
          <w:sz w:val="32"/>
          <w:szCs w:val="32"/>
        </w:rPr>
      </w:pPr>
      <w:r>
        <w:rPr>
          <w:rFonts w:eastAsia="仿宋_GB2312"/>
          <w:sz w:val="32"/>
          <w:szCs w:val="32"/>
        </w:rPr>
        <w:t>5.2.1</w:t>
      </w:r>
      <w:r>
        <w:rPr>
          <w:rFonts w:eastAsia="仿宋_GB2312" w:hint="eastAsia"/>
          <w:sz w:val="32"/>
          <w:szCs w:val="32"/>
        </w:rPr>
        <w:t>磷酸钙类生物陶瓷</w:t>
      </w:r>
    </w:p>
    <w:p w14:paraId="61A8C8E5" w14:textId="6DA3CE8A" w:rsidR="00B17835" w:rsidRDefault="001A6881">
      <w:pPr>
        <w:spacing w:line="520" w:lineRule="exact"/>
        <w:ind w:firstLineChars="200" w:firstLine="640"/>
        <w:rPr>
          <w:rFonts w:eastAsia="仿宋_GB2312"/>
          <w:sz w:val="32"/>
          <w:szCs w:val="32"/>
        </w:rPr>
      </w:pPr>
      <w:r>
        <w:rPr>
          <w:rFonts w:eastAsia="仿宋_GB2312" w:hint="eastAsia"/>
          <w:sz w:val="32"/>
          <w:szCs w:val="32"/>
        </w:rPr>
        <w:t>提供生物陶瓷多孔结构（如</w:t>
      </w:r>
      <w:r w:rsidRPr="00696F34">
        <w:rPr>
          <w:rFonts w:eastAsia="仿宋_GB2312" w:hint="eastAsia"/>
          <w:sz w:val="32"/>
          <w:szCs w:val="32"/>
        </w:rPr>
        <w:t>总孔隙率、</w:t>
      </w:r>
      <w:proofErr w:type="gramStart"/>
      <w:r w:rsidRPr="00696F34">
        <w:rPr>
          <w:rFonts w:eastAsia="仿宋_GB2312" w:hint="eastAsia"/>
          <w:sz w:val="32"/>
          <w:szCs w:val="32"/>
        </w:rPr>
        <w:t>宏孔和</w:t>
      </w:r>
      <w:proofErr w:type="gramEnd"/>
      <w:r w:rsidRPr="00696F34">
        <w:rPr>
          <w:rFonts w:eastAsia="仿宋_GB2312" w:hint="eastAsia"/>
          <w:sz w:val="32"/>
          <w:szCs w:val="32"/>
        </w:rPr>
        <w:t>微孔尺寸、内连接</w:t>
      </w:r>
      <w:r>
        <w:rPr>
          <w:rFonts w:eastAsia="仿宋_GB2312" w:hint="eastAsia"/>
          <w:sz w:val="32"/>
          <w:szCs w:val="32"/>
        </w:rPr>
        <w:t>等）、相成分、结晶度的研究资料；生物陶瓷显微结构研究资料；浸提液</w:t>
      </w:r>
      <w:r>
        <w:rPr>
          <w:rFonts w:eastAsia="仿宋_GB2312"/>
          <w:sz w:val="32"/>
          <w:szCs w:val="32"/>
        </w:rPr>
        <w:t>pH</w:t>
      </w:r>
      <w:r>
        <w:rPr>
          <w:rFonts w:eastAsia="仿宋_GB2312" w:hint="eastAsia"/>
          <w:sz w:val="32"/>
          <w:szCs w:val="32"/>
        </w:rPr>
        <w:t>值（考虑不同时间点）的研究资料；对于双相磷酸钙陶瓷，还需提供两相配比的确定依据和研究资料。</w:t>
      </w:r>
    </w:p>
    <w:p w14:paraId="25143DD2" w14:textId="77777777" w:rsidR="00B17835" w:rsidRDefault="001A6881">
      <w:pPr>
        <w:spacing w:line="520" w:lineRule="exact"/>
        <w:ind w:firstLineChars="200" w:firstLine="640"/>
        <w:rPr>
          <w:rFonts w:eastAsia="仿宋_GB2312"/>
          <w:sz w:val="32"/>
          <w:szCs w:val="32"/>
        </w:rPr>
      </w:pPr>
      <w:r>
        <w:rPr>
          <w:rFonts w:eastAsia="仿宋_GB2312"/>
          <w:sz w:val="32"/>
          <w:szCs w:val="32"/>
        </w:rPr>
        <w:t>5.2.2</w:t>
      </w:r>
      <w:r>
        <w:rPr>
          <w:rFonts w:eastAsia="仿宋_GB2312" w:hint="eastAsia"/>
          <w:sz w:val="32"/>
          <w:szCs w:val="32"/>
        </w:rPr>
        <w:t>钙硅类生物活性玻璃和玻璃陶瓷</w:t>
      </w:r>
    </w:p>
    <w:p w14:paraId="7FC9745B" w14:textId="77777777" w:rsidR="00B17835" w:rsidRDefault="001A6881">
      <w:pPr>
        <w:spacing w:line="520" w:lineRule="exact"/>
        <w:ind w:firstLineChars="200" w:firstLine="640"/>
      </w:pPr>
      <w:r>
        <w:rPr>
          <w:rFonts w:eastAsia="仿宋_GB2312" w:hint="eastAsia"/>
          <w:sz w:val="32"/>
          <w:szCs w:val="32"/>
        </w:rPr>
        <w:t>提供</w:t>
      </w:r>
      <w:proofErr w:type="gramStart"/>
      <w:r>
        <w:rPr>
          <w:rFonts w:eastAsia="仿宋_GB2312" w:hint="eastAsia"/>
          <w:sz w:val="32"/>
          <w:szCs w:val="32"/>
        </w:rPr>
        <w:t>终产品</w:t>
      </w:r>
      <w:proofErr w:type="gramEnd"/>
      <w:r>
        <w:rPr>
          <w:rFonts w:eastAsia="仿宋_GB2312" w:hint="eastAsia"/>
          <w:sz w:val="32"/>
          <w:szCs w:val="32"/>
        </w:rPr>
        <w:t>中各成分含量、密度、显微结构的研究资料；表明其处于玻璃态的研究资料；体外沉积羟基磷灰石的研究资料；浸提液</w:t>
      </w:r>
      <w:r>
        <w:rPr>
          <w:rFonts w:eastAsia="仿宋_GB2312"/>
          <w:sz w:val="32"/>
          <w:szCs w:val="32"/>
        </w:rPr>
        <w:t>pH</w:t>
      </w:r>
      <w:r>
        <w:rPr>
          <w:rFonts w:eastAsia="仿宋_GB2312" w:hint="eastAsia"/>
          <w:sz w:val="32"/>
          <w:szCs w:val="32"/>
        </w:rPr>
        <w:t>值（考虑不同时间点）的研究资料；颗粒</w:t>
      </w:r>
      <w:proofErr w:type="gramStart"/>
      <w:r>
        <w:rPr>
          <w:rFonts w:eastAsia="仿宋_GB2312" w:hint="eastAsia"/>
          <w:sz w:val="32"/>
          <w:szCs w:val="32"/>
        </w:rPr>
        <w:t>状产品</w:t>
      </w:r>
      <w:proofErr w:type="gramEnd"/>
      <w:r>
        <w:rPr>
          <w:rFonts w:eastAsia="仿宋_GB2312" w:hint="eastAsia"/>
          <w:sz w:val="32"/>
          <w:szCs w:val="32"/>
        </w:rPr>
        <w:t>需提供粒度大小、分布及比表面积的研究资料。玻璃陶瓷产品还需</w:t>
      </w:r>
      <w:proofErr w:type="gramStart"/>
      <w:r>
        <w:rPr>
          <w:rFonts w:eastAsia="仿宋_GB2312" w:hint="eastAsia"/>
          <w:sz w:val="32"/>
          <w:szCs w:val="32"/>
        </w:rPr>
        <w:t>开展晶相和</w:t>
      </w:r>
      <w:proofErr w:type="gramEnd"/>
      <w:r>
        <w:rPr>
          <w:rFonts w:eastAsia="仿宋_GB2312" w:hint="eastAsia"/>
          <w:sz w:val="32"/>
          <w:szCs w:val="32"/>
        </w:rPr>
        <w:t>结晶度的研究资料。</w:t>
      </w:r>
    </w:p>
    <w:p w14:paraId="714CBB61" w14:textId="77777777" w:rsidR="00B17835" w:rsidRDefault="001A6881">
      <w:pPr>
        <w:spacing w:line="520" w:lineRule="exact"/>
        <w:ind w:firstLineChars="200" w:firstLine="640"/>
        <w:rPr>
          <w:rFonts w:eastAsia="仿宋_GB2312"/>
          <w:sz w:val="32"/>
          <w:szCs w:val="32"/>
        </w:rPr>
      </w:pPr>
      <w:r>
        <w:rPr>
          <w:rFonts w:eastAsia="仿宋_GB2312"/>
          <w:sz w:val="32"/>
          <w:szCs w:val="32"/>
        </w:rPr>
        <w:t>5.2.3</w:t>
      </w:r>
      <w:r>
        <w:rPr>
          <w:rFonts w:eastAsia="仿宋_GB2312" w:hint="eastAsia"/>
          <w:sz w:val="32"/>
          <w:szCs w:val="32"/>
        </w:rPr>
        <w:t>磷酸钙类骨水泥</w:t>
      </w:r>
    </w:p>
    <w:p w14:paraId="406A6F34" w14:textId="186996F4" w:rsidR="00B17835" w:rsidRDefault="001A6881">
      <w:pPr>
        <w:spacing w:line="520" w:lineRule="exact"/>
        <w:ind w:firstLineChars="200" w:firstLine="640"/>
        <w:rPr>
          <w:rFonts w:eastAsia="仿宋_GB2312"/>
          <w:sz w:val="32"/>
          <w:szCs w:val="32"/>
        </w:rPr>
      </w:pPr>
      <w:r>
        <w:rPr>
          <w:rFonts w:eastAsia="仿宋_GB2312" w:hint="eastAsia"/>
          <w:sz w:val="32"/>
          <w:szCs w:val="32"/>
        </w:rPr>
        <w:t>明确固相和液相部分成分、配比及各组分发挥的作用、固相部分颗粒大小和分布、液相部分添加剂的添加目的、种类、剂量、固相和</w:t>
      </w:r>
      <w:proofErr w:type="gramStart"/>
      <w:r>
        <w:rPr>
          <w:rFonts w:eastAsia="仿宋_GB2312" w:hint="eastAsia"/>
          <w:sz w:val="32"/>
          <w:szCs w:val="32"/>
        </w:rPr>
        <w:t>液相配</w:t>
      </w:r>
      <w:proofErr w:type="gramEnd"/>
      <w:r>
        <w:rPr>
          <w:rFonts w:eastAsia="仿宋_GB2312" w:hint="eastAsia"/>
          <w:sz w:val="32"/>
          <w:szCs w:val="32"/>
        </w:rPr>
        <w:t>比，提供上述</w:t>
      </w:r>
      <w:r w:rsidR="00C049D4">
        <w:rPr>
          <w:rFonts w:eastAsia="仿宋_GB2312" w:hint="eastAsia"/>
          <w:sz w:val="32"/>
          <w:szCs w:val="32"/>
        </w:rPr>
        <w:t>配比和剂量的确定依据和材料表征研究资料；对于含有添加剂的液体组分，提供液体组分</w:t>
      </w:r>
      <w:r>
        <w:rPr>
          <w:rFonts w:eastAsia="仿宋_GB2312" w:hint="eastAsia"/>
          <w:sz w:val="32"/>
          <w:szCs w:val="32"/>
        </w:rPr>
        <w:t>稳定性研究资料。</w:t>
      </w:r>
      <w:r>
        <w:rPr>
          <w:rFonts w:eastAsia="仿宋_GB2312" w:cs="仿宋_GB2312" w:hint="eastAsia"/>
          <w:sz w:val="32"/>
          <w:szCs w:val="32"/>
        </w:rPr>
        <w:t>提供</w:t>
      </w:r>
      <w:r>
        <w:rPr>
          <w:rFonts w:eastAsia="仿宋_GB2312" w:hint="eastAsia"/>
          <w:sz w:val="32"/>
          <w:szCs w:val="32"/>
        </w:rPr>
        <w:t>物质混合均匀性验证资料。提供固化过程中工作时间和凝固时间、</w:t>
      </w:r>
      <w:r>
        <w:rPr>
          <w:rFonts w:eastAsia="仿宋_GB2312" w:hint="eastAsia"/>
          <w:sz w:val="32"/>
          <w:szCs w:val="32"/>
        </w:rPr>
        <w:t>pH</w:t>
      </w:r>
      <w:r>
        <w:rPr>
          <w:rFonts w:eastAsia="仿宋_GB2312" w:hint="eastAsia"/>
          <w:sz w:val="32"/>
          <w:szCs w:val="32"/>
        </w:rPr>
        <w:t>值变化和温度变化的研究资料；提供固相和液相混合后，</w:t>
      </w:r>
      <w:proofErr w:type="gramStart"/>
      <w:r>
        <w:rPr>
          <w:rFonts w:eastAsia="仿宋_GB2312" w:hint="eastAsia"/>
          <w:sz w:val="32"/>
          <w:szCs w:val="32"/>
        </w:rPr>
        <w:t>糊状物抗溃散</w:t>
      </w:r>
      <w:proofErr w:type="gramEnd"/>
      <w:r>
        <w:rPr>
          <w:rFonts w:eastAsia="仿宋_GB2312" w:hint="eastAsia"/>
          <w:sz w:val="32"/>
          <w:szCs w:val="32"/>
        </w:rPr>
        <w:t>性能、流变性能和</w:t>
      </w:r>
      <w:proofErr w:type="gramStart"/>
      <w:r>
        <w:rPr>
          <w:rFonts w:eastAsia="仿宋_GB2312" w:hint="eastAsia"/>
          <w:sz w:val="32"/>
          <w:szCs w:val="32"/>
        </w:rPr>
        <w:t>可</w:t>
      </w:r>
      <w:proofErr w:type="gramEnd"/>
      <w:r>
        <w:rPr>
          <w:rFonts w:eastAsia="仿宋_GB2312" w:hint="eastAsia"/>
          <w:sz w:val="32"/>
          <w:szCs w:val="32"/>
        </w:rPr>
        <w:t>注射性能的研究资料，如推挤力、黏度与流动性、分散性等。提供固化后产物化学成分、浸提液</w:t>
      </w:r>
      <w:r>
        <w:rPr>
          <w:rFonts w:eastAsia="仿宋_GB2312" w:hint="eastAsia"/>
          <w:sz w:val="32"/>
          <w:szCs w:val="32"/>
        </w:rPr>
        <w:t>pH</w:t>
      </w:r>
      <w:r w:rsidR="00EE469D">
        <w:rPr>
          <w:rFonts w:eastAsia="仿宋_GB2312" w:hint="eastAsia"/>
          <w:sz w:val="32"/>
          <w:szCs w:val="32"/>
        </w:rPr>
        <w:t>值</w:t>
      </w:r>
      <w:r>
        <w:rPr>
          <w:rFonts w:eastAsia="仿宋_GB2312" w:hint="eastAsia"/>
          <w:sz w:val="32"/>
          <w:szCs w:val="32"/>
        </w:rPr>
        <w:t>变化、钙磷比、晶相分析（相成分、含量、结晶度）等研究资料；固化后产物结构形貌特征研究，包括产品宏观、微观形貌特征、孔隙结构尺寸（如孔径大小、孔径分布、孔隙率、内部连通性等）的研究资料。</w:t>
      </w:r>
    </w:p>
    <w:p w14:paraId="12E1035F"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lastRenderedPageBreak/>
        <w:t>对于列入产品技术要求的化学</w:t>
      </w:r>
      <w:r>
        <w:rPr>
          <w:rFonts w:eastAsia="仿宋_GB2312" w:hint="eastAsia"/>
          <w:sz w:val="32"/>
          <w:szCs w:val="32"/>
        </w:rPr>
        <w:t>/</w:t>
      </w:r>
      <w:r>
        <w:rPr>
          <w:rFonts w:eastAsia="仿宋_GB2312" w:hint="eastAsia"/>
          <w:sz w:val="32"/>
          <w:szCs w:val="32"/>
        </w:rPr>
        <w:t>材料性能指标，需提供接受标准和试验方法的确定依据。</w:t>
      </w:r>
    </w:p>
    <w:p w14:paraId="7085D548"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对于配套使用的工具，请根据实际情况，提供相应的材料化学性能研究资料，包括材料化学性能表征资料以及与填充材料的适配性研究。</w:t>
      </w:r>
    </w:p>
    <w:p w14:paraId="43FFF139"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3</w:t>
      </w:r>
      <w:r>
        <w:rPr>
          <w:rFonts w:eastAsia="仿宋_GB2312" w:hint="eastAsia"/>
          <w:sz w:val="32"/>
          <w:szCs w:val="32"/>
        </w:rPr>
        <w:t>物理和机械性能研究</w:t>
      </w:r>
      <w:r>
        <w:rPr>
          <w:rFonts w:eastAsia="仿宋_GB2312" w:hint="eastAsia"/>
          <w:sz w:val="32"/>
          <w:szCs w:val="32"/>
        </w:rPr>
        <w:t xml:space="preserve"> </w:t>
      </w:r>
    </w:p>
    <w:p w14:paraId="15CD265D"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对于块状、柱状、楔形等具有一定形状的产品，结合预期适用部位和临床使用需求，提供相应力学性能研究资料，如抗压</w:t>
      </w:r>
      <w:r>
        <w:rPr>
          <w:rFonts w:eastAsia="仿宋_GB2312" w:hint="eastAsia"/>
          <w:sz w:val="32"/>
          <w:szCs w:val="32"/>
        </w:rPr>
        <w:t>/</w:t>
      </w:r>
      <w:r>
        <w:rPr>
          <w:rFonts w:eastAsia="仿宋_GB2312" w:hint="eastAsia"/>
          <w:sz w:val="32"/>
          <w:szCs w:val="32"/>
        </w:rPr>
        <w:t>抗弯强度、各向异性、杨氏模量、硬度等。</w:t>
      </w:r>
    </w:p>
    <w:p w14:paraId="7A45754E"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对于预装载于注射器中的骨填充材料，注册人需提交模拟使用性能研究资料，包括注射器推注性能、吸收液体（生理盐水和</w:t>
      </w:r>
      <w:r>
        <w:rPr>
          <w:rFonts w:eastAsia="仿宋_GB2312" w:hint="eastAsia"/>
          <w:sz w:val="32"/>
          <w:szCs w:val="32"/>
        </w:rPr>
        <w:t>/</w:t>
      </w:r>
      <w:r>
        <w:rPr>
          <w:rFonts w:eastAsia="仿宋_GB2312" w:hint="eastAsia"/>
          <w:sz w:val="32"/>
          <w:szCs w:val="32"/>
        </w:rPr>
        <w:t>或血液）性能、推挤密度与结构完整性、缺损部位填充性能等。</w:t>
      </w:r>
    </w:p>
    <w:p w14:paraId="66E5284D"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骨水泥类填充材料，提供产品抗溃散性能研究资料，验证术中体液环境下材料成团性，避免材料流失导致植入区域塌陷；固化后力学性能（如抗压强度、各向异性等）的研究资料。建议明确测试所用固化体的固化时间和状态，充分考虑固化体的代表性。</w:t>
      </w:r>
    </w:p>
    <w:p w14:paraId="01668DB4"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对于配套使用的工具，请根据相关工具的使用要求和结构特征等，提供相应的物理机械性能研究资料。</w:t>
      </w:r>
    </w:p>
    <w:p w14:paraId="2777946E"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对于列入产品技术要求的物理</w:t>
      </w:r>
      <w:r>
        <w:rPr>
          <w:rFonts w:eastAsia="仿宋_GB2312" w:hint="eastAsia"/>
          <w:sz w:val="32"/>
          <w:szCs w:val="32"/>
        </w:rPr>
        <w:t>/</w:t>
      </w:r>
      <w:r>
        <w:rPr>
          <w:rFonts w:eastAsia="仿宋_GB2312" w:hint="eastAsia"/>
          <w:sz w:val="32"/>
          <w:szCs w:val="32"/>
        </w:rPr>
        <w:t>机械性能指标，需提供接受标准和试验方法的确定依据。</w:t>
      </w:r>
    </w:p>
    <w:p w14:paraId="2D7E5D23"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5.4</w:t>
      </w:r>
      <w:r>
        <w:rPr>
          <w:rFonts w:eastAsia="仿宋_GB2312" w:hint="eastAsia"/>
          <w:sz w:val="32"/>
          <w:szCs w:val="32"/>
        </w:rPr>
        <w:t>体外降解性能研究</w:t>
      </w:r>
    </w:p>
    <w:p w14:paraId="5D58F70A" w14:textId="29561199" w:rsidR="00B17835" w:rsidRDefault="001A6881">
      <w:pPr>
        <w:spacing w:line="520" w:lineRule="exact"/>
        <w:ind w:firstLineChars="200" w:firstLine="640"/>
        <w:rPr>
          <w:rFonts w:eastAsia="仿宋_GB2312"/>
          <w:strike/>
          <w:sz w:val="32"/>
          <w:szCs w:val="32"/>
        </w:rPr>
      </w:pPr>
      <w:r>
        <w:rPr>
          <w:rFonts w:eastAsia="仿宋_GB2312" w:hint="eastAsia"/>
          <w:sz w:val="32"/>
          <w:szCs w:val="32"/>
        </w:rPr>
        <w:t>提供降解性能的研究资料，可参照</w:t>
      </w:r>
      <w:r>
        <w:rPr>
          <w:rFonts w:eastAsia="仿宋_GB2312" w:hint="eastAsia"/>
          <w:sz w:val="32"/>
          <w:szCs w:val="32"/>
        </w:rPr>
        <w:t>GB/T 16886.14</w:t>
      </w:r>
      <w:r>
        <w:rPr>
          <w:rFonts w:eastAsia="仿宋_GB2312" w:hint="eastAsia"/>
          <w:sz w:val="32"/>
          <w:szCs w:val="32"/>
        </w:rPr>
        <w:t>开展体外实时或加速降解试验，或根据产品特性选择体外降解评价方法，明确其确定依据。建议模拟产品临床预期植入环境，评价产品的</w:t>
      </w:r>
      <w:r>
        <w:rPr>
          <w:rFonts w:eastAsia="仿宋_GB2312" w:hint="eastAsia"/>
          <w:sz w:val="32"/>
          <w:szCs w:val="32"/>
        </w:rPr>
        <w:lastRenderedPageBreak/>
        <w:t>降解率、降解各时间点性能变化（如外观形貌、机械性能等）以及降解产物（如溶液中</w:t>
      </w:r>
      <w:r>
        <w:rPr>
          <w:rFonts w:eastAsia="仿宋_GB2312"/>
          <w:sz w:val="32"/>
          <w:szCs w:val="32"/>
        </w:rPr>
        <w:t>Si</w:t>
      </w:r>
      <w:r>
        <w:rPr>
          <w:rFonts w:eastAsia="仿宋_GB2312" w:hint="eastAsia"/>
          <w:sz w:val="32"/>
          <w:szCs w:val="32"/>
        </w:rPr>
        <w:t>、</w:t>
      </w:r>
      <w:r>
        <w:rPr>
          <w:rFonts w:eastAsia="仿宋_GB2312"/>
          <w:sz w:val="32"/>
          <w:szCs w:val="32"/>
        </w:rPr>
        <w:t>P</w:t>
      </w:r>
      <w:r>
        <w:rPr>
          <w:rFonts w:eastAsia="仿宋_GB2312" w:hint="eastAsia"/>
          <w:sz w:val="32"/>
          <w:szCs w:val="32"/>
        </w:rPr>
        <w:t>和</w:t>
      </w:r>
      <w:r>
        <w:rPr>
          <w:rFonts w:eastAsia="仿宋_GB2312"/>
          <w:sz w:val="32"/>
          <w:szCs w:val="32"/>
        </w:rPr>
        <w:t>Ca</w:t>
      </w:r>
      <w:r>
        <w:rPr>
          <w:rFonts w:eastAsia="仿宋_GB2312" w:hint="eastAsia"/>
          <w:sz w:val="32"/>
          <w:szCs w:val="32"/>
        </w:rPr>
        <w:t>元素含量分析、</w:t>
      </w:r>
      <w:r>
        <w:rPr>
          <w:rFonts w:eastAsia="仿宋_GB2312"/>
          <w:sz w:val="32"/>
          <w:szCs w:val="32"/>
        </w:rPr>
        <w:t>pH</w:t>
      </w:r>
      <w:r>
        <w:rPr>
          <w:rFonts w:eastAsia="仿宋_GB2312" w:hint="eastAsia"/>
          <w:sz w:val="32"/>
          <w:szCs w:val="32"/>
        </w:rPr>
        <w:t>值变化），绘制降解曲线，分析产品</w:t>
      </w:r>
      <w:proofErr w:type="gramStart"/>
      <w:r>
        <w:rPr>
          <w:rFonts w:eastAsia="仿宋_GB2312" w:hint="eastAsia"/>
          <w:sz w:val="32"/>
          <w:szCs w:val="32"/>
        </w:rPr>
        <w:t>降解率</w:t>
      </w:r>
      <w:proofErr w:type="gramEnd"/>
      <w:r>
        <w:rPr>
          <w:rFonts w:eastAsia="仿宋_GB2312" w:hint="eastAsia"/>
          <w:sz w:val="32"/>
          <w:szCs w:val="32"/>
        </w:rPr>
        <w:t>及降解产物对微环境的影响。提供降解周期及</w:t>
      </w:r>
      <w:proofErr w:type="gramStart"/>
      <w:r>
        <w:rPr>
          <w:rFonts w:eastAsia="仿宋_GB2312" w:hint="eastAsia"/>
          <w:sz w:val="32"/>
          <w:szCs w:val="32"/>
        </w:rPr>
        <w:t>各观察</w:t>
      </w:r>
      <w:proofErr w:type="gramEnd"/>
      <w:r>
        <w:rPr>
          <w:rFonts w:eastAsia="仿宋_GB2312" w:hint="eastAsia"/>
          <w:sz w:val="32"/>
          <w:szCs w:val="32"/>
        </w:rPr>
        <w:t>时间点的设定依据，需结合产品临床预期使用情形，结合同类已上市产品降解性能论述该产品降解周期的可接受性，建议降解终点需达到稳定状态或产品几乎完全降解。如采用加速降解试验，提供试验条件确定依据以及对实时降解的参考性。</w:t>
      </w:r>
    </w:p>
    <w:p w14:paraId="6FBDD448"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5</w:t>
      </w:r>
      <w:r>
        <w:rPr>
          <w:rFonts w:eastAsia="仿宋_GB2312" w:hint="eastAsia"/>
          <w:sz w:val="32"/>
          <w:szCs w:val="32"/>
        </w:rPr>
        <w:t>生物学特性研究</w:t>
      </w:r>
    </w:p>
    <w:p w14:paraId="39FEE0C9" w14:textId="65EDF099" w:rsidR="00B17835" w:rsidRDefault="001A6881">
      <w:pPr>
        <w:spacing w:line="520" w:lineRule="exact"/>
        <w:ind w:firstLineChars="200" w:firstLine="640"/>
        <w:rPr>
          <w:rFonts w:eastAsia="仿宋_GB2312"/>
          <w:sz w:val="32"/>
          <w:szCs w:val="32"/>
        </w:rPr>
      </w:pPr>
      <w:r>
        <w:rPr>
          <w:rFonts w:eastAsia="仿宋_GB2312" w:hint="eastAsia"/>
          <w:sz w:val="32"/>
          <w:szCs w:val="32"/>
        </w:rPr>
        <w:t>钙磷</w:t>
      </w:r>
      <w:r>
        <w:rPr>
          <w:rFonts w:eastAsia="仿宋_GB2312" w:hint="eastAsia"/>
          <w:sz w:val="32"/>
          <w:szCs w:val="32"/>
        </w:rPr>
        <w:t>/</w:t>
      </w:r>
      <w:r>
        <w:rPr>
          <w:rFonts w:eastAsia="仿宋_GB2312" w:hint="eastAsia"/>
          <w:sz w:val="32"/>
          <w:szCs w:val="32"/>
        </w:rPr>
        <w:t>硅类骨填充材料预期设计可降解，并将降解产物释放于患者。产品的生物相容性评价，需结合产品和降解产物研究，根据</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生物学评定终点一般包括细胞毒性、致敏、刺激或皮内反应、材料</w:t>
      </w:r>
      <w:proofErr w:type="gramStart"/>
      <w:r>
        <w:rPr>
          <w:rFonts w:eastAsia="仿宋_GB2312" w:hint="eastAsia"/>
          <w:sz w:val="32"/>
          <w:szCs w:val="32"/>
        </w:rPr>
        <w:t>介</w:t>
      </w:r>
      <w:proofErr w:type="gramEnd"/>
      <w:r>
        <w:rPr>
          <w:rFonts w:eastAsia="仿宋_GB2312" w:hint="eastAsia"/>
          <w:sz w:val="32"/>
          <w:szCs w:val="32"/>
        </w:rPr>
        <w:t>导的致热性、急性全身毒性、亚急性毒性、慢性毒性、亚慢性毒性、植入反应、遗传毒性和致癌性，需结合骨填充材料的预期临床使用需求、物理和</w:t>
      </w:r>
      <w:r>
        <w:rPr>
          <w:rFonts w:eastAsia="仿宋_GB2312" w:hint="eastAsia"/>
          <w:sz w:val="32"/>
          <w:szCs w:val="32"/>
        </w:rPr>
        <w:t>/</w:t>
      </w:r>
      <w:r>
        <w:rPr>
          <w:rFonts w:eastAsia="仿宋_GB2312" w:hint="eastAsia"/>
          <w:sz w:val="32"/>
          <w:szCs w:val="32"/>
        </w:rPr>
        <w:t>或化学表征、降解性能等论证产品在上述各项生物学风险评定终点的安全性，必要时根据</w:t>
      </w:r>
      <w:r>
        <w:rPr>
          <w:rFonts w:eastAsia="仿宋_GB2312" w:hint="eastAsia"/>
          <w:sz w:val="32"/>
          <w:szCs w:val="32"/>
        </w:rPr>
        <w:t>GB/T 16886</w:t>
      </w:r>
      <w:r>
        <w:rPr>
          <w:rFonts w:eastAsia="仿宋_GB2312" w:hint="eastAsia"/>
          <w:sz w:val="32"/>
          <w:szCs w:val="32"/>
        </w:rPr>
        <w:t>系列标准进行生物学试验。</w:t>
      </w:r>
    </w:p>
    <w:p w14:paraId="01058D84"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为观察这类产品发挥预期用途时间内骨长入及安全性（如释放产物对骨生成的影响），通常需开展骨植入试验，观察时间至少为</w:t>
      </w:r>
      <w:r>
        <w:rPr>
          <w:rFonts w:eastAsia="仿宋_GB2312" w:hint="eastAsia"/>
          <w:sz w:val="32"/>
          <w:szCs w:val="32"/>
        </w:rPr>
        <w:t>26</w:t>
      </w:r>
      <w:r>
        <w:rPr>
          <w:rFonts w:eastAsia="仿宋_GB2312" w:hint="eastAsia"/>
          <w:sz w:val="32"/>
          <w:szCs w:val="32"/>
        </w:rPr>
        <w:t>周，多时间点观察，具体可参照</w:t>
      </w:r>
      <w:r>
        <w:rPr>
          <w:rFonts w:eastAsia="仿宋_GB2312" w:hint="eastAsia"/>
          <w:sz w:val="32"/>
          <w:szCs w:val="32"/>
        </w:rPr>
        <w:t>GB/T 16886.6</w:t>
      </w:r>
      <w:r>
        <w:rPr>
          <w:rFonts w:eastAsia="仿宋_GB2312" w:hint="eastAsia"/>
          <w:sz w:val="32"/>
          <w:szCs w:val="32"/>
        </w:rPr>
        <w:t>进行。采用浸</w:t>
      </w:r>
      <w:proofErr w:type="gramStart"/>
      <w:r>
        <w:rPr>
          <w:rFonts w:eastAsia="仿宋_GB2312" w:hint="eastAsia"/>
          <w:sz w:val="32"/>
          <w:szCs w:val="32"/>
        </w:rPr>
        <w:t>提液法进行</w:t>
      </w:r>
      <w:proofErr w:type="gramEnd"/>
      <w:r>
        <w:rPr>
          <w:rFonts w:eastAsia="仿宋_GB2312" w:hint="eastAsia"/>
          <w:sz w:val="32"/>
          <w:szCs w:val="32"/>
        </w:rPr>
        <w:t>生物学试验时，对于刺激或皮内反应试验、致敏试验、全身毒性试验、</w:t>
      </w:r>
      <w:r>
        <w:rPr>
          <w:rFonts w:eastAsia="仿宋_GB2312" w:hint="eastAsia"/>
          <w:sz w:val="32"/>
          <w:szCs w:val="32"/>
        </w:rPr>
        <w:t>Ames</w:t>
      </w:r>
      <w:r>
        <w:rPr>
          <w:rFonts w:eastAsia="仿宋_GB2312" w:hint="eastAsia"/>
          <w:sz w:val="32"/>
          <w:szCs w:val="32"/>
        </w:rPr>
        <w:t>试验等，应同时考虑极性浸提和非</w:t>
      </w:r>
      <w:r>
        <w:rPr>
          <w:rFonts w:eastAsia="仿宋_GB2312" w:hint="eastAsia"/>
          <w:sz w:val="32"/>
          <w:szCs w:val="32"/>
        </w:rPr>
        <w:lastRenderedPageBreak/>
        <w:t>极性浸提两种情形。对于骨水泥类填充材料，应按照临床实际操作方法制作成使用状态后进行生物学试验。</w:t>
      </w:r>
    </w:p>
    <w:p w14:paraId="7B7917E3"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5.6</w:t>
      </w:r>
      <w:r>
        <w:rPr>
          <w:rFonts w:eastAsia="仿宋_GB2312" w:hint="eastAsia"/>
          <w:sz w:val="32"/>
          <w:szCs w:val="32"/>
        </w:rPr>
        <w:t>动物试验研究</w:t>
      </w:r>
    </w:p>
    <w:p w14:paraId="529EBB07" w14:textId="0BAA1940" w:rsidR="00B17835" w:rsidRDefault="001A6881">
      <w:pPr>
        <w:spacing w:line="520" w:lineRule="exact"/>
        <w:ind w:firstLineChars="200" w:firstLine="640"/>
        <w:rPr>
          <w:rFonts w:eastAsia="仿宋_GB2312"/>
          <w:sz w:val="32"/>
          <w:szCs w:val="32"/>
        </w:rPr>
      </w:pPr>
      <w:r>
        <w:rPr>
          <w:rFonts w:eastAsia="仿宋_GB2312" w:hint="eastAsia"/>
          <w:sz w:val="32"/>
          <w:szCs w:val="32"/>
        </w:rPr>
        <w:t>参照《医疗器械动物试验研究注册审查指导原则</w:t>
      </w:r>
      <w:r>
        <w:rPr>
          <w:rFonts w:eastAsia="仿宋_GB2312"/>
          <w:sz w:val="32"/>
          <w:szCs w:val="32"/>
        </w:rPr>
        <w:t xml:space="preserve"> </w:t>
      </w:r>
      <w:r>
        <w:rPr>
          <w:rFonts w:eastAsia="仿宋_GB2312" w:hint="eastAsia"/>
          <w:sz w:val="32"/>
          <w:szCs w:val="32"/>
        </w:rPr>
        <w:t>第一部分：决策原则》确定是否需要开展动物试验。</w:t>
      </w:r>
    </w:p>
    <w:p w14:paraId="6F965879"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.6.1</w:t>
      </w:r>
      <w:r>
        <w:rPr>
          <w:rFonts w:eastAsia="仿宋_GB2312" w:hint="eastAsia"/>
          <w:sz w:val="32"/>
          <w:szCs w:val="32"/>
        </w:rPr>
        <w:t>试验设计原则</w:t>
      </w:r>
    </w:p>
    <w:p w14:paraId="75CD0148" w14:textId="4004C9ED" w:rsidR="00B17835" w:rsidRDefault="001A6881">
      <w:pPr>
        <w:spacing w:line="520" w:lineRule="exact"/>
        <w:ind w:firstLineChars="200" w:firstLine="640"/>
        <w:rPr>
          <w:rFonts w:eastAsia="仿宋_GB2312"/>
          <w:sz w:val="32"/>
          <w:szCs w:val="32"/>
        </w:rPr>
      </w:pPr>
      <w:r>
        <w:rPr>
          <w:rFonts w:eastAsia="仿宋_GB2312" w:hint="eastAsia"/>
          <w:sz w:val="32"/>
          <w:szCs w:val="32"/>
        </w:rPr>
        <w:t>除非有充分的证据证明申报产品的关键性能指标（如理化性能、结晶度、多孔结构特征、降解性能等）、材料安全性、适用范围与境内已上市产品具有一致性，否则</w:t>
      </w:r>
      <w:bookmarkStart w:id="0" w:name="_GoBack"/>
      <w:r>
        <w:rPr>
          <w:rFonts w:eastAsia="仿宋_GB2312" w:hint="eastAsia"/>
          <w:sz w:val="32"/>
          <w:szCs w:val="32"/>
        </w:rPr>
        <w:t>，</w:t>
      </w:r>
      <w:bookmarkEnd w:id="0"/>
      <w:r>
        <w:rPr>
          <w:rFonts w:eastAsia="仿宋_GB2312" w:hint="eastAsia"/>
          <w:sz w:val="32"/>
          <w:szCs w:val="32"/>
        </w:rPr>
        <w:t>为观察该类产品的体内降解性能、机械性能变化和骨长入效果等，推荐使用适当的动物模型对产品性能进行临床前评价。参照《医疗器械动物试验研究注册审查指导原则</w:t>
      </w:r>
      <w:r>
        <w:rPr>
          <w:rFonts w:eastAsia="仿宋_GB2312" w:hint="eastAsia"/>
          <w:sz w:val="32"/>
          <w:szCs w:val="32"/>
        </w:rPr>
        <w:t xml:space="preserve"> </w:t>
      </w:r>
      <w:r>
        <w:rPr>
          <w:rFonts w:eastAsia="仿宋_GB2312" w:hint="eastAsia"/>
          <w:sz w:val="32"/>
          <w:szCs w:val="32"/>
        </w:rPr>
        <w:t>第二部分：试验设计、实施质量保证》、</w:t>
      </w:r>
      <w:r>
        <w:rPr>
          <w:rFonts w:eastAsia="仿宋_GB2312" w:hint="eastAsia"/>
          <w:sz w:val="32"/>
          <w:szCs w:val="32"/>
        </w:rPr>
        <w:t>YY/T 0511</w:t>
      </w:r>
      <w:r>
        <w:rPr>
          <w:rFonts w:eastAsia="仿宋_GB2312" w:hint="eastAsia"/>
          <w:sz w:val="32"/>
          <w:szCs w:val="32"/>
        </w:rPr>
        <w:t>、</w:t>
      </w:r>
      <w:r>
        <w:rPr>
          <w:rFonts w:eastAsia="仿宋_GB2312" w:hint="eastAsia"/>
          <w:sz w:val="32"/>
          <w:szCs w:val="32"/>
        </w:rPr>
        <w:t>YY/T 1575</w:t>
      </w:r>
      <w:r>
        <w:rPr>
          <w:rFonts w:eastAsia="仿宋_GB2312" w:hint="eastAsia"/>
          <w:sz w:val="32"/>
          <w:szCs w:val="32"/>
        </w:rPr>
        <w:t>中相关要求进行试验设计。宜考虑如下几个方面：</w:t>
      </w:r>
    </w:p>
    <w:p w14:paraId="02686EC6"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动物模型的选择：选择的动物模型应能代表该产品的适用范围</w:t>
      </w:r>
      <w:r>
        <w:rPr>
          <w:rFonts w:eastAsia="仿宋_GB2312" w:hint="eastAsia"/>
          <w:sz w:val="32"/>
          <w:szCs w:val="32"/>
        </w:rPr>
        <w:t>/</w:t>
      </w:r>
      <w:r>
        <w:rPr>
          <w:rFonts w:eastAsia="仿宋_GB2312" w:hint="eastAsia"/>
          <w:sz w:val="32"/>
          <w:szCs w:val="32"/>
        </w:rPr>
        <w:t>适应证、推荐使用的解剖部位、与内固定和</w:t>
      </w:r>
      <w:r>
        <w:rPr>
          <w:rFonts w:eastAsia="仿宋_GB2312" w:hint="eastAsia"/>
          <w:sz w:val="32"/>
          <w:szCs w:val="32"/>
        </w:rPr>
        <w:t>/</w:t>
      </w:r>
      <w:r>
        <w:rPr>
          <w:rFonts w:eastAsia="仿宋_GB2312" w:hint="eastAsia"/>
          <w:sz w:val="32"/>
          <w:szCs w:val="32"/>
        </w:rPr>
        <w:t>或外固定器</w:t>
      </w:r>
      <w:proofErr w:type="gramStart"/>
      <w:r>
        <w:rPr>
          <w:rFonts w:eastAsia="仿宋_GB2312" w:hint="eastAsia"/>
          <w:sz w:val="32"/>
          <w:szCs w:val="32"/>
        </w:rPr>
        <w:t>械</w:t>
      </w:r>
      <w:proofErr w:type="gramEnd"/>
      <w:r>
        <w:rPr>
          <w:rFonts w:eastAsia="仿宋_GB2312" w:hint="eastAsia"/>
          <w:sz w:val="32"/>
          <w:szCs w:val="32"/>
        </w:rPr>
        <w:t>配合使用、产品特有的使用方法（如需与血液混合使用等）、可填充的最大缺损面积</w:t>
      </w:r>
      <w:r>
        <w:rPr>
          <w:rFonts w:eastAsia="仿宋_GB2312" w:hint="eastAsia"/>
          <w:sz w:val="32"/>
          <w:szCs w:val="32"/>
        </w:rPr>
        <w:t>/</w:t>
      </w:r>
      <w:r>
        <w:rPr>
          <w:rFonts w:eastAsia="仿宋_GB2312" w:hint="eastAsia"/>
          <w:sz w:val="32"/>
          <w:szCs w:val="32"/>
        </w:rPr>
        <w:t>体积。动物模型的设计需考虑动物骨骼自身修复能力对试验结果的影响。动物模型应选择骨骼成熟的动物。</w:t>
      </w:r>
    </w:p>
    <w:p w14:paraId="0E76E85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试验分组：试验设计应进行合理分组，注意设置全面的对照组，以确保结果的科学性。建议至少包括试验组、同类产品对照组、假手术组。</w:t>
      </w:r>
    </w:p>
    <w:p w14:paraId="02BB0CD9" w14:textId="5FE9FA06" w:rsidR="00B17835" w:rsidRDefault="001A6881">
      <w:pPr>
        <w:spacing w:line="520" w:lineRule="exact"/>
        <w:ind w:firstLineChars="200" w:firstLine="640"/>
        <w:rPr>
          <w:rFonts w:eastAsia="仿宋_GB2312"/>
          <w:sz w:val="32"/>
          <w:szCs w:val="32"/>
        </w:rPr>
      </w:pPr>
      <w:r>
        <w:rPr>
          <w:rFonts w:eastAsia="仿宋_GB2312" w:hint="eastAsia"/>
          <w:sz w:val="32"/>
          <w:szCs w:val="32"/>
        </w:rPr>
        <w:t>对照样品的选择：可选用境内已上市同类产品</w:t>
      </w:r>
      <w:r w:rsidR="00AC5FC5">
        <w:rPr>
          <w:rFonts w:eastAsia="仿宋_GB2312" w:hint="eastAsia"/>
          <w:sz w:val="32"/>
          <w:szCs w:val="32"/>
        </w:rPr>
        <w:t>作为</w:t>
      </w:r>
      <w:r>
        <w:rPr>
          <w:rFonts w:eastAsia="仿宋_GB2312" w:hint="eastAsia"/>
          <w:sz w:val="32"/>
          <w:szCs w:val="32"/>
        </w:rPr>
        <w:t>对照组，建议对照样品的形状、尺寸、适用范围与试验组一致。</w:t>
      </w:r>
      <w:proofErr w:type="gramStart"/>
      <w:r>
        <w:rPr>
          <w:rFonts w:eastAsia="仿宋_GB2312" w:hint="eastAsia"/>
          <w:sz w:val="32"/>
          <w:szCs w:val="32"/>
        </w:rPr>
        <w:t>假手术组动物</w:t>
      </w:r>
      <w:proofErr w:type="gramEnd"/>
      <w:r>
        <w:rPr>
          <w:rFonts w:eastAsia="仿宋_GB2312" w:hint="eastAsia"/>
          <w:sz w:val="32"/>
          <w:szCs w:val="32"/>
        </w:rPr>
        <w:t>模型的骨缺损部位不进行处理。</w:t>
      </w:r>
    </w:p>
    <w:p w14:paraId="5CE894C2"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lastRenderedPageBreak/>
        <w:t>观察期的选择：观察期长短取决于动物种属、缺损大小以及植入物的组成和设计。观察期宜长于产品的降解时间，或者直至相应的组织反应达到稳定状态，通常需设置多个观察时间点。可根据体外降解试验评估的降解时间确定观察期，其观察期至少设置三个时间点：没有或仅有少量降解、降解过程中（建议包括降解达到或超过</w:t>
      </w:r>
      <w:r>
        <w:rPr>
          <w:rFonts w:eastAsia="仿宋_GB2312"/>
          <w:sz w:val="32"/>
          <w:szCs w:val="32"/>
        </w:rPr>
        <w:t>50%</w:t>
      </w:r>
      <w:r>
        <w:rPr>
          <w:rFonts w:eastAsia="仿宋_GB2312" w:hint="eastAsia"/>
          <w:sz w:val="32"/>
          <w:szCs w:val="32"/>
        </w:rPr>
        <w:t>质量损失的时间点）、组织反应达到稳定状态或植入部位产品几乎完全降解。</w:t>
      </w:r>
    </w:p>
    <w:p w14:paraId="619FAB99"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观察指标的选择：根据试验目的和产品设计特征，在</w:t>
      </w:r>
      <w:proofErr w:type="gramStart"/>
      <w:r>
        <w:rPr>
          <w:rFonts w:eastAsia="仿宋_GB2312" w:hint="eastAsia"/>
          <w:sz w:val="32"/>
          <w:szCs w:val="32"/>
        </w:rPr>
        <w:t>各观察</w:t>
      </w:r>
      <w:proofErr w:type="gramEnd"/>
      <w:r>
        <w:rPr>
          <w:rFonts w:eastAsia="仿宋_GB2312" w:hint="eastAsia"/>
          <w:sz w:val="32"/>
          <w:szCs w:val="32"/>
        </w:rPr>
        <w:t>时间点选择合理的影像学（如</w:t>
      </w:r>
      <w:r>
        <w:rPr>
          <w:rFonts w:eastAsia="仿宋_GB2312" w:hint="eastAsia"/>
          <w:sz w:val="32"/>
          <w:szCs w:val="32"/>
        </w:rPr>
        <w:t>X</w:t>
      </w:r>
      <w:r>
        <w:rPr>
          <w:rFonts w:eastAsia="仿宋_GB2312" w:hint="eastAsia"/>
          <w:sz w:val="32"/>
          <w:szCs w:val="32"/>
        </w:rPr>
        <w:t>射线、</w:t>
      </w:r>
      <w:r>
        <w:rPr>
          <w:rFonts w:eastAsia="仿宋_GB2312" w:hint="eastAsia"/>
          <w:sz w:val="32"/>
          <w:szCs w:val="32"/>
        </w:rPr>
        <w:t>micro-CT</w:t>
      </w:r>
      <w:r>
        <w:rPr>
          <w:rFonts w:eastAsia="仿宋_GB2312" w:hint="eastAsia"/>
          <w:sz w:val="32"/>
          <w:szCs w:val="32"/>
        </w:rPr>
        <w:t>、核磁等）、血液、尿液（如适用）、大体解剖、组织学（如</w:t>
      </w:r>
      <w:r>
        <w:rPr>
          <w:rFonts w:eastAsia="仿宋_GB2312" w:hint="eastAsia"/>
          <w:sz w:val="32"/>
          <w:szCs w:val="32"/>
        </w:rPr>
        <w:t>HE</w:t>
      </w:r>
      <w:r>
        <w:rPr>
          <w:rFonts w:eastAsia="仿宋_GB2312" w:hint="eastAsia"/>
          <w:sz w:val="32"/>
          <w:szCs w:val="32"/>
        </w:rPr>
        <w:t>染色、</w:t>
      </w:r>
      <w:r>
        <w:rPr>
          <w:rFonts w:eastAsia="仿宋_GB2312" w:hint="eastAsia"/>
          <w:sz w:val="32"/>
          <w:szCs w:val="32"/>
        </w:rPr>
        <w:t>Masson</w:t>
      </w:r>
      <w:r>
        <w:rPr>
          <w:rFonts w:eastAsia="仿宋_GB2312" w:hint="eastAsia"/>
          <w:sz w:val="32"/>
          <w:szCs w:val="32"/>
        </w:rPr>
        <w:t>染色等）、组织形态学指标以及新生骨生物力学（如适用）性能指标等对产品植入后降解性能、骨缺损部位的骨形成情况进行评价。</w:t>
      </w:r>
    </w:p>
    <w:p w14:paraId="4586E440" w14:textId="77777777" w:rsidR="00B17835" w:rsidRDefault="001A6881">
      <w:pPr>
        <w:spacing w:line="520" w:lineRule="exact"/>
        <w:ind w:firstLineChars="200" w:firstLine="640"/>
        <w:rPr>
          <w:rFonts w:eastAsia="仿宋_GB2312"/>
          <w:sz w:val="32"/>
          <w:szCs w:val="32"/>
        </w:rPr>
      </w:pPr>
      <w:r>
        <w:rPr>
          <w:rFonts w:eastAsia="仿宋_GB2312"/>
          <w:sz w:val="32"/>
          <w:szCs w:val="32"/>
        </w:rPr>
        <w:t>5.6.2</w:t>
      </w:r>
      <w:r>
        <w:rPr>
          <w:rFonts w:eastAsia="仿宋_GB2312" w:hint="eastAsia"/>
          <w:sz w:val="32"/>
          <w:szCs w:val="32"/>
        </w:rPr>
        <w:t>研究方案和总结报告</w:t>
      </w:r>
    </w:p>
    <w:p w14:paraId="18AF2C9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动物试验研究应包括研究方案和研究</w:t>
      </w:r>
      <w:r>
        <w:rPr>
          <w:rFonts w:eastAsia="仿宋_GB2312"/>
          <w:sz w:val="32"/>
          <w:szCs w:val="32"/>
        </w:rPr>
        <w:t>总结报告</w:t>
      </w:r>
      <w:r>
        <w:rPr>
          <w:rFonts w:eastAsia="仿宋_GB2312" w:hint="eastAsia"/>
          <w:sz w:val="32"/>
          <w:szCs w:val="32"/>
        </w:rPr>
        <w:t>，具体内容参考《医疗器械动物试验研究注册审查指导原则</w:t>
      </w:r>
      <w:r>
        <w:rPr>
          <w:rFonts w:eastAsia="仿宋_GB2312" w:hint="eastAsia"/>
          <w:sz w:val="32"/>
          <w:szCs w:val="32"/>
        </w:rPr>
        <w:t xml:space="preserve"> </w:t>
      </w:r>
      <w:r>
        <w:rPr>
          <w:rFonts w:eastAsia="仿宋_GB2312" w:hint="eastAsia"/>
          <w:sz w:val="32"/>
          <w:szCs w:val="32"/>
        </w:rPr>
        <w:t>第二部分：试验设计、实施质量保证》。宜关注如下几个方面：</w:t>
      </w:r>
    </w:p>
    <w:p w14:paraId="0D7734D8" w14:textId="12C35A79" w:rsidR="00B17835" w:rsidRDefault="001A6881">
      <w:pPr>
        <w:spacing w:line="520" w:lineRule="exact"/>
        <w:ind w:firstLineChars="200" w:firstLine="640"/>
        <w:rPr>
          <w:rFonts w:eastAsia="仿宋_GB2312"/>
          <w:sz w:val="32"/>
          <w:szCs w:val="32"/>
        </w:rPr>
      </w:pPr>
      <w:r>
        <w:rPr>
          <w:rFonts w:eastAsia="仿宋_GB2312" w:hint="eastAsia"/>
          <w:sz w:val="32"/>
          <w:szCs w:val="32"/>
        </w:rPr>
        <w:t>试验目的：申请人根据产品的设计特征和预期适用范围，确定试验目的。对于可降解产品，证明降解过程中安全性风险可接受，建议关注降解速率达到峰值时的植入部位生物学反应，同时证明降解与新骨形成的速率基本匹配。对于部分降解产品，证明骨缺损部位填充的产品可与周围骨形成骨整合。</w:t>
      </w:r>
    </w:p>
    <w:p w14:paraId="0D737B2C"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植入样品：提供试验样品和对照样品在理化表征、加工过程、灭菌方法等方面的比较信息，论述对照样品的选择理由。</w:t>
      </w:r>
    </w:p>
    <w:p w14:paraId="65F9845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实验动物：提供动物的种属、品系、来源、年龄、性别、体</w:t>
      </w:r>
      <w:r>
        <w:rPr>
          <w:rFonts w:eastAsia="仿宋_GB2312" w:hint="eastAsia"/>
          <w:sz w:val="32"/>
          <w:szCs w:val="32"/>
        </w:rPr>
        <w:lastRenderedPageBreak/>
        <w:t>重、饲养环境和条件、动物饮食、动物健康状况（包括意外死亡）等信息。综合考虑观察时间点、各时间点观察指标、</w:t>
      </w:r>
      <w:proofErr w:type="gramStart"/>
      <w:r>
        <w:rPr>
          <w:rFonts w:eastAsia="仿宋_GB2312" w:hint="eastAsia"/>
          <w:sz w:val="32"/>
          <w:szCs w:val="32"/>
        </w:rPr>
        <w:t>各观察</w:t>
      </w:r>
      <w:proofErr w:type="gramEnd"/>
      <w:r>
        <w:rPr>
          <w:rFonts w:eastAsia="仿宋_GB2312" w:hint="eastAsia"/>
          <w:sz w:val="32"/>
          <w:szCs w:val="32"/>
        </w:rPr>
        <w:t>指标所需样本量，计算所需的实验动物数量。</w:t>
      </w:r>
    </w:p>
    <w:p w14:paraId="6752C635"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动物模型：提供建模方法和过程，动物模型需涵盖疾病模型、解剖部位、缺损尺寸、产品使用方法等信息。论述动物模型的选择理由。</w:t>
      </w:r>
    </w:p>
    <w:p w14:paraId="00FF3BF6"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观察时间点：以列表的形式描述</w:t>
      </w:r>
      <w:proofErr w:type="gramStart"/>
      <w:r>
        <w:rPr>
          <w:rFonts w:eastAsia="仿宋_GB2312" w:hint="eastAsia"/>
          <w:sz w:val="32"/>
          <w:szCs w:val="32"/>
        </w:rPr>
        <w:t>各观察</w:t>
      </w:r>
      <w:proofErr w:type="gramEnd"/>
      <w:r>
        <w:rPr>
          <w:rFonts w:eastAsia="仿宋_GB2312" w:hint="eastAsia"/>
          <w:sz w:val="32"/>
          <w:szCs w:val="32"/>
        </w:rPr>
        <w:t>时间点的观察指标。</w:t>
      </w:r>
    </w:p>
    <w:p w14:paraId="70C369BB" w14:textId="735FF6F5" w:rsidR="00B17835" w:rsidRDefault="001A6881">
      <w:pPr>
        <w:spacing w:line="520" w:lineRule="exact"/>
        <w:ind w:firstLineChars="200" w:firstLine="640"/>
        <w:rPr>
          <w:rFonts w:eastAsia="仿宋_GB2312"/>
          <w:sz w:val="32"/>
          <w:szCs w:val="32"/>
        </w:rPr>
      </w:pPr>
      <w:r>
        <w:rPr>
          <w:rFonts w:eastAsia="仿宋_GB2312" w:hint="eastAsia"/>
          <w:sz w:val="32"/>
          <w:szCs w:val="32"/>
        </w:rPr>
        <w:t>观察指标：明确定性</w:t>
      </w:r>
      <w:r>
        <w:rPr>
          <w:rFonts w:eastAsia="仿宋_GB2312" w:hint="eastAsia"/>
          <w:sz w:val="32"/>
          <w:szCs w:val="32"/>
        </w:rPr>
        <w:t>/</w:t>
      </w:r>
      <w:r>
        <w:rPr>
          <w:rFonts w:eastAsia="仿宋_GB2312" w:hint="eastAsia"/>
          <w:sz w:val="32"/>
          <w:szCs w:val="32"/>
        </w:rPr>
        <w:t>定量的观察指标，并描述指标设置与试验目的</w:t>
      </w:r>
      <w:r w:rsidR="00E21631">
        <w:rPr>
          <w:rFonts w:eastAsia="仿宋_GB2312" w:hint="eastAsia"/>
          <w:sz w:val="32"/>
          <w:szCs w:val="32"/>
        </w:rPr>
        <w:t>之</w:t>
      </w:r>
      <w:r>
        <w:rPr>
          <w:rFonts w:eastAsia="仿宋_GB2312" w:hint="eastAsia"/>
          <w:sz w:val="32"/>
          <w:szCs w:val="32"/>
        </w:rPr>
        <w:t>间的对应性。</w:t>
      </w:r>
    </w:p>
    <w:p w14:paraId="4EB09FB9"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取样与样品制备：描述取样方法，记录每一观察时间点的取样动物数量、取出植入物数量。详细描述采用的组织学切片制备技术和定性</w:t>
      </w:r>
      <w:r>
        <w:rPr>
          <w:rFonts w:eastAsia="仿宋_GB2312" w:hint="eastAsia"/>
          <w:sz w:val="32"/>
          <w:szCs w:val="32"/>
        </w:rPr>
        <w:t>/</w:t>
      </w:r>
      <w:r>
        <w:rPr>
          <w:rFonts w:eastAsia="仿宋_GB2312" w:hint="eastAsia"/>
          <w:sz w:val="32"/>
          <w:szCs w:val="32"/>
        </w:rPr>
        <w:t>定量的分析方法。</w:t>
      </w:r>
    </w:p>
    <w:p w14:paraId="0C3258CE"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试验结果：包括肉眼和显微镜观察。肉眼观察主要是植入物及其周围组织的大体外观。通过显微镜观察分别报告试验样品和对照样品的植入物降解率、局部生物学反应、新骨生成率及新骨成熟度。</w:t>
      </w:r>
    </w:p>
    <w:p w14:paraId="58D2C854"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结果评价：报告应包括对试验样品和对照样品植入后新骨形成、降解性能、局部组织反应的综合评价及比较。如可通过大体解剖、组织病理学等方式评价降解产物对植入部位周围组织的炎症反应；通过动物手术部位步态评分评价</w:t>
      </w:r>
      <w:proofErr w:type="gramStart"/>
      <w:r>
        <w:rPr>
          <w:rFonts w:eastAsia="仿宋_GB2312" w:hint="eastAsia"/>
          <w:sz w:val="32"/>
          <w:szCs w:val="32"/>
        </w:rPr>
        <w:t>初期骨</w:t>
      </w:r>
      <w:proofErr w:type="gramEnd"/>
      <w:r>
        <w:rPr>
          <w:rFonts w:eastAsia="仿宋_GB2312" w:hint="eastAsia"/>
          <w:sz w:val="32"/>
          <w:szCs w:val="32"/>
        </w:rPr>
        <w:t>愈合情况；对试验过程中异常情形须进行记录和分析，如果发生动物死亡，应详细分析死亡的原因及与植入样品和申报产品的关联性分析。</w:t>
      </w:r>
    </w:p>
    <w:p w14:paraId="696DD385" w14:textId="77777777" w:rsidR="00B17835" w:rsidRDefault="001A6881">
      <w:pPr>
        <w:spacing w:line="520" w:lineRule="exact"/>
        <w:ind w:rightChars="-32" w:right="-67" w:firstLineChars="200" w:firstLine="640"/>
        <w:rPr>
          <w:rFonts w:eastAsia="仿宋_GB2312"/>
          <w:sz w:val="32"/>
          <w:szCs w:val="32"/>
        </w:rPr>
      </w:pPr>
      <w:r>
        <w:rPr>
          <w:rFonts w:eastAsia="仿宋_GB2312"/>
          <w:sz w:val="32"/>
          <w:szCs w:val="32"/>
        </w:rPr>
        <w:t>5.7</w:t>
      </w:r>
      <w:r>
        <w:rPr>
          <w:rFonts w:eastAsia="仿宋_GB2312" w:hint="eastAsia"/>
          <w:sz w:val="32"/>
          <w:szCs w:val="32"/>
        </w:rPr>
        <w:t>清洁、灭菌研究</w:t>
      </w:r>
      <w:r>
        <w:rPr>
          <w:rFonts w:eastAsia="仿宋_GB2312" w:hint="eastAsia"/>
          <w:sz w:val="32"/>
          <w:szCs w:val="32"/>
        </w:rPr>
        <w:t xml:space="preserve"> </w:t>
      </w:r>
    </w:p>
    <w:p w14:paraId="56138EE3" w14:textId="77777777" w:rsidR="00B17835" w:rsidRPr="00696F34" w:rsidRDefault="001A6881">
      <w:pPr>
        <w:spacing w:line="520" w:lineRule="exact"/>
        <w:ind w:firstLineChars="200" w:firstLine="640"/>
        <w:rPr>
          <w:rFonts w:eastAsia="仿宋_GB2312"/>
          <w:sz w:val="32"/>
          <w:szCs w:val="32"/>
        </w:rPr>
      </w:pPr>
      <w:r w:rsidRPr="00696F34">
        <w:rPr>
          <w:rFonts w:eastAsia="仿宋_GB2312"/>
          <w:sz w:val="32"/>
          <w:szCs w:val="32"/>
        </w:rPr>
        <w:t xml:space="preserve">5.7.1 </w:t>
      </w:r>
      <w:r w:rsidRPr="00696F34">
        <w:rPr>
          <w:rFonts w:eastAsia="仿宋_GB2312" w:hint="eastAsia"/>
          <w:sz w:val="32"/>
          <w:szCs w:val="32"/>
        </w:rPr>
        <w:t>清洁要求</w:t>
      </w:r>
    </w:p>
    <w:p w14:paraId="6719DA40" w14:textId="77777777" w:rsidR="00B17835" w:rsidRPr="00696F34" w:rsidRDefault="001A6881">
      <w:pPr>
        <w:spacing w:line="520" w:lineRule="exact"/>
        <w:ind w:firstLineChars="200" w:firstLine="640"/>
        <w:rPr>
          <w:rFonts w:eastAsia="仿宋_GB2312"/>
          <w:sz w:val="32"/>
          <w:szCs w:val="32"/>
        </w:rPr>
      </w:pPr>
      <w:r w:rsidRPr="00696F34">
        <w:rPr>
          <w:rFonts w:eastAsia="仿宋_GB2312" w:hint="eastAsia"/>
          <w:sz w:val="32"/>
          <w:szCs w:val="32"/>
        </w:rPr>
        <w:t>明确产品清洁要求，如细菌内毒素质控等，提供相应的研究</w:t>
      </w:r>
      <w:r w:rsidRPr="00696F34">
        <w:rPr>
          <w:rFonts w:eastAsia="仿宋_GB2312" w:hint="eastAsia"/>
          <w:sz w:val="32"/>
          <w:szCs w:val="32"/>
        </w:rPr>
        <w:lastRenderedPageBreak/>
        <w:t>验证资料。</w:t>
      </w:r>
    </w:p>
    <w:p w14:paraId="708AB6FC" w14:textId="77777777" w:rsidR="00B17835" w:rsidRPr="00696F34" w:rsidRDefault="001A6881">
      <w:pPr>
        <w:spacing w:line="520" w:lineRule="exact"/>
        <w:ind w:firstLineChars="200" w:firstLine="640"/>
        <w:rPr>
          <w:rFonts w:eastAsia="仿宋_GB2312"/>
          <w:sz w:val="32"/>
          <w:szCs w:val="32"/>
        </w:rPr>
      </w:pPr>
      <w:r w:rsidRPr="00696F34">
        <w:rPr>
          <w:rFonts w:eastAsia="仿宋_GB2312"/>
          <w:sz w:val="32"/>
          <w:szCs w:val="32"/>
        </w:rPr>
        <w:t xml:space="preserve">5.7.2 </w:t>
      </w:r>
      <w:r w:rsidRPr="00696F34">
        <w:rPr>
          <w:rFonts w:eastAsia="仿宋_GB2312" w:hint="eastAsia"/>
          <w:sz w:val="32"/>
          <w:szCs w:val="32"/>
        </w:rPr>
        <w:t>灭菌工艺研究</w:t>
      </w:r>
    </w:p>
    <w:p w14:paraId="600438F3" w14:textId="77777777" w:rsidR="00B17835" w:rsidRPr="00696F34" w:rsidRDefault="001A6881">
      <w:pPr>
        <w:spacing w:line="520" w:lineRule="exact"/>
        <w:ind w:firstLineChars="200" w:firstLine="640"/>
        <w:rPr>
          <w:rFonts w:eastAsia="仿宋_GB2312"/>
          <w:sz w:val="32"/>
          <w:szCs w:val="32"/>
        </w:rPr>
      </w:pPr>
      <w:r w:rsidRPr="00696F34">
        <w:rPr>
          <w:rFonts w:eastAsia="仿宋_GB2312" w:hint="eastAsia"/>
          <w:sz w:val="32"/>
          <w:szCs w:val="32"/>
        </w:rPr>
        <w:t>该类产品一般为灭菌包装交付，无菌保证水平（</w:t>
      </w:r>
      <w:r w:rsidRPr="00696F34">
        <w:rPr>
          <w:rFonts w:eastAsia="仿宋_GB2312"/>
          <w:sz w:val="32"/>
          <w:szCs w:val="32"/>
        </w:rPr>
        <w:t>SAL</w:t>
      </w:r>
      <w:r w:rsidRPr="00696F34">
        <w:rPr>
          <w:rFonts w:eastAsia="仿宋_GB2312" w:hint="eastAsia"/>
          <w:sz w:val="32"/>
          <w:szCs w:val="32"/>
        </w:rPr>
        <w:t>）需达到</w:t>
      </w:r>
      <w:r w:rsidRPr="00696F34">
        <w:rPr>
          <w:rFonts w:eastAsia="仿宋_GB2312"/>
          <w:sz w:val="32"/>
          <w:szCs w:val="32"/>
        </w:rPr>
        <w:t>10-6</w:t>
      </w:r>
      <w:r w:rsidRPr="00696F34">
        <w:rPr>
          <w:rFonts w:eastAsia="仿宋_GB2312" w:hint="eastAsia"/>
          <w:sz w:val="32"/>
          <w:szCs w:val="32"/>
        </w:rPr>
        <w:t>。需描述用于保证产品无菌的质量保证体系，明确灭菌工艺（方法和参数）和无菌保证水平（</w:t>
      </w:r>
      <w:r w:rsidRPr="00696F34">
        <w:rPr>
          <w:rFonts w:eastAsia="仿宋_GB2312"/>
          <w:sz w:val="32"/>
          <w:szCs w:val="32"/>
        </w:rPr>
        <w:t>SAL</w:t>
      </w:r>
      <w:r w:rsidRPr="00696F34">
        <w:rPr>
          <w:rFonts w:eastAsia="仿宋_GB2312" w:hint="eastAsia"/>
          <w:sz w:val="32"/>
          <w:szCs w:val="32"/>
        </w:rPr>
        <w:t>），提供灭菌工艺验证报告。需提供灭菌方法对相关产品的适用性研究论证。</w:t>
      </w:r>
    </w:p>
    <w:p w14:paraId="28FAB98E" w14:textId="77777777" w:rsidR="00B17835" w:rsidRPr="00696F34" w:rsidRDefault="001A6881">
      <w:pPr>
        <w:spacing w:line="520" w:lineRule="exact"/>
        <w:ind w:firstLineChars="200" w:firstLine="640"/>
        <w:rPr>
          <w:rFonts w:eastAsia="仿宋_GB2312"/>
          <w:sz w:val="32"/>
          <w:szCs w:val="32"/>
        </w:rPr>
      </w:pPr>
      <w:r w:rsidRPr="00696F34">
        <w:rPr>
          <w:rFonts w:eastAsia="仿宋_GB2312" w:hint="eastAsia"/>
          <w:sz w:val="32"/>
          <w:szCs w:val="32"/>
        </w:rPr>
        <w:t>常见的灭菌方法包括环氧乙烷灭菌和辐照灭菌。对于经环氧乙烷灭菌的产品，需提供灭菌结果确认和过程控制报告，具体可参照</w:t>
      </w:r>
      <w:r w:rsidRPr="00696F34">
        <w:rPr>
          <w:rFonts w:eastAsia="仿宋_GB2312"/>
          <w:sz w:val="32"/>
          <w:szCs w:val="32"/>
        </w:rPr>
        <w:t>GB 18279</w:t>
      </w:r>
      <w:r w:rsidRPr="00696F34">
        <w:rPr>
          <w:rFonts w:eastAsia="仿宋_GB2312" w:hint="eastAsia"/>
          <w:sz w:val="32"/>
          <w:szCs w:val="32"/>
        </w:rPr>
        <w:t>系列标准。对于经辐照灭菌的产品，需明确射线种类、辐照剂量及相关的验证报告。</w:t>
      </w:r>
      <w:proofErr w:type="gramStart"/>
      <w:r w:rsidRPr="00696F34">
        <w:rPr>
          <w:rFonts w:eastAsia="仿宋_GB2312" w:hint="eastAsia"/>
          <w:sz w:val="32"/>
          <w:szCs w:val="32"/>
        </w:rPr>
        <w:t>需评价</w:t>
      </w:r>
      <w:proofErr w:type="gramEnd"/>
      <w:r w:rsidRPr="00696F34">
        <w:rPr>
          <w:rFonts w:eastAsia="仿宋_GB2312" w:hint="eastAsia"/>
          <w:sz w:val="32"/>
          <w:szCs w:val="32"/>
        </w:rPr>
        <w:t>灭菌方法（包括不同辐照源）对于产品性能的影响，并提供验证性能的确定依据、验证方案及报告以及接受指标的确定依据，具体可参照</w:t>
      </w:r>
      <w:r w:rsidRPr="00696F34">
        <w:rPr>
          <w:rFonts w:eastAsia="仿宋_GB2312"/>
          <w:sz w:val="32"/>
          <w:szCs w:val="32"/>
        </w:rPr>
        <w:t>GB 18280</w:t>
      </w:r>
      <w:r w:rsidRPr="00696F34">
        <w:rPr>
          <w:rFonts w:eastAsia="仿宋_GB2312" w:hint="eastAsia"/>
          <w:sz w:val="32"/>
          <w:szCs w:val="32"/>
        </w:rPr>
        <w:t>系列标准。</w:t>
      </w:r>
    </w:p>
    <w:p w14:paraId="365CC6CB" w14:textId="78DA677B" w:rsidR="00B17835" w:rsidRDefault="00051685">
      <w:pPr>
        <w:spacing w:line="520" w:lineRule="exact"/>
        <w:ind w:firstLineChars="200" w:firstLine="640"/>
        <w:rPr>
          <w:rFonts w:eastAsia="仿宋_GB2312"/>
          <w:sz w:val="32"/>
          <w:szCs w:val="32"/>
        </w:rPr>
      </w:pPr>
      <w:r>
        <w:rPr>
          <w:rFonts w:eastAsia="仿宋_GB2312" w:hint="eastAsia"/>
          <w:sz w:val="32"/>
          <w:szCs w:val="32"/>
        </w:rPr>
        <w:t>对于采用其他方法，如干热灭菌，过滤除菌等</w:t>
      </w:r>
      <w:r w:rsidR="001A6881" w:rsidRPr="00696F34">
        <w:rPr>
          <w:rFonts w:eastAsia="仿宋_GB2312" w:hint="eastAsia"/>
          <w:sz w:val="32"/>
          <w:szCs w:val="32"/>
        </w:rPr>
        <w:t>，申请人需详细论述选择相关方法的理由和依据，并提供相应的研究验证资料。如采用干热灭菌，可参考</w:t>
      </w:r>
      <w:r w:rsidR="001A6881" w:rsidRPr="00696F34">
        <w:rPr>
          <w:rFonts w:eastAsia="仿宋_GB2312"/>
          <w:sz w:val="32"/>
          <w:szCs w:val="32"/>
        </w:rPr>
        <w:t>YY</w:t>
      </w:r>
      <w:r w:rsidR="00042474">
        <w:rPr>
          <w:rFonts w:eastAsia="仿宋_GB2312"/>
          <w:sz w:val="32"/>
          <w:szCs w:val="32"/>
        </w:rPr>
        <w:t>/</w:t>
      </w:r>
      <w:r w:rsidR="001A6881" w:rsidRPr="00696F34">
        <w:rPr>
          <w:rFonts w:eastAsia="仿宋_GB2312"/>
          <w:sz w:val="32"/>
          <w:szCs w:val="32"/>
        </w:rPr>
        <w:t>T 1276</w:t>
      </w:r>
      <w:r w:rsidR="001A6881" w:rsidRPr="00696F34">
        <w:rPr>
          <w:rFonts w:eastAsia="仿宋_GB2312" w:hint="eastAsia"/>
          <w:sz w:val="32"/>
          <w:szCs w:val="32"/>
        </w:rPr>
        <w:t>；关于材料的灭菌适用性研究，可参考</w:t>
      </w:r>
      <w:r w:rsidR="001A6881" w:rsidRPr="00696F34">
        <w:rPr>
          <w:rFonts w:eastAsia="仿宋_GB2312"/>
          <w:sz w:val="32"/>
          <w:szCs w:val="32"/>
        </w:rPr>
        <w:t>YY</w:t>
      </w:r>
      <w:r w:rsidR="00042474">
        <w:rPr>
          <w:rFonts w:eastAsia="仿宋_GB2312"/>
          <w:sz w:val="32"/>
          <w:szCs w:val="32"/>
        </w:rPr>
        <w:t>/</w:t>
      </w:r>
      <w:r w:rsidR="001A6881" w:rsidRPr="00696F34">
        <w:rPr>
          <w:rFonts w:eastAsia="仿宋_GB2312"/>
          <w:sz w:val="32"/>
          <w:szCs w:val="32"/>
        </w:rPr>
        <w:t>T 1263</w:t>
      </w:r>
      <w:r w:rsidR="001A6881" w:rsidRPr="00696F34">
        <w:rPr>
          <w:rFonts w:eastAsia="仿宋_GB2312" w:hint="eastAsia"/>
          <w:sz w:val="32"/>
          <w:szCs w:val="32"/>
        </w:rPr>
        <w:t>。</w:t>
      </w:r>
    </w:p>
    <w:p w14:paraId="75B7C4F6" w14:textId="77777777" w:rsidR="00B17835" w:rsidRPr="00696F34" w:rsidRDefault="001A6881" w:rsidP="00696F34">
      <w:pPr>
        <w:spacing w:line="520" w:lineRule="exact"/>
        <w:ind w:firstLineChars="200" w:firstLine="640"/>
        <w:rPr>
          <w:rFonts w:eastAsia="仿宋_GB2312"/>
          <w:sz w:val="32"/>
          <w:szCs w:val="32"/>
        </w:rPr>
      </w:pPr>
      <w:r>
        <w:rPr>
          <w:rFonts w:eastAsia="仿宋_GB2312" w:hint="eastAsia"/>
          <w:sz w:val="32"/>
          <w:szCs w:val="32"/>
        </w:rPr>
        <w:t>5</w:t>
      </w:r>
      <w:r w:rsidRPr="00696F34">
        <w:rPr>
          <w:rFonts w:eastAsia="仿宋_GB2312"/>
          <w:sz w:val="32"/>
          <w:szCs w:val="32"/>
        </w:rPr>
        <w:t>.</w:t>
      </w:r>
      <w:r>
        <w:rPr>
          <w:rFonts w:eastAsia="仿宋_GB2312" w:hint="eastAsia"/>
          <w:sz w:val="32"/>
          <w:szCs w:val="32"/>
        </w:rPr>
        <w:t>7</w:t>
      </w:r>
      <w:r w:rsidRPr="00696F34">
        <w:rPr>
          <w:rFonts w:eastAsia="仿宋_GB2312"/>
          <w:sz w:val="32"/>
          <w:szCs w:val="32"/>
        </w:rPr>
        <w:t>.3 EO</w:t>
      </w:r>
      <w:r w:rsidRPr="00696F34">
        <w:rPr>
          <w:rFonts w:eastAsia="仿宋_GB2312" w:hint="eastAsia"/>
          <w:sz w:val="32"/>
          <w:szCs w:val="32"/>
        </w:rPr>
        <w:t>残留研究</w:t>
      </w:r>
    </w:p>
    <w:p w14:paraId="75EA7420" w14:textId="77777777" w:rsidR="00B17835" w:rsidRPr="00696F34" w:rsidRDefault="001A6881" w:rsidP="00696F34">
      <w:pPr>
        <w:spacing w:line="520" w:lineRule="exact"/>
        <w:ind w:firstLineChars="200" w:firstLine="640"/>
        <w:rPr>
          <w:rFonts w:eastAsia="仿宋_GB2312"/>
          <w:sz w:val="32"/>
          <w:szCs w:val="32"/>
        </w:rPr>
      </w:pPr>
      <w:r w:rsidRPr="00696F34">
        <w:rPr>
          <w:rFonts w:eastAsia="仿宋_GB2312" w:hint="eastAsia"/>
          <w:sz w:val="32"/>
          <w:szCs w:val="32"/>
        </w:rPr>
        <w:t>若灭菌使用的方法涉及出现残留，需明确残留物信息及采取的处理具体方法和条件，并提供研究资料。对于经环氧乙烷灭菌的产品，需提供灭菌结果确认和过程控制报告，具体可参照</w:t>
      </w:r>
      <w:r w:rsidRPr="00696F34">
        <w:rPr>
          <w:rFonts w:eastAsia="仿宋_GB2312"/>
          <w:sz w:val="32"/>
          <w:szCs w:val="32"/>
        </w:rPr>
        <w:t>GB 18279</w:t>
      </w:r>
      <w:r w:rsidRPr="00696F34">
        <w:rPr>
          <w:rFonts w:eastAsia="仿宋_GB2312" w:hint="eastAsia"/>
          <w:sz w:val="32"/>
          <w:szCs w:val="32"/>
        </w:rPr>
        <w:t>系列标准。对于环氧乙烷灭菌残留量的可耐受接触限量，建议参考</w:t>
      </w:r>
      <w:r w:rsidRPr="00696F34">
        <w:rPr>
          <w:rFonts w:eastAsia="仿宋_GB2312"/>
          <w:sz w:val="32"/>
          <w:szCs w:val="32"/>
        </w:rPr>
        <w:t>GB/T 16886.7</w:t>
      </w:r>
      <w:r w:rsidRPr="00696F34">
        <w:rPr>
          <w:rFonts w:eastAsia="仿宋_GB2312" w:hint="eastAsia"/>
          <w:sz w:val="32"/>
          <w:szCs w:val="32"/>
        </w:rPr>
        <w:t>中的相关要求。</w:t>
      </w:r>
    </w:p>
    <w:p w14:paraId="295C1895" w14:textId="77777777" w:rsidR="00B17835" w:rsidRDefault="001A6881">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8</w:t>
      </w:r>
      <w:r>
        <w:rPr>
          <w:rFonts w:eastAsia="仿宋_GB2312" w:hint="eastAsia"/>
          <w:sz w:val="32"/>
          <w:szCs w:val="32"/>
        </w:rPr>
        <w:t>稳定性研究</w:t>
      </w:r>
    </w:p>
    <w:p w14:paraId="161C9E2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注册申请人需参照《无源植入性医疗器械稳定性研究指导原</w:t>
      </w:r>
      <w:r>
        <w:rPr>
          <w:rFonts w:eastAsia="仿宋_GB2312" w:hint="eastAsia"/>
          <w:sz w:val="32"/>
          <w:szCs w:val="32"/>
        </w:rPr>
        <w:lastRenderedPageBreak/>
        <w:t>则（</w:t>
      </w:r>
      <w:r>
        <w:rPr>
          <w:rFonts w:eastAsia="仿宋_GB2312" w:hint="eastAsia"/>
          <w:sz w:val="32"/>
          <w:szCs w:val="32"/>
        </w:rPr>
        <w:t>2022</w:t>
      </w:r>
      <w:r>
        <w:rPr>
          <w:rFonts w:eastAsia="仿宋_GB2312" w:hint="eastAsia"/>
          <w:sz w:val="32"/>
          <w:szCs w:val="32"/>
        </w:rPr>
        <w:t>年修订版）》提供产品稳定性研究资料。</w:t>
      </w:r>
    </w:p>
    <w:p w14:paraId="34D538E3" w14:textId="77777777" w:rsidR="00B17835" w:rsidRDefault="001A6881">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8</w:t>
      </w:r>
      <w:r>
        <w:rPr>
          <w:rFonts w:eastAsia="仿宋_GB2312" w:hint="eastAsia"/>
          <w:sz w:val="32"/>
          <w:szCs w:val="32"/>
        </w:rPr>
        <w:t>.1</w:t>
      </w:r>
      <w:r>
        <w:rPr>
          <w:rFonts w:eastAsia="仿宋_GB2312" w:hint="eastAsia"/>
          <w:sz w:val="32"/>
          <w:szCs w:val="32"/>
        </w:rPr>
        <w:t>货架有效期</w:t>
      </w:r>
    </w:p>
    <w:p w14:paraId="4275C1D5" w14:textId="081E36FF" w:rsidR="00B17835" w:rsidRDefault="001A6881">
      <w:pPr>
        <w:spacing w:line="520" w:lineRule="exact"/>
        <w:ind w:firstLineChars="200" w:firstLine="640"/>
        <w:rPr>
          <w:rFonts w:eastAsia="仿宋_GB2312"/>
          <w:sz w:val="32"/>
          <w:szCs w:val="32"/>
        </w:rPr>
      </w:pPr>
      <w:r>
        <w:rPr>
          <w:rFonts w:eastAsia="仿宋_GB2312" w:hint="eastAsia"/>
          <w:sz w:val="32"/>
          <w:szCs w:val="32"/>
        </w:rPr>
        <w:t>货架有效期的验证试验通常包括加速稳定性试验、实时稳定性试验，需根据医疗器械产品特性选择验证方式。无论</w:t>
      </w:r>
      <w:r w:rsidR="00051685">
        <w:rPr>
          <w:rFonts w:eastAsia="仿宋_GB2312" w:hint="eastAsia"/>
          <w:sz w:val="32"/>
          <w:szCs w:val="32"/>
        </w:rPr>
        <w:t>是</w:t>
      </w:r>
      <w:r>
        <w:rPr>
          <w:rFonts w:eastAsia="仿宋_GB2312" w:hint="eastAsia"/>
          <w:sz w:val="32"/>
          <w:szCs w:val="32"/>
        </w:rPr>
        <w:t>加速稳定性试验还是实时稳定性试验，注册申请人均需在试验方案中设定测试项目、测试方法及判定标准。实时稳定性试验结果是验证产品货架有效期的直接证据。当加速稳定性试验结果与其不一致时，应以实时稳定性试验结果为准。如采用加速老化，需要论证老化温度对产品性能的影响。</w:t>
      </w:r>
    </w:p>
    <w:p w14:paraId="51493B1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器械本身性能稳定性需关注老化前后产品关键物理性能（如抗压强度、可注射性能、平均</w:t>
      </w:r>
      <w:proofErr w:type="gramStart"/>
      <w:r>
        <w:rPr>
          <w:rFonts w:eastAsia="仿宋_GB2312" w:hint="eastAsia"/>
          <w:sz w:val="32"/>
          <w:szCs w:val="32"/>
        </w:rPr>
        <w:t>推挤力</w:t>
      </w:r>
      <w:proofErr w:type="gramEnd"/>
      <w:r>
        <w:rPr>
          <w:rFonts w:eastAsia="仿宋_GB2312" w:hint="eastAsia"/>
          <w:sz w:val="32"/>
          <w:szCs w:val="32"/>
        </w:rPr>
        <w:t>等）和材料化学性能（如粒径分布、晶相分析、凝固时间等）等。</w:t>
      </w:r>
    </w:p>
    <w:p w14:paraId="2CB6E26D" w14:textId="77777777" w:rsidR="00B17835" w:rsidRDefault="001A6881">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8</w:t>
      </w:r>
      <w:r>
        <w:rPr>
          <w:rFonts w:eastAsia="仿宋_GB2312" w:hint="eastAsia"/>
          <w:sz w:val="32"/>
          <w:szCs w:val="32"/>
        </w:rPr>
        <w:t>.2</w:t>
      </w:r>
      <w:r>
        <w:rPr>
          <w:rFonts w:eastAsia="仿宋_GB2312" w:hint="eastAsia"/>
          <w:sz w:val="32"/>
          <w:szCs w:val="32"/>
        </w:rPr>
        <w:t>运输稳定性</w:t>
      </w:r>
    </w:p>
    <w:p w14:paraId="369A7912"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需提交运输稳定性验证资料，证明在规定的运输条件下，运输过程中环境条件（例如：震动、振动、温度和湿度的波动）不会对医疗器械和包装的特性和性能，包括完整性、清洁度和无菌性，造成不利影响。包装性能研究参考</w:t>
      </w:r>
      <w:r>
        <w:rPr>
          <w:rFonts w:eastAsia="仿宋_GB2312" w:hint="eastAsia"/>
          <w:sz w:val="32"/>
          <w:szCs w:val="32"/>
        </w:rPr>
        <w:t>GB/T 19633.1</w:t>
      </w:r>
      <w:r>
        <w:rPr>
          <w:rFonts w:eastAsia="仿宋_GB2312" w:hint="eastAsia"/>
          <w:sz w:val="32"/>
          <w:szCs w:val="32"/>
        </w:rPr>
        <w:t>、</w:t>
      </w:r>
      <w:r>
        <w:rPr>
          <w:rFonts w:eastAsia="仿宋_GB2312" w:hint="eastAsia"/>
          <w:sz w:val="32"/>
          <w:szCs w:val="32"/>
        </w:rPr>
        <w:t>GB/T 19633.2</w:t>
      </w:r>
      <w:r>
        <w:rPr>
          <w:rFonts w:eastAsia="仿宋_GB2312" w:hint="eastAsia"/>
          <w:sz w:val="32"/>
          <w:szCs w:val="32"/>
        </w:rPr>
        <w:t>、</w:t>
      </w:r>
      <w:r>
        <w:rPr>
          <w:rFonts w:eastAsia="仿宋_GB2312" w:hint="eastAsia"/>
          <w:sz w:val="32"/>
          <w:szCs w:val="32"/>
        </w:rPr>
        <w:t>ISO 11607</w:t>
      </w:r>
      <w:r>
        <w:rPr>
          <w:rFonts w:eastAsia="仿宋_GB2312" w:hint="eastAsia"/>
          <w:sz w:val="32"/>
          <w:szCs w:val="32"/>
        </w:rPr>
        <w:t>、</w:t>
      </w:r>
      <w:r>
        <w:rPr>
          <w:rFonts w:eastAsia="仿宋_GB2312" w:hint="eastAsia"/>
          <w:sz w:val="32"/>
          <w:szCs w:val="32"/>
        </w:rPr>
        <w:t>ASTM F2475</w:t>
      </w:r>
      <w:r>
        <w:rPr>
          <w:rFonts w:eastAsia="仿宋_GB2312" w:hint="eastAsia"/>
          <w:sz w:val="32"/>
          <w:szCs w:val="32"/>
        </w:rPr>
        <w:t>、</w:t>
      </w:r>
      <w:r>
        <w:rPr>
          <w:rFonts w:eastAsia="仿宋_GB2312" w:hint="eastAsia"/>
          <w:sz w:val="32"/>
          <w:szCs w:val="32"/>
        </w:rPr>
        <w:t>ASTM D4169</w:t>
      </w:r>
      <w:r>
        <w:rPr>
          <w:rFonts w:eastAsia="仿宋_GB2312" w:hint="eastAsia"/>
          <w:sz w:val="32"/>
          <w:szCs w:val="32"/>
        </w:rPr>
        <w:t>等。可采用包装封口完整性检测用于替代无菌检测。包装完整性检测项目包括染色液穿透法测定透气包装的密封泄漏试验、目力检测和气泡法测定软性包装泄漏试验等；包装强度测试项目包括软性屏障材料密封强度试验、无约束包装抗内压破坏试验等。</w:t>
      </w:r>
    </w:p>
    <w:p w14:paraId="3B978259" w14:textId="77777777" w:rsidR="00B17835" w:rsidRDefault="001A6881">
      <w:pPr>
        <w:spacing w:line="520" w:lineRule="exact"/>
        <w:ind w:firstLineChars="200" w:firstLine="640"/>
        <w:rPr>
          <w:rFonts w:eastAsia="楷体_GB2312"/>
          <w:color w:val="000000"/>
          <w:sz w:val="32"/>
          <w:szCs w:val="32"/>
        </w:rPr>
      </w:pPr>
      <w:r>
        <w:rPr>
          <w:rFonts w:eastAsia="楷体_GB2312" w:hint="eastAsia"/>
          <w:color w:val="000000"/>
          <w:sz w:val="32"/>
          <w:szCs w:val="32"/>
        </w:rPr>
        <w:t>（四）临床评价资料</w:t>
      </w:r>
    </w:p>
    <w:p w14:paraId="7FC2EE7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钙磷</w:t>
      </w:r>
      <w:r>
        <w:rPr>
          <w:rFonts w:eastAsia="仿宋_GB2312" w:hint="eastAsia"/>
          <w:sz w:val="32"/>
          <w:szCs w:val="32"/>
        </w:rPr>
        <w:t>/</w:t>
      </w:r>
      <w:r>
        <w:rPr>
          <w:rFonts w:eastAsia="仿宋_GB2312" w:hint="eastAsia"/>
          <w:sz w:val="32"/>
          <w:szCs w:val="32"/>
        </w:rPr>
        <w:t>硅类骨填充材料产品未列入《免于临床评价医疗器械目录》，可按照《医疗器械临床评价技术指导原则》的要求提交</w:t>
      </w:r>
      <w:r>
        <w:rPr>
          <w:rFonts w:eastAsia="仿宋_GB2312" w:hint="eastAsia"/>
          <w:sz w:val="32"/>
          <w:szCs w:val="32"/>
        </w:rPr>
        <w:lastRenderedPageBreak/>
        <w:t>临床评价资料。</w:t>
      </w:r>
    </w:p>
    <w:p w14:paraId="6DC99637"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同品种临床评价</w:t>
      </w:r>
    </w:p>
    <w:p w14:paraId="63F1A76F"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1040C23A"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临床评价需对产品的适用范围（如适用人群、使用部位、适应证）、禁忌证、使用方法（如打压植骨、注射植骨、需与血液配合使用、与内固定和</w:t>
      </w:r>
      <w:r>
        <w:rPr>
          <w:rFonts w:eastAsia="仿宋_GB2312" w:hint="eastAsia"/>
          <w:sz w:val="32"/>
          <w:szCs w:val="32"/>
        </w:rPr>
        <w:t>/</w:t>
      </w:r>
      <w:r>
        <w:rPr>
          <w:rFonts w:eastAsia="仿宋_GB2312" w:hint="eastAsia"/>
          <w:sz w:val="32"/>
          <w:szCs w:val="32"/>
        </w:rPr>
        <w:t>或外固定器</w:t>
      </w:r>
      <w:proofErr w:type="gramStart"/>
      <w:r>
        <w:rPr>
          <w:rFonts w:eastAsia="仿宋_GB2312" w:hint="eastAsia"/>
          <w:sz w:val="32"/>
          <w:szCs w:val="32"/>
        </w:rPr>
        <w:t>械</w:t>
      </w:r>
      <w:proofErr w:type="gramEnd"/>
      <w:r>
        <w:rPr>
          <w:rFonts w:eastAsia="仿宋_GB2312" w:hint="eastAsia"/>
          <w:sz w:val="32"/>
          <w:szCs w:val="32"/>
        </w:rPr>
        <w:t>配合使用等）、使用注意事项（如可填充的最大缺损面积</w:t>
      </w:r>
      <w:r>
        <w:rPr>
          <w:rFonts w:eastAsia="仿宋_GB2312" w:hint="eastAsia"/>
          <w:sz w:val="32"/>
          <w:szCs w:val="32"/>
        </w:rPr>
        <w:t>/</w:t>
      </w:r>
      <w:r>
        <w:rPr>
          <w:rFonts w:eastAsia="仿宋_GB2312" w:hint="eastAsia"/>
          <w:sz w:val="32"/>
          <w:szCs w:val="32"/>
        </w:rPr>
        <w:t>体积等）、警告等临床使用信息进行确认。钙磷</w:t>
      </w:r>
      <w:r>
        <w:rPr>
          <w:rFonts w:eastAsia="仿宋_GB2312" w:hint="eastAsia"/>
          <w:sz w:val="32"/>
          <w:szCs w:val="32"/>
        </w:rPr>
        <w:t>/</w:t>
      </w:r>
      <w:r>
        <w:rPr>
          <w:rFonts w:eastAsia="仿宋_GB2312" w:hint="eastAsia"/>
          <w:sz w:val="32"/>
          <w:szCs w:val="32"/>
        </w:rPr>
        <w:t>硅类骨填充材料适用于骨科创伤以及手术引起的不影响骨结构稳定性的骨缺损的填充时，主要包括两种情形，即适用于脊柱椎间及椎体植骨、四肢骨缺损填充两种情形，上述两种情形需分别开展相应评价。</w:t>
      </w:r>
    </w:p>
    <w:p w14:paraId="3CD90C81" w14:textId="77777777" w:rsidR="00B17835" w:rsidRDefault="001A6881">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临床试验</w:t>
      </w:r>
    </w:p>
    <w:p w14:paraId="422535EC"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28926C49"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申请人如有境外临床试验数据，可参照《接受医疗器械境外临床试验数据技术指导原则》的要求提交相关资料。</w:t>
      </w:r>
    </w:p>
    <w:p w14:paraId="42D3799E" w14:textId="77777777" w:rsidR="00B17835" w:rsidRDefault="001A6881">
      <w:pPr>
        <w:spacing w:line="520" w:lineRule="exact"/>
        <w:ind w:firstLineChars="200" w:firstLine="640"/>
        <w:rPr>
          <w:rFonts w:eastAsia="楷体_GB2312"/>
          <w:color w:val="000000"/>
          <w:sz w:val="32"/>
          <w:szCs w:val="32"/>
        </w:rPr>
      </w:pPr>
      <w:r>
        <w:rPr>
          <w:rFonts w:eastAsia="楷体_GB2312" w:hint="eastAsia"/>
          <w:color w:val="000000"/>
          <w:sz w:val="32"/>
          <w:szCs w:val="32"/>
        </w:rPr>
        <w:t>（五）产品说明书和标签样稿</w:t>
      </w:r>
    </w:p>
    <w:p w14:paraId="188D432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产品说明书和标签需符合《医疗器械说明书和标签管理规定》要求，还需符合</w:t>
      </w:r>
      <w:r>
        <w:rPr>
          <w:rFonts w:eastAsia="仿宋_GB2312" w:hint="eastAsia"/>
          <w:sz w:val="32"/>
          <w:szCs w:val="32"/>
        </w:rPr>
        <w:t>YY/T 0466.1</w:t>
      </w:r>
      <w:r>
        <w:rPr>
          <w:rFonts w:eastAsia="仿宋_GB2312" w:hint="eastAsia"/>
          <w:sz w:val="32"/>
          <w:szCs w:val="32"/>
        </w:rPr>
        <w:t>等相关国家标准、行业标准的要求。</w:t>
      </w:r>
      <w:r>
        <w:rPr>
          <w:rFonts w:eastAsia="仿宋_GB2312" w:hint="eastAsia"/>
          <w:sz w:val="32"/>
          <w:szCs w:val="32"/>
        </w:rPr>
        <w:lastRenderedPageBreak/>
        <w:t>说明书、标签的内容应当真实、完整、科学，并与产品特性相一致，文字内容必须使用中文，可以附加其他语种。说明书、标签中的文字、符号、图形、表格、数据等需相互一致，并符合相关标准和规范要求。</w:t>
      </w:r>
    </w:p>
    <w:p w14:paraId="7E54E190"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说明书中涉及注册证载明内容的，应与注册证及其附件保持一致。同时，需告知使用者所有使用过程中相关的剩余风险。</w:t>
      </w:r>
    </w:p>
    <w:p w14:paraId="44C0CAF1"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若通过临床试验路径进行临床评价，上述信息应综合考虑临床试验的入选标准、排除标准、试验结果和不良反应等因素后制定。产品说明书中产品组成、结构、性能、使用期限等信息应与研究资料一致。</w:t>
      </w:r>
    </w:p>
    <w:p w14:paraId="3336586B" w14:textId="45ADBD5D" w:rsidR="00B17835" w:rsidRDefault="001A6881">
      <w:pPr>
        <w:spacing w:line="520" w:lineRule="exact"/>
        <w:ind w:firstLineChars="200" w:firstLine="640"/>
        <w:rPr>
          <w:rFonts w:eastAsia="仿宋_GB2312"/>
          <w:sz w:val="32"/>
          <w:szCs w:val="32"/>
        </w:rPr>
      </w:pPr>
      <w:r>
        <w:rPr>
          <w:rFonts w:eastAsia="仿宋_GB2312" w:hint="eastAsia"/>
          <w:sz w:val="32"/>
          <w:szCs w:val="32"/>
        </w:rPr>
        <w:t>说明书中需提供申报产品在各种使用情形下与内固定和</w:t>
      </w:r>
      <w:r>
        <w:rPr>
          <w:rFonts w:eastAsia="仿宋_GB2312" w:hint="eastAsia"/>
          <w:sz w:val="32"/>
          <w:szCs w:val="32"/>
        </w:rPr>
        <w:t>/</w:t>
      </w:r>
      <w:r>
        <w:rPr>
          <w:rFonts w:eastAsia="仿宋_GB2312" w:hint="eastAsia"/>
          <w:sz w:val="32"/>
          <w:szCs w:val="32"/>
        </w:rPr>
        <w:t>或外固定装置联合使用的指导。当产品在临床使用时需与其他产品配合，应在说明书</w:t>
      </w:r>
      <w:r w:rsidR="00051685">
        <w:rPr>
          <w:rFonts w:eastAsia="仿宋_GB2312" w:hint="eastAsia"/>
          <w:sz w:val="32"/>
          <w:szCs w:val="32"/>
        </w:rPr>
        <w:t>中</w:t>
      </w:r>
      <w:r>
        <w:rPr>
          <w:rFonts w:eastAsia="仿宋_GB2312" w:hint="eastAsia"/>
          <w:sz w:val="32"/>
          <w:szCs w:val="32"/>
        </w:rPr>
        <w:t>予以明确，研究资料中需有可配合使用的支持性资料。说明书中需提示，不应过度填充或注射材料，以避免在填充部位产生张力。对于块状填充材料，说明书中需说明手术时是否可以进行切割，以及切割时保护产品多孔结构的方法。对于待混合类骨水泥类填充材料，说明书中需明确产品的工作时间和凝固时间。</w:t>
      </w:r>
    </w:p>
    <w:p w14:paraId="46EAC4AE" w14:textId="77777777" w:rsidR="00B17835" w:rsidRDefault="001A6881">
      <w:pPr>
        <w:spacing w:line="520" w:lineRule="exact"/>
        <w:ind w:firstLineChars="200" w:firstLine="640"/>
        <w:rPr>
          <w:rFonts w:eastAsia="楷体_GB2312"/>
          <w:color w:val="000000"/>
          <w:sz w:val="32"/>
          <w:szCs w:val="32"/>
        </w:rPr>
      </w:pPr>
      <w:r>
        <w:rPr>
          <w:rFonts w:eastAsia="楷体_GB2312" w:hint="eastAsia"/>
          <w:color w:val="000000"/>
          <w:sz w:val="32"/>
          <w:szCs w:val="32"/>
        </w:rPr>
        <w:t>（六）质量管理体系文件</w:t>
      </w:r>
    </w:p>
    <w:p w14:paraId="45C0346B" w14:textId="77777777" w:rsidR="00B17835" w:rsidRDefault="001A6881">
      <w:pPr>
        <w:spacing w:line="520" w:lineRule="exact"/>
        <w:ind w:firstLineChars="200" w:firstLine="640"/>
        <w:jc w:val="left"/>
        <w:outlineLvl w:val="0"/>
        <w:rPr>
          <w:rFonts w:eastAsia="仿宋_GB2312"/>
          <w:sz w:val="32"/>
          <w:szCs w:val="32"/>
        </w:rPr>
      </w:pPr>
      <w:r>
        <w:rPr>
          <w:rFonts w:eastAsia="仿宋_GB2312" w:hint="eastAsia"/>
          <w:sz w:val="32"/>
          <w:szCs w:val="32"/>
        </w:rPr>
        <w:t>按照《关于公布医疗器械注册申报资料要求和批准证明文件格式的公告》提交相关文件。</w:t>
      </w:r>
    </w:p>
    <w:p w14:paraId="35AF00BF" w14:textId="77777777" w:rsidR="00B17835" w:rsidRDefault="001A6881">
      <w:pPr>
        <w:spacing w:line="520" w:lineRule="exact"/>
        <w:ind w:firstLineChars="200" w:firstLine="640"/>
        <w:jc w:val="left"/>
        <w:outlineLvl w:val="0"/>
        <w:rPr>
          <w:rFonts w:eastAsia="黑体"/>
        </w:rPr>
      </w:pPr>
      <w:r>
        <w:rPr>
          <w:rFonts w:eastAsia="黑体" w:hint="eastAsia"/>
          <w:sz w:val="32"/>
          <w:szCs w:val="32"/>
        </w:rPr>
        <w:t>三、参考文献</w:t>
      </w:r>
    </w:p>
    <w:p w14:paraId="15BC6A65" w14:textId="37E7853E"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[1]</w:t>
      </w:r>
      <w:r w:rsidR="00BF73DD">
        <w:rPr>
          <w:rFonts w:eastAsia="仿宋_GB2312"/>
          <w:sz w:val="32"/>
          <w:szCs w:val="32"/>
        </w:rPr>
        <w:t xml:space="preserve"> </w:t>
      </w:r>
      <w:r>
        <w:rPr>
          <w:rFonts w:eastAsia="仿宋_GB2312" w:hint="eastAsia"/>
          <w:sz w:val="32"/>
          <w:szCs w:val="32"/>
        </w:rPr>
        <w:t>中华人民共和国国务院</w:t>
      </w:r>
      <w:r>
        <w:rPr>
          <w:rFonts w:eastAsia="仿宋_GB2312" w:hint="eastAsia"/>
          <w:sz w:val="32"/>
          <w:szCs w:val="32"/>
        </w:rPr>
        <w:t>.</w:t>
      </w:r>
      <w:r>
        <w:rPr>
          <w:rFonts w:eastAsia="仿宋_GB2312" w:hint="eastAsia"/>
          <w:sz w:val="32"/>
          <w:szCs w:val="32"/>
        </w:rPr>
        <w:t>医疗器械监督管理条例</w:t>
      </w:r>
      <w:r>
        <w:rPr>
          <w:rFonts w:eastAsia="仿宋_GB2312" w:hint="eastAsia"/>
          <w:sz w:val="32"/>
          <w:szCs w:val="32"/>
        </w:rPr>
        <w:t>:</w:t>
      </w:r>
      <w:r>
        <w:rPr>
          <w:rFonts w:eastAsia="仿宋_GB2312" w:hint="eastAsia"/>
          <w:sz w:val="32"/>
          <w:szCs w:val="32"/>
        </w:rPr>
        <w:t>中华人民共和国国务院令第</w:t>
      </w:r>
      <w:r>
        <w:rPr>
          <w:rFonts w:eastAsia="仿宋_GB2312" w:hint="eastAsia"/>
          <w:sz w:val="32"/>
          <w:szCs w:val="32"/>
        </w:rPr>
        <w:t>739</w:t>
      </w:r>
      <w:r>
        <w:rPr>
          <w:rFonts w:eastAsia="仿宋_GB2312" w:hint="eastAsia"/>
          <w:sz w:val="32"/>
          <w:szCs w:val="32"/>
        </w:rPr>
        <w:t>号</w:t>
      </w:r>
      <w:r>
        <w:rPr>
          <w:rFonts w:eastAsia="仿宋_GB2312" w:hint="eastAsia"/>
          <w:sz w:val="32"/>
          <w:szCs w:val="32"/>
        </w:rPr>
        <w:t>[Z].</w:t>
      </w:r>
    </w:p>
    <w:p w14:paraId="784A5158" w14:textId="6E33FEB5"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[2]</w:t>
      </w:r>
      <w:r w:rsidR="00BF73DD">
        <w:rPr>
          <w:rFonts w:eastAsia="仿宋_GB2312"/>
          <w:sz w:val="32"/>
          <w:szCs w:val="32"/>
        </w:rPr>
        <w:t xml:space="preserve"> </w:t>
      </w:r>
      <w:r>
        <w:rPr>
          <w:rFonts w:eastAsia="仿宋_GB2312" w:hint="eastAsia"/>
          <w:sz w:val="32"/>
          <w:szCs w:val="32"/>
        </w:rPr>
        <w:t>国家市场监督管理总局</w:t>
      </w:r>
      <w:r>
        <w:rPr>
          <w:rFonts w:eastAsia="仿宋_GB2312" w:hint="eastAsia"/>
          <w:sz w:val="32"/>
          <w:szCs w:val="32"/>
        </w:rPr>
        <w:t>.</w:t>
      </w:r>
      <w:r>
        <w:rPr>
          <w:rFonts w:eastAsia="仿宋_GB2312" w:hint="eastAsia"/>
          <w:sz w:val="32"/>
          <w:szCs w:val="32"/>
        </w:rPr>
        <w:t>医疗器械注册与备案管理办法</w:t>
      </w:r>
      <w:r>
        <w:rPr>
          <w:rFonts w:eastAsia="仿宋_GB2312" w:hint="eastAsia"/>
          <w:sz w:val="32"/>
          <w:szCs w:val="32"/>
        </w:rPr>
        <w:t>:</w:t>
      </w:r>
      <w:r>
        <w:rPr>
          <w:rFonts w:eastAsia="仿宋_GB2312" w:hint="eastAsia"/>
          <w:sz w:val="32"/>
          <w:szCs w:val="32"/>
        </w:rPr>
        <w:lastRenderedPageBreak/>
        <w:t>国家市场监督管理总局令第</w:t>
      </w:r>
      <w:r>
        <w:rPr>
          <w:rFonts w:eastAsia="仿宋_GB2312" w:hint="eastAsia"/>
          <w:sz w:val="32"/>
          <w:szCs w:val="32"/>
        </w:rPr>
        <w:t>47</w:t>
      </w:r>
      <w:r>
        <w:rPr>
          <w:rFonts w:eastAsia="仿宋_GB2312" w:hint="eastAsia"/>
          <w:sz w:val="32"/>
          <w:szCs w:val="32"/>
        </w:rPr>
        <w:t>号</w:t>
      </w:r>
      <w:r>
        <w:rPr>
          <w:rFonts w:eastAsia="仿宋_GB2312" w:hint="eastAsia"/>
          <w:sz w:val="32"/>
          <w:szCs w:val="32"/>
        </w:rPr>
        <w:t>[Z].</w:t>
      </w:r>
    </w:p>
    <w:p w14:paraId="05781A4A"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医疗器械注册申报资料要求和批准证明文件格式</w:t>
      </w:r>
      <w:r>
        <w:rPr>
          <w:rFonts w:eastAsia="仿宋_GB2312"/>
          <w:sz w:val="32"/>
          <w:szCs w:val="32"/>
        </w:rPr>
        <w:t>:</w:t>
      </w:r>
      <w:r>
        <w:rPr>
          <w:rFonts w:eastAsia="仿宋_GB2312"/>
          <w:sz w:val="32"/>
          <w:szCs w:val="32"/>
        </w:rPr>
        <w:t>关于公布医疗器械注册申报资料要求和批准证明文件格式的公告</w:t>
      </w:r>
      <w:r>
        <w:rPr>
          <w:rFonts w:eastAsia="仿宋_GB2312"/>
          <w:sz w:val="32"/>
          <w:szCs w:val="32"/>
        </w:rPr>
        <w:t>2021</w:t>
      </w:r>
      <w:r>
        <w:rPr>
          <w:rFonts w:eastAsia="仿宋_GB2312"/>
          <w:sz w:val="32"/>
          <w:szCs w:val="32"/>
        </w:rPr>
        <w:t>年第</w:t>
      </w:r>
      <w:r>
        <w:rPr>
          <w:rFonts w:eastAsia="仿宋_GB2312"/>
          <w:sz w:val="32"/>
          <w:szCs w:val="32"/>
        </w:rPr>
        <w:t>121</w:t>
      </w:r>
      <w:r>
        <w:rPr>
          <w:rFonts w:eastAsia="仿宋_GB2312"/>
          <w:sz w:val="32"/>
          <w:szCs w:val="32"/>
        </w:rPr>
        <w:t>号</w:t>
      </w:r>
      <w:r>
        <w:rPr>
          <w:rFonts w:eastAsia="仿宋_GB2312"/>
          <w:sz w:val="32"/>
          <w:szCs w:val="32"/>
        </w:rPr>
        <w:t>[Z].</w:t>
      </w:r>
    </w:p>
    <w:p w14:paraId="0FBD5B89"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p>
    <w:p w14:paraId="47D5E9DC"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医疗器械分类规则</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15</w:t>
      </w:r>
      <w:r>
        <w:rPr>
          <w:rFonts w:eastAsia="仿宋_GB2312" w:hint="eastAsia"/>
          <w:sz w:val="32"/>
          <w:szCs w:val="32"/>
        </w:rPr>
        <w:t>号</w:t>
      </w:r>
      <w:r>
        <w:rPr>
          <w:rFonts w:eastAsia="仿宋_GB2312" w:hint="eastAsia"/>
          <w:sz w:val="32"/>
          <w:szCs w:val="32"/>
        </w:rPr>
        <w:t>[Z].</w:t>
      </w:r>
    </w:p>
    <w:p w14:paraId="7479721D"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 xml:space="preserve">[6] </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医疗器械通用名称命名规则：国家食品药品监督管理总局令第</w:t>
      </w:r>
      <w:r>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14:paraId="721BB087"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无源植入器械通用名称命名指导原则</w:t>
      </w:r>
      <w:r>
        <w:rPr>
          <w:rFonts w:eastAsia="仿宋_GB2312"/>
          <w:sz w:val="32"/>
          <w:szCs w:val="32"/>
        </w:rPr>
        <w:t>:</w:t>
      </w:r>
      <w:r>
        <w:rPr>
          <w:rFonts w:eastAsia="仿宋_GB2312"/>
          <w:sz w:val="32"/>
          <w:szCs w:val="32"/>
        </w:rPr>
        <w:t>国家药品监督管理局通告</w:t>
      </w:r>
      <w:r>
        <w:rPr>
          <w:rFonts w:eastAsia="仿宋_GB2312"/>
          <w:sz w:val="32"/>
          <w:szCs w:val="32"/>
        </w:rPr>
        <w:t>2020</w:t>
      </w:r>
      <w:r>
        <w:rPr>
          <w:rFonts w:eastAsia="仿宋_GB2312"/>
          <w:sz w:val="32"/>
          <w:szCs w:val="32"/>
        </w:rPr>
        <w:t>年第</w:t>
      </w:r>
      <w:r>
        <w:rPr>
          <w:rFonts w:eastAsia="仿宋_GB2312"/>
          <w:sz w:val="32"/>
          <w:szCs w:val="32"/>
        </w:rPr>
        <w:t>79</w:t>
      </w:r>
      <w:r>
        <w:rPr>
          <w:rFonts w:eastAsia="仿宋_GB2312"/>
          <w:sz w:val="32"/>
          <w:szCs w:val="32"/>
        </w:rPr>
        <w:t>号</w:t>
      </w:r>
      <w:r>
        <w:rPr>
          <w:rFonts w:eastAsia="仿宋_GB2312"/>
          <w:sz w:val="32"/>
          <w:szCs w:val="32"/>
        </w:rPr>
        <w:t>[Z].</w:t>
      </w:r>
    </w:p>
    <w:p w14:paraId="2B501DC3"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 xml:space="preserve">[8] </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医疗器械注册单元划分指导原则</w:t>
      </w:r>
      <w:r>
        <w:rPr>
          <w:rFonts w:eastAsia="仿宋_GB2312" w:hint="eastAsia"/>
          <w:sz w:val="32"/>
          <w:szCs w:val="32"/>
        </w:rPr>
        <w:t>:</w:t>
      </w:r>
      <w:r>
        <w:rPr>
          <w:rFonts w:eastAsia="仿宋_GB2312" w:hint="eastAsia"/>
          <w:sz w:val="32"/>
          <w:szCs w:val="32"/>
        </w:rPr>
        <w:t>总局通告</w:t>
      </w:r>
      <w:r>
        <w:rPr>
          <w:rFonts w:eastAsia="仿宋_GB2312" w:hint="eastAsia"/>
          <w:sz w:val="32"/>
          <w:szCs w:val="32"/>
        </w:rPr>
        <w:t>2017</w:t>
      </w:r>
      <w:r>
        <w:rPr>
          <w:rFonts w:eastAsia="仿宋_GB2312" w:hint="eastAsia"/>
          <w:sz w:val="32"/>
          <w:szCs w:val="32"/>
        </w:rPr>
        <w:t>年第</w:t>
      </w:r>
      <w:r>
        <w:rPr>
          <w:rFonts w:eastAsia="仿宋_GB2312" w:hint="eastAsia"/>
          <w:sz w:val="32"/>
          <w:szCs w:val="32"/>
        </w:rPr>
        <w:t>187</w:t>
      </w:r>
      <w:r>
        <w:rPr>
          <w:rFonts w:eastAsia="仿宋_GB2312" w:hint="eastAsia"/>
          <w:sz w:val="32"/>
          <w:szCs w:val="32"/>
        </w:rPr>
        <w:t>号</w:t>
      </w:r>
      <w:r>
        <w:rPr>
          <w:rFonts w:eastAsia="仿宋_GB2312" w:hint="eastAsia"/>
          <w:sz w:val="32"/>
          <w:szCs w:val="32"/>
        </w:rPr>
        <w:t>[Z].</w:t>
      </w:r>
    </w:p>
    <w:p w14:paraId="3B9278EA"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[9]</w:t>
      </w:r>
      <w:r>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医疗器械安全和性能的基本原则</w:t>
      </w:r>
      <w:r>
        <w:rPr>
          <w:rFonts w:eastAsia="仿宋_GB2312"/>
          <w:sz w:val="32"/>
          <w:szCs w:val="32"/>
        </w:rPr>
        <w:t>:</w:t>
      </w:r>
      <w:r>
        <w:rPr>
          <w:rFonts w:eastAsia="仿宋_GB2312"/>
          <w:sz w:val="32"/>
          <w:szCs w:val="32"/>
        </w:rPr>
        <w:t>国家药品监督管理局通告</w:t>
      </w:r>
      <w:r>
        <w:rPr>
          <w:rFonts w:eastAsia="仿宋_GB2312"/>
          <w:sz w:val="32"/>
          <w:szCs w:val="32"/>
        </w:rPr>
        <w:t>2020</w:t>
      </w:r>
      <w:r>
        <w:rPr>
          <w:rFonts w:eastAsia="仿宋_GB2312"/>
          <w:sz w:val="32"/>
          <w:szCs w:val="32"/>
        </w:rPr>
        <w:t>年第</w:t>
      </w:r>
      <w:r>
        <w:rPr>
          <w:rFonts w:eastAsia="仿宋_GB2312"/>
          <w:sz w:val="32"/>
          <w:szCs w:val="32"/>
        </w:rPr>
        <w:t>18</w:t>
      </w:r>
      <w:r>
        <w:rPr>
          <w:rFonts w:eastAsia="仿宋_GB2312"/>
          <w:sz w:val="32"/>
          <w:szCs w:val="32"/>
        </w:rPr>
        <w:t>号</w:t>
      </w:r>
      <w:r>
        <w:rPr>
          <w:rFonts w:eastAsia="仿宋_GB2312"/>
          <w:sz w:val="32"/>
          <w:szCs w:val="32"/>
        </w:rPr>
        <w:t>[Z].</w:t>
      </w:r>
    </w:p>
    <w:p w14:paraId="7D356FE3"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[10]</w:t>
      </w:r>
      <w:r>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医疗器械产品技术要求编写指导原则</w:t>
      </w:r>
      <w:r>
        <w:rPr>
          <w:rFonts w:eastAsia="仿宋_GB2312"/>
          <w:sz w:val="32"/>
          <w:szCs w:val="32"/>
        </w:rPr>
        <w:t>:</w:t>
      </w:r>
      <w:r>
        <w:rPr>
          <w:rFonts w:eastAsia="仿宋_GB2312"/>
          <w:sz w:val="32"/>
          <w:szCs w:val="32"/>
        </w:rPr>
        <w:t>国家药监局关于发布医疗器械产品技术要求编写指导原则的通告</w:t>
      </w:r>
      <w:r>
        <w:rPr>
          <w:rFonts w:eastAsia="仿宋_GB2312"/>
          <w:sz w:val="32"/>
          <w:szCs w:val="32"/>
        </w:rPr>
        <w:t>2022</w:t>
      </w:r>
      <w:r>
        <w:rPr>
          <w:rFonts w:eastAsia="仿宋_GB2312"/>
          <w:sz w:val="32"/>
          <w:szCs w:val="32"/>
        </w:rPr>
        <w:t>年第</w:t>
      </w:r>
      <w:r>
        <w:rPr>
          <w:rFonts w:eastAsia="仿宋_GB2312"/>
          <w:sz w:val="32"/>
          <w:szCs w:val="32"/>
        </w:rPr>
        <w:t>8</w:t>
      </w:r>
      <w:r>
        <w:rPr>
          <w:rFonts w:eastAsia="仿宋_GB2312"/>
          <w:sz w:val="32"/>
          <w:szCs w:val="32"/>
        </w:rPr>
        <w:t>号</w:t>
      </w:r>
      <w:r>
        <w:rPr>
          <w:rFonts w:eastAsia="仿宋_GB2312"/>
          <w:sz w:val="32"/>
          <w:szCs w:val="32"/>
        </w:rPr>
        <w:t>[Z].</w:t>
      </w:r>
    </w:p>
    <w:p w14:paraId="0612513A"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[11]</w:t>
      </w:r>
      <w:r>
        <w:rPr>
          <w:rFonts w:eastAsia="仿宋_GB2312"/>
          <w:sz w:val="32"/>
          <w:szCs w:val="32"/>
        </w:rPr>
        <w:t xml:space="preserve"> </w:t>
      </w:r>
      <w:r>
        <w:rPr>
          <w:rFonts w:eastAsia="仿宋_GB2312"/>
          <w:sz w:val="32"/>
          <w:szCs w:val="32"/>
        </w:rPr>
        <w:t>国家食品药品监督管理局</w:t>
      </w:r>
      <w:r>
        <w:rPr>
          <w:rFonts w:eastAsia="仿宋_GB2312"/>
          <w:sz w:val="32"/>
          <w:szCs w:val="32"/>
        </w:rPr>
        <w:t>.</w:t>
      </w:r>
      <w:r>
        <w:rPr>
          <w:rFonts w:eastAsia="仿宋_GB2312"/>
          <w:sz w:val="32"/>
          <w:szCs w:val="32"/>
        </w:rPr>
        <w:t>医疗器械生物学评价和审查指南</w:t>
      </w:r>
      <w:r>
        <w:rPr>
          <w:rFonts w:eastAsia="仿宋_GB2312"/>
          <w:sz w:val="32"/>
          <w:szCs w:val="32"/>
        </w:rPr>
        <w:t>:</w:t>
      </w:r>
      <w:r>
        <w:rPr>
          <w:rFonts w:eastAsia="仿宋_GB2312"/>
          <w:sz w:val="32"/>
          <w:szCs w:val="32"/>
        </w:rPr>
        <w:t>关于印发医疗器械生物学评价和审查指南的通知</w:t>
      </w:r>
      <w:r>
        <w:rPr>
          <w:rFonts w:eastAsia="仿宋_GB2312"/>
          <w:sz w:val="32"/>
          <w:szCs w:val="32"/>
        </w:rPr>
        <w:t>2007</w:t>
      </w:r>
      <w:r>
        <w:rPr>
          <w:rFonts w:eastAsia="仿宋_GB2312"/>
          <w:sz w:val="32"/>
          <w:szCs w:val="32"/>
        </w:rPr>
        <w:t>年第</w:t>
      </w:r>
      <w:r>
        <w:rPr>
          <w:rFonts w:eastAsia="仿宋_GB2312"/>
          <w:sz w:val="32"/>
          <w:szCs w:val="32"/>
        </w:rPr>
        <w:t>345</w:t>
      </w:r>
      <w:r>
        <w:rPr>
          <w:rFonts w:eastAsia="仿宋_GB2312"/>
          <w:sz w:val="32"/>
          <w:szCs w:val="32"/>
        </w:rPr>
        <w:t>号</w:t>
      </w:r>
      <w:r>
        <w:rPr>
          <w:rFonts w:eastAsia="仿宋_GB2312"/>
          <w:sz w:val="32"/>
          <w:szCs w:val="32"/>
        </w:rPr>
        <w:t>[Z].</w:t>
      </w:r>
    </w:p>
    <w:p w14:paraId="0925214A" w14:textId="77777777" w:rsidR="00B17835" w:rsidRDefault="001A6881">
      <w:pPr>
        <w:spacing w:line="520" w:lineRule="exact"/>
        <w:ind w:firstLineChars="200" w:firstLine="640"/>
        <w:rPr>
          <w:rFonts w:eastAsia="仿宋_GB2312"/>
          <w:sz w:val="32"/>
          <w:szCs w:val="32"/>
        </w:rPr>
      </w:pPr>
      <w:r>
        <w:rPr>
          <w:rFonts w:eastAsia="仿宋_GB2312" w:hint="eastAsia"/>
          <w:sz w:val="32"/>
          <w:szCs w:val="32"/>
        </w:rPr>
        <w:t>[12]</w:t>
      </w:r>
      <w:r>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医疗器械动物试验研究注册审查指导原则第一部分：决策原则（</w:t>
      </w:r>
      <w:r>
        <w:rPr>
          <w:rFonts w:eastAsia="仿宋_GB2312"/>
          <w:sz w:val="32"/>
          <w:szCs w:val="32"/>
        </w:rPr>
        <w:t>2021</w:t>
      </w:r>
      <w:r>
        <w:rPr>
          <w:rFonts w:eastAsia="仿宋_GB2312"/>
          <w:sz w:val="32"/>
          <w:szCs w:val="32"/>
        </w:rPr>
        <w:t>年修订版）</w:t>
      </w:r>
      <w:r>
        <w:rPr>
          <w:rFonts w:eastAsia="仿宋_GB2312"/>
          <w:sz w:val="32"/>
          <w:szCs w:val="32"/>
        </w:rPr>
        <w:t xml:space="preserve">: </w:t>
      </w:r>
      <w:r>
        <w:rPr>
          <w:rFonts w:eastAsia="仿宋_GB2312"/>
          <w:sz w:val="32"/>
          <w:szCs w:val="32"/>
        </w:rPr>
        <w:t>国家药监局关于发布医疗器械动物试验研究注册审查指导原则第一部分：决策</w:t>
      </w:r>
      <w:r>
        <w:rPr>
          <w:rFonts w:eastAsia="仿宋_GB2312"/>
          <w:sz w:val="32"/>
          <w:szCs w:val="32"/>
        </w:rPr>
        <w:lastRenderedPageBreak/>
        <w:t>原则（</w:t>
      </w:r>
      <w:r>
        <w:rPr>
          <w:rFonts w:eastAsia="仿宋_GB2312"/>
          <w:sz w:val="32"/>
          <w:szCs w:val="32"/>
        </w:rPr>
        <w:t>2021</w:t>
      </w:r>
      <w:r>
        <w:rPr>
          <w:rFonts w:eastAsia="仿宋_GB2312"/>
          <w:sz w:val="32"/>
          <w:szCs w:val="32"/>
        </w:rPr>
        <w:t>年修订版）等</w:t>
      </w:r>
      <w:r>
        <w:rPr>
          <w:rFonts w:eastAsia="仿宋_GB2312"/>
          <w:sz w:val="32"/>
          <w:szCs w:val="32"/>
        </w:rPr>
        <w:t>2</w:t>
      </w:r>
      <w:r>
        <w:rPr>
          <w:rFonts w:eastAsia="仿宋_GB2312"/>
          <w:sz w:val="32"/>
          <w:szCs w:val="32"/>
        </w:rPr>
        <w:t>项注册审查指导原则的通告</w:t>
      </w:r>
      <w:r>
        <w:rPr>
          <w:rFonts w:eastAsia="仿宋_GB2312"/>
          <w:sz w:val="32"/>
          <w:szCs w:val="32"/>
        </w:rPr>
        <w:t>2021</w:t>
      </w:r>
      <w:r>
        <w:rPr>
          <w:rFonts w:eastAsia="仿宋_GB2312"/>
          <w:sz w:val="32"/>
          <w:szCs w:val="32"/>
        </w:rPr>
        <w:t>年第</w:t>
      </w:r>
      <w:r>
        <w:rPr>
          <w:rFonts w:eastAsia="仿宋_GB2312"/>
          <w:sz w:val="32"/>
          <w:szCs w:val="32"/>
        </w:rPr>
        <w:t>75</w:t>
      </w:r>
      <w:r>
        <w:rPr>
          <w:rFonts w:eastAsia="仿宋_GB2312"/>
          <w:sz w:val="32"/>
          <w:szCs w:val="32"/>
        </w:rPr>
        <w:t>号</w:t>
      </w:r>
      <w:r>
        <w:rPr>
          <w:rFonts w:eastAsia="仿宋_GB2312"/>
          <w:sz w:val="32"/>
          <w:szCs w:val="32"/>
        </w:rPr>
        <w:t>[Z].</w:t>
      </w:r>
    </w:p>
    <w:p w14:paraId="1C96B05F" w14:textId="01771D18" w:rsidR="00B17835" w:rsidRDefault="001A6881">
      <w:pPr>
        <w:spacing w:line="520" w:lineRule="exact"/>
        <w:ind w:firstLineChars="200" w:firstLine="640"/>
        <w:rPr>
          <w:rFonts w:eastAsia="仿宋_GB2312"/>
          <w:sz w:val="32"/>
          <w:szCs w:val="32"/>
        </w:rPr>
      </w:pPr>
      <w:r>
        <w:rPr>
          <w:rFonts w:eastAsia="仿宋_GB2312" w:hint="eastAsia"/>
          <w:sz w:val="32"/>
          <w:szCs w:val="32"/>
        </w:rPr>
        <w:t>[13]</w:t>
      </w:r>
      <w:r w:rsidR="00BF73DD">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医疗器械动物试验研究注册审查指导原则第二部分：试验设计、实施质量保证</w:t>
      </w:r>
      <w:r>
        <w:rPr>
          <w:rFonts w:eastAsia="仿宋_GB2312"/>
          <w:sz w:val="32"/>
          <w:szCs w:val="32"/>
        </w:rPr>
        <w:t xml:space="preserve">: </w:t>
      </w:r>
      <w:r>
        <w:rPr>
          <w:rFonts w:eastAsia="仿宋_GB2312"/>
          <w:sz w:val="32"/>
          <w:szCs w:val="32"/>
        </w:rPr>
        <w:t>国家药监局关于发布医疗器械动物试验研究注册审查指导原则第一部分：决策原则（</w:t>
      </w:r>
      <w:r>
        <w:rPr>
          <w:rFonts w:eastAsia="仿宋_GB2312"/>
          <w:sz w:val="32"/>
          <w:szCs w:val="32"/>
        </w:rPr>
        <w:t>2021</w:t>
      </w:r>
      <w:r>
        <w:rPr>
          <w:rFonts w:eastAsia="仿宋_GB2312"/>
          <w:sz w:val="32"/>
          <w:szCs w:val="32"/>
        </w:rPr>
        <w:t>年修订版）等</w:t>
      </w:r>
      <w:r>
        <w:rPr>
          <w:rFonts w:eastAsia="仿宋_GB2312"/>
          <w:sz w:val="32"/>
          <w:szCs w:val="32"/>
        </w:rPr>
        <w:t>2</w:t>
      </w:r>
      <w:r>
        <w:rPr>
          <w:rFonts w:eastAsia="仿宋_GB2312"/>
          <w:sz w:val="32"/>
          <w:szCs w:val="32"/>
        </w:rPr>
        <w:t>项注册审查指导原则的通告</w:t>
      </w:r>
      <w:r>
        <w:rPr>
          <w:rFonts w:eastAsia="仿宋_GB2312"/>
          <w:sz w:val="32"/>
          <w:szCs w:val="32"/>
        </w:rPr>
        <w:t>2021</w:t>
      </w:r>
      <w:r>
        <w:rPr>
          <w:rFonts w:eastAsia="仿宋_GB2312"/>
          <w:sz w:val="32"/>
          <w:szCs w:val="32"/>
        </w:rPr>
        <w:t>年第</w:t>
      </w:r>
      <w:r>
        <w:rPr>
          <w:rFonts w:eastAsia="仿宋_GB2312"/>
          <w:sz w:val="32"/>
          <w:szCs w:val="32"/>
        </w:rPr>
        <w:t>75</w:t>
      </w:r>
      <w:r>
        <w:rPr>
          <w:rFonts w:eastAsia="仿宋_GB2312"/>
          <w:sz w:val="32"/>
          <w:szCs w:val="32"/>
        </w:rPr>
        <w:t>号</w:t>
      </w:r>
      <w:r>
        <w:rPr>
          <w:rFonts w:eastAsia="仿宋_GB2312"/>
          <w:sz w:val="32"/>
          <w:szCs w:val="32"/>
        </w:rPr>
        <w:t>[Z].</w:t>
      </w:r>
    </w:p>
    <w:p w14:paraId="2EDBBF4B" w14:textId="3C05EA12" w:rsidR="00B17835" w:rsidRDefault="001A6881">
      <w:pPr>
        <w:spacing w:line="520" w:lineRule="exact"/>
        <w:ind w:firstLineChars="200" w:firstLine="640"/>
        <w:rPr>
          <w:rFonts w:eastAsia="仿宋_GB2312"/>
          <w:sz w:val="32"/>
          <w:szCs w:val="32"/>
        </w:rPr>
      </w:pPr>
      <w:r>
        <w:rPr>
          <w:rFonts w:eastAsia="仿宋_GB2312"/>
          <w:sz w:val="32"/>
          <w:szCs w:val="32"/>
        </w:rPr>
        <w:t>[14]</w:t>
      </w:r>
      <w:r w:rsidR="00BF73DD">
        <w:rPr>
          <w:rFonts w:eastAsia="仿宋_GB2312"/>
          <w:sz w:val="32"/>
          <w:szCs w:val="32"/>
        </w:rPr>
        <w:t xml:space="preserve"> </w:t>
      </w:r>
      <w:r>
        <w:rPr>
          <w:rFonts w:eastAsia="仿宋_GB2312"/>
          <w:sz w:val="32"/>
          <w:szCs w:val="32"/>
        </w:rPr>
        <w:t>国家药监</w:t>
      </w:r>
      <w:proofErr w:type="gramStart"/>
      <w:r>
        <w:rPr>
          <w:rFonts w:eastAsia="仿宋_GB2312"/>
          <w:sz w:val="32"/>
          <w:szCs w:val="32"/>
        </w:rPr>
        <w:t>局器审中心</w:t>
      </w:r>
      <w:proofErr w:type="gramEnd"/>
      <w:r>
        <w:rPr>
          <w:rFonts w:eastAsia="仿宋_GB2312"/>
          <w:sz w:val="32"/>
          <w:szCs w:val="32"/>
        </w:rPr>
        <w:t>.</w:t>
      </w:r>
      <w:r>
        <w:rPr>
          <w:rFonts w:eastAsia="仿宋_GB2312"/>
          <w:sz w:val="32"/>
          <w:szCs w:val="32"/>
        </w:rPr>
        <w:t>无源植入性医疗器械稳定性研究指导原则（</w:t>
      </w:r>
      <w:r>
        <w:rPr>
          <w:rFonts w:eastAsia="仿宋_GB2312"/>
          <w:sz w:val="32"/>
          <w:szCs w:val="32"/>
        </w:rPr>
        <w:t>2022</w:t>
      </w:r>
      <w:r>
        <w:rPr>
          <w:rFonts w:eastAsia="仿宋_GB2312"/>
          <w:sz w:val="32"/>
          <w:szCs w:val="32"/>
        </w:rPr>
        <w:t>年修订版）</w:t>
      </w:r>
      <w:r>
        <w:rPr>
          <w:rFonts w:eastAsia="仿宋_GB2312"/>
          <w:sz w:val="32"/>
          <w:szCs w:val="32"/>
        </w:rPr>
        <w:t>:</w:t>
      </w:r>
      <w:r>
        <w:rPr>
          <w:rFonts w:eastAsia="仿宋_GB2312"/>
          <w:sz w:val="32"/>
          <w:szCs w:val="32"/>
        </w:rPr>
        <w:t>国家药监</w:t>
      </w:r>
      <w:proofErr w:type="gramStart"/>
      <w:r>
        <w:rPr>
          <w:rFonts w:eastAsia="仿宋_GB2312"/>
          <w:sz w:val="32"/>
          <w:szCs w:val="32"/>
        </w:rPr>
        <w:t>局器审中心</w:t>
      </w:r>
      <w:proofErr w:type="gramEnd"/>
      <w:r>
        <w:rPr>
          <w:rFonts w:eastAsia="仿宋_GB2312"/>
          <w:sz w:val="32"/>
          <w:szCs w:val="32"/>
        </w:rPr>
        <w:t>关于发布无源植入性医疗器械稳定性研究指导原则（</w:t>
      </w:r>
      <w:r>
        <w:rPr>
          <w:rFonts w:eastAsia="仿宋_GB2312"/>
          <w:sz w:val="32"/>
          <w:szCs w:val="32"/>
        </w:rPr>
        <w:t>2022</w:t>
      </w:r>
      <w:r>
        <w:rPr>
          <w:rFonts w:eastAsia="仿宋_GB2312"/>
          <w:sz w:val="32"/>
          <w:szCs w:val="32"/>
        </w:rPr>
        <w:t>年修订版）的通告</w:t>
      </w:r>
      <w:r>
        <w:rPr>
          <w:rFonts w:eastAsia="仿宋_GB2312"/>
          <w:sz w:val="32"/>
          <w:szCs w:val="32"/>
        </w:rPr>
        <w:t>2022</w:t>
      </w:r>
      <w:r>
        <w:rPr>
          <w:rFonts w:eastAsia="仿宋_GB2312"/>
          <w:sz w:val="32"/>
          <w:szCs w:val="32"/>
        </w:rPr>
        <w:t>年第</w:t>
      </w:r>
      <w:r>
        <w:rPr>
          <w:rFonts w:eastAsia="仿宋_GB2312"/>
          <w:sz w:val="32"/>
          <w:szCs w:val="32"/>
        </w:rPr>
        <w:t>12</w:t>
      </w:r>
      <w:r>
        <w:rPr>
          <w:rFonts w:eastAsia="仿宋_GB2312"/>
          <w:sz w:val="32"/>
          <w:szCs w:val="32"/>
        </w:rPr>
        <w:t>号</w:t>
      </w:r>
      <w:r>
        <w:rPr>
          <w:rFonts w:eastAsia="仿宋_GB2312"/>
          <w:sz w:val="32"/>
          <w:szCs w:val="32"/>
        </w:rPr>
        <w:t>[Z].</w:t>
      </w:r>
    </w:p>
    <w:p w14:paraId="05C4FB3E" w14:textId="2C075D01" w:rsidR="00B17835" w:rsidRDefault="001A6881">
      <w:pPr>
        <w:spacing w:line="520" w:lineRule="exact"/>
        <w:ind w:firstLineChars="200" w:firstLine="640"/>
        <w:rPr>
          <w:rFonts w:eastAsia="仿宋_GB2312"/>
          <w:sz w:val="32"/>
          <w:szCs w:val="32"/>
        </w:rPr>
      </w:pPr>
      <w:r>
        <w:rPr>
          <w:rFonts w:eastAsia="仿宋_GB2312"/>
          <w:sz w:val="32"/>
          <w:szCs w:val="32"/>
        </w:rPr>
        <w:t>[15]</w:t>
      </w:r>
      <w:r w:rsidR="00BF73DD">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医疗器械临床评价技术指导原则</w:t>
      </w:r>
      <w:r>
        <w:rPr>
          <w:rFonts w:eastAsia="仿宋_GB2312"/>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14:paraId="3EEEE4E1" w14:textId="0B501BFB" w:rsidR="00B17835" w:rsidRDefault="001A6881">
      <w:pPr>
        <w:spacing w:line="520" w:lineRule="exact"/>
        <w:ind w:firstLineChars="200" w:firstLine="640"/>
        <w:rPr>
          <w:rFonts w:eastAsia="仿宋_GB2312"/>
          <w:sz w:val="32"/>
          <w:szCs w:val="32"/>
        </w:rPr>
      </w:pPr>
      <w:r>
        <w:rPr>
          <w:rFonts w:eastAsia="仿宋_GB2312"/>
          <w:sz w:val="32"/>
          <w:szCs w:val="32"/>
        </w:rPr>
        <w:t>[16]</w:t>
      </w:r>
      <w:r w:rsidR="00BF73DD">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决策是否开展医疗器械临床试验技术指导原则</w:t>
      </w:r>
      <w:r>
        <w:rPr>
          <w:rFonts w:eastAsia="仿宋_GB2312"/>
          <w:sz w:val="32"/>
          <w:szCs w:val="32"/>
        </w:rPr>
        <w:t>:</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14:paraId="1959E1EA" w14:textId="38AEC8C3" w:rsidR="00B17835" w:rsidRDefault="001A6881">
      <w:pPr>
        <w:spacing w:line="520" w:lineRule="exact"/>
        <w:ind w:firstLineChars="200" w:firstLine="640"/>
        <w:rPr>
          <w:rFonts w:eastAsia="仿宋_GB2312"/>
          <w:sz w:val="32"/>
          <w:szCs w:val="32"/>
        </w:rPr>
      </w:pPr>
      <w:r>
        <w:rPr>
          <w:rFonts w:eastAsia="仿宋_GB2312"/>
          <w:sz w:val="32"/>
          <w:szCs w:val="32"/>
        </w:rPr>
        <w:t>[17]</w:t>
      </w:r>
      <w:r w:rsidR="00BF73DD">
        <w:rPr>
          <w:rFonts w:eastAsia="仿宋_GB2312"/>
          <w:sz w:val="32"/>
          <w:szCs w:val="32"/>
        </w:rPr>
        <w:t xml:space="preserve"> </w:t>
      </w:r>
      <w:r>
        <w:rPr>
          <w:rFonts w:eastAsia="仿宋_GB2312"/>
          <w:sz w:val="32"/>
          <w:szCs w:val="32"/>
        </w:rPr>
        <w:t>国家药品监督管理局</w:t>
      </w:r>
      <w:r>
        <w:rPr>
          <w:rFonts w:eastAsia="仿宋_GB2312"/>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14:paraId="2D5A5295" w14:textId="39C5A219" w:rsidR="00B17835" w:rsidRDefault="001A6881">
      <w:pPr>
        <w:spacing w:line="520" w:lineRule="exact"/>
        <w:ind w:firstLineChars="200" w:firstLine="640"/>
        <w:rPr>
          <w:rFonts w:eastAsia="仿宋_GB2312"/>
          <w:sz w:val="32"/>
          <w:szCs w:val="32"/>
        </w:rPr>
      </w:pPr>
      <w:r>
        <w:rPr>
          <w:rFonts w:eastAsia="黑体"/>
          <w:sz w:val="32"/>
          <w:szCs w:val="32"/>
        </w:rPr>
        <w:t>[18</w:t>
      </w:r>
      <w:r>
        <w:rPr>
          <w:rFonts w:eastAsia="仿宋_GB2312"/>
          <w:sz w:val="32"/>
          <w:szCs w:val="32"/>
        </w:rPr>
        <w:t>]</w:t>
      </w:r>
      <w:r w:rsidR="00BF73DD">
        <w:rPr>
          <w:rFonts w:eastAsia="仿宋_GB2312"/>
          <w:sz w:val="32"/>
          <w:szCs w:val="32"/>
        </w:rPr>
        <w:t xml:space="preserve"> </w:t>
      </w:r>
      <w:r>
        <w:rPr>
          <w:rFonts w:eastAsia="仿宋_GB2312"/>
          <w:sz w:val="32"/>
          <w:szCs w:val="32"/>
        </w:rPr>
        <w:t>国家食品药品监督管理总局</w:t>
      </w:r>
      <w:r>
        <w:rPr>
          <w:rFonts w:eastAsia="仿宋_GB2312"/>
          <w:sz w:val="32"/>
          <w:szCs w:val="32"/>
        </w:rPr>
        <w:t>.</w:t>
      </w:r>
      <w:r>
        <w:rPr>
          <w:rFonts w:eastAsia="仿宋_GB2312"/>
          <w:sz w:val="32"/>
          <w:szCs w:val="32"/>
        </w:rPr>
        <w:t>接受医疗器械境外临床试验数据技术指导原则</w:t>
      </w:r>
      <w:r>
        <w:rPr>
          <w:rFonts w:eastAsia="仿宋_GB2312"/>
          <w:sz w:val="32"/>
          <w:szCs w:val="32"/>
        </w:rPr>
        <w:t>:</w:t>
      </w:r>
      <w:r>
        <w:rPr>
          <w:rFonts w:eastAsia="仿宋_GB2312"/>
          <w:sz w:val="32"/>
          <w:szCs w:val="32"/>
        </w:rPr>
        <w:t>食品药品监管总局关于发布接受医疗器械境外临床试验数据技术指导原则的通告</w:t>
      </w:r>
      <w:r>
        <w:rPr>
          <w:rFonts w:eastAsia="仿宋_GB2312"/>
          <w:sz w:val="32"/>
          <w:szCs w:val="32"/>
        </w:rPr>
        <w:t>2018</w:t>
      </w:r>
      <w:r>
        <w:rPr>
          <w:rFonts w:eastAsia="仿宋_GB2312"/>
          <w:sz w:val="32"/>
          <w:szCs w:val="32"/>
        </w:rPr>
        <w:t>年第</w:t>
      </w:r>
      <w:r>
        <w:rPr>
          <w:rFonts w:eastAsia="仿宋_GB2312"/>
          <w:sz w:val="32"/>
          <w:szCs w:val="32"/>
        </w:rPr>
        <w:t>13</w:t>
      </w:r>
      <w:r>
        <w:rPr>
          <w:rFonts w:eastAsia="仿宋_GB2312"/>
          <w:sz w:val="32"/>
          <w:szCs w:val="32"/>
        </w:rPr>
        <w:t>号</w:t>
      </w:r>
      <w:r>
        <w:rPr>
          <w:rFonts w:eastAsia="仿宋_GB2312"/>
          <w:sz w:val="32"/>
          <w:szCs w:val="32"/>
        </w:rPr>
        <w:t>[Z].</w:t>
      </w:r>
    </w:p>
    <w:p w14:paraId="07C2D7FE" w14:textId="0E89C2A2" w:rsidR="00B17835" w:rsidRDefault="001A6881">
      <w:pPr>
        <w:spacing w:line="520" w:lineRule="exact"/>
        <w:ind w:firstLineChars="200" w:firstLine="640"/>
        <w:rPr>
          <w:rFonts w:eastAsia="仿宋_GB2312"/>
          <w:sz w:val="32"/>
          <w:szCs w:val="32"/>
        </w:rPr>
      </w:pPr>
      <w:r>
        <w:rPr>
          <w:rFonts w:eastAsia="仿宋_GB2312"/>
          <w:sz w:val="32"/>
          <w:szCs w:val="32"/>
        </w:rPr>
        <w:t>[19]</w:t>
      </w:r>
      <w:r w:rsidR="00BF73DD">
        <w:rPr>
          <w:rFonts w:eastAsia="仿宋_GB2312"/>
          <w:sz w:val="32"/>
          <w:szCs w:val="32"/>
        </w:rPr>
        <w:t xml:space="preserve"> </w:t>
      </w:r>
      <w:r>
        <w:rPr>
          <w:rFonts w:eastAsia="仿宋_GB2312"/>
          <w:sz w:val="32"/>
          <w:szCs w:val="32"/>
        </w:rPr>
        <w:t>GB/T 42062-2022,</w:t>
      </w:r>
      <w:r>
        <w:rPr>
          <w:rFonts w:eastAsia="仿宋_GB2312" w:hint="eastAsia"/>
          <w:sz w:val="32"/>
          <w:szCs w:val="32"/>
        </w:rPr>
        <w:t>《</w:t>
      </w:r>
      <w:r>
        <w:rPr>
          <w:rFonts w:eastAsia="仿宋_GB2312"/>
          <w:sz w:val="32"/>
          <w:szCs w:val="32"/>
        </w:rPr>
        <w:t>医疗器械风险管理对医疗器械的应用</w:t>
      </w:r>
      <w:r>
        <w:rPr>
          <w:rFonts w:eastAsia="仿宋_GB2312" w:hint="eastAsia"/>
          <w:sz w:val="32"/>
          <w:szCs w:val="32"/>
        </w:rPr>
        <w:t>》</w:t>
      </w:r>
      <w:r>
        <w:rPr>
          <w:rFonts w:eastAsia="仿宋_GB2312"/>
          <w:sz w:val="32"/>
          <w:szCs w:val="32"/>
        </w:rPr>
        <w:t>[S].</w:t>
      </w:r>
    </w:p>
    <w:p w14:paraId="2D3FE03C" w14:textId="5028F9E6"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lastRenderedPageBreak/>
        <w:t xml:space="preserve">[20] GB/T 16886 </w:t>
      </w:r>
      <w:r>
        <w:rPr>
          <w:rFonts w:eastAsia="仿宋_GB2312" w:hint="eastAsia"/>
          <w:sz w:val="32"/>
          <w:szCs w:val="32"/>
        </w:rPr>
        <w:t>《医疗器械生物学评价》系列标准</w:t>
      </w:r>
      <w:r>
        <w:rPr>
          <w:rFonts w:eastAsia="仿宋_GB2312"/>
          <w:sz w:val="32"/>
          <w:szCs w:val="32"/>
        </w:rPr>
        <w:t>[S].</w:t>
      </w:r>
    </w:p>
    <w:p w14:paraId="068A36AA" w14:textId="5DA66CB3"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[21]</w:t>
      </w:r>
      <w:r w:rsidR="00BF73DD">
        <w:rPr>
          <w:rFonts w:eastAsia="仿宋_GB2312"/>
          <w:sz w:val="32"/>
          <w:szCs w:val="32"/>
        </w:rPr>
        <w:t xml:space="preserve"> </w:t>
      </w:r>
      <w:r>
        <w:rPr>
          <w:rFonts w:eastAsia="仿宋_GB2312" w:hint="eastAsia"/>
          <w:sz w:val="32"/>
          <w:szCs w:val="32"/>
        </w:rPr>
        <w:t xml:space="preserve">GB 23101.1-2008 </w:t>
      </w:r>
      <w:r>
        <w:rPr>
          <w:rFonts w:eastAsia="仿宋_GB2312" w:hint="eastAsia"/>
          <w:sz w:val="32"/>
          <w:szCs w:val="32"/>
        </w:rPr>
        <w:t>《外科植入物羟基磷灰石第</w:t>
      </w:r>
      <w:r>
        <w:rPr>
          <w:rFonts w:eastAsia="仿宋_GB2312" w:hint="eastAsia"/>
          <w:sz w:val="32"/>
          <w:szCs w:val="32"/>
        </w:rPr>
        <w:t>1</w:t>
      </w:r>
      <w:r>
        <w:rPr>
          <w:rFonts w:eastAsia="仿宋_GB2312" w:hint="eastAsia"/>
          <w:sz w:val="32"/>
          <w:szCs w:val="32"/>
        </w:rPr>
        <w:t>部分：羟基磷灰石陶瓷》</w:t>
      </w:r>
      <w:r>
        <w:rPr>
          <w:rFonts w:eastAsia="仿宋_GB2312"/>
          <w:sz w:val="32"/>
          <w:szCs w:val="32"/>
        </w:rPr>
        <w:t>[S].</w:t>
      </w:r>
    </w:p>
    <w:p w14:paraId="7F5FDB90"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[22]</w:t>
      </w:r>
      <w:r>
        <w:rPr>
          <w:rFonts w:eastAsia="仿宋_GB2312"/>
          <w:sz w:val="32"/>
          <w:szCs w:val="32"/>
        </w:rPr>
        <w:t xml:space="preserve"> GB/T 23101.3-2023</w:t>
      </w:r>
      <w:r>
        <w:rPr>
          <w:rFonts w:eastAsia="仿宋_GB2312" w:hint="eastAsia"/>
          <w:sz w:val="32"/>
          <w:szCs w:val="32"/>
        </w:rPr>
        <w:t xml:space="preserve"> </w:t>
      </w:r>
      <w:r>
        <w:rPr>
          <w:rFonts w:eastAsia="仿宋_GB2312" w:hint="eastAsia"/>
          <w:sz w:val="32"/>
          <w:szCs w:val="32"/>
        </w:rPr>
        <w:t>《</w:t>
      </w:r>
      <w:r>
        <w:rPr>
          <w:rFonts w:eastAsia="仿宋_GB2312"/>
          <w:sz w:val="32"/>
          <w:szCs w:val="32"/>
        </w:rPr>
        <w:t>外科植入物</w:t>
      </w:r>
      <w:r>
        <w:rPr>
          <w:rFonts w:eastAsia="仿宋_GB2312"/>
          <w:sz w:val="32"/>
          <w:szCs w:val="32"/>
        </w:rPr>
        <w:t xml:space="preserve"> </w:t>
      </w:r>
      <w:r>
        <w:rPr>
          <w:rFonts w:eastAsia="仿宋_GB2312"/>
          <w:sz w:val="32"/>
          <w:szCs w:val="32"/>
        </w:rPr>
        <w:t>羟基磷灰石</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部分：结晶度和相纯度的化学分析和表征</w:t>
      </w:r>
      <w:r>
        <w:rPr>
          <w:rFonts w:eastAsia="仿宋_GB2312" w:hint="eastAsia"/>
          <w:sz w:val="32"/>
          <w:szCs w:val="32"/>
        </w:rPr>
        <w:t>》</w:t>
      </w:r>
      <w:r>
        <w:rPr>
          <w:rFonts w:eastAsia="仿宋_GB2312"/>
          <w:sz w:val="32"/>
          <w:szCs w:val="32"/>
        </w:rPr>
        <w:t>[S].</w:t>
      </w:r>
    </w:p>
    <w:p w14:paraId="1B773247" w14:textId="77777777"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[23] G</w:t>
      </w:r>
      <w:r>
        <w:rPr>
          <w:rFonts w:eastAsia="仿宋_GB2312"/>
          <w:sz w:val="32"/>
          <w:szCs w:val="32"/>
        </w:rPr>
        <w:t xml:space="preserve">B/T 23101.6-2022 </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羟基磷灰石</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6</w:t>
      </w:r>
      <w:r>
        <w:rPr>
          <w:rFonts w:eastAsia="仿宋_GB2312" w:hint="eastAsia"/>
          <w:sz w:val="32"/>
          <w:szCs w:val="32"/>
        </w:rPr>
        <w:t>部分：粉末》</w:t>
      </w:r>
      <w:r>
        <w:rPr>
          <w:rFonts w:eastAsia="仿宋_GB2312"/>
          <w:sz w:val="32"/>
          <w:szCs w:val="32"/>
        </w:rPr>
        <w:t>[S].</w:t>
      </w:r>
    </w:p>
    <w:p w14:paraId="46D09726" w14:textId="47D2F279"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[24]</w:t>
      </w:r>
      <w:r w:rsidR="00BF73DD">
        <w:rPr>
          <w:rFonts w:eastAsia="仿宋_GB2312"/>
          <w:sz w:val="32"/>
          <w:szCs w:val="32"/>
        </w:rPr>
        <w:t xml:space="preserve"> </w:t>
      </w:r>
      <w:r>
        <w:rPr>
          <w:rFonts w:eastAsia="仿宋_GB2312" w:hint="eastAsia"/>
          <w:sz w:val="32"/>
          <w:szCs w:val="32"/>
        </w:rPr>
        <w:t>YY/T 0964-2014</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生物玻璃和玻璃陶瓷材料》</w:t>
      </w:r>
      <w:r>
        <w:rPr>
          <w:rFonts w:eastAsia="仿宋_GB2312" w:hint="eastAsia"/>
          <w:sz w:val="32"/>
          <w:szCs w:val="32"/>
        </w:rPr>
        <w:t>[S].</w:t>
      </w:r>
    </w:p>
    <w:p w14:paraId="72C5C51F" w14:textId="2D7AEF89"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 xml:space="preserve">[25] YY/T 0683-2008 </w:t>
      </w:r>
      <w:r>
        <w:rPr>
          <w:rFonts w:eastAsia="仿宋_GB2312" w:hint="eastAsia"/>
          <w:sz w:val="32"/>
          <w:szCs w:val="32"/>
        </w:rPr>
        <w:t>《外科植入物用β</w:t>
      </w:r>
      <w:r>
        <w:rPr>
          <w:rFonts w:eastAsia="仿宋_GB2312" w:hint="eastAsia"/>
          <w:sz w:val="32"/>
          <w:szCs w:val="32"/>
        </w:rPr>
        <w:t>-</w:t>
      </w:r>
      <w:r>
        <w:rPr>
          <w:rFonts w:eastAsia="仿宋_GB2312" w:hint="eastAsia"/>
          <w:sz w:val="32"/>
          <w:szCs w:val="32"/>
        </w:rPr>
        <w:t>磷酸三钙》</w:t>
      </w:r>
      <w:r>
        <w:rPr>
          <w:rFonts w:eastAsia="仿宋_GB2312"/>
          <w:sz w:val="32"/>
          <w:szCs w:val="32"/>
        </w:rPr>
        <w:t>[S].</w:t>
      </w:r>
      <w:r>
        <w:rPr>
          <w:rFonts w:eastAsia="仿宋_GB2312" w:hint="eastAsia"/>
          <w:sz w:val="32"/>
          <w:szCs w:val="32"/>
        </w:rPr>
        <w:t xml:space="preserve"> </w:t>
      </w:r>
    </w:p>
    <w:p w14:paraId="1DBD98F1" w14:textId="45A5B55E" w:rsidR="00B17835" w:rsidRDefault="001A6881">
      <w:pPr>
        <w:spacing w:line="520" w:lineRule="exact"/>
        <w:ind w:rightChars="-32" w:right="-67" w:firstLineChars="200" w:firstLine="640"/>
        <w:rPr>
          <w:rFonts w:eastAsia="仿宋_GB2312"/>
          <w:sz w:val="32"/>
          <w:szCs w:val="32"/>
        </w:rPr>
      </w:pPr>
      <w:r>
        <w:rPr>
          <w:rFonts w:eastAsia="仿宋_GB2312"/>
          <w:sz w:val="32"/>
          <w:szCs w:val="32"/>
        </w:rPr>
        <w:t>[26]</w:t>
      </w:r>
      <w:r w:rsidR="005B73C0">
        <w:rPr>
          <w:rFonts w:eastAsia="仿宋_GB2312"/>
          <w:sz w:val="32"/>
          <w:szCs w:val="32"/>
        </w:rPr>
        <w:t xml:space="preserve"> </w:t>
      </w:r>
      <w:r>
        <w:rPr>
          <w:rFonts w:eastAsia="仿宋_GB2312"/>
          <w:sz w:val="32"/>
          <w:szCs w:val="32"/>
        </w:rPr>
        <w:t>GB</w:t>
      </w:r>
      <w:r>
        <w:rPr>
          <w:rFonts w:eastAsia="仿宋_GB2312" w:hint="eastAsia"/>
          <w:sz w:val="32"/>
          <w:szCs w:val="32"/>
        </w:rPr>
        <w:t xml:space="preserve">/T </w:t>
      </w:r>
      <w:r>
        <w:rPr>
          <w:rFonts w:eastAsia="仿宋_GB2312"/>
          <w:sz w:val="32"/>
          <w:szCs w:val="32"/>
        </w:rPr>
        <w:t>41672-2022</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骨诱导磷酸钙生物陶瓷》</w:t>
      </w:r>
      <w:r>
        <w:rPr>
          <w:rFonts w:eastAsia="仿宋_GB2312"/>
          <w:sz w:val="32"/>
          <w:szCs w:val="32"/>
        </w:rPr>
        <w:t>[S].</w:t>
      </w:r>
    </w:p>
    <w:p w14:paraId="0DA1170B" w14:textId="325E09BF" w:rsidR="00B17835" w:rsidRDefault="001A6881">
      <w:pPr>
        <w:spacing w:line="520" w:lineRule="exact"/>
        <w:ind w:rightChars="-32" w:right="-67" w:firstLineChars="200" w:firstLine="640"/>
        <w:rPr>
          <w:rFonts w:eastAsia="仿宋_GB2312"/>
          <w:sz w:val="32"/>
          <w:szCs w:val="32"/>
        </w:rPr>
      </w:pPr>
      <w:r>
        <w:rPr>
          <w:rFonts w:eastAsia="仿宋_GB2312"/>
          <w:sz w:val="32"/>
          <w:szCs w:val="32"/>
        </w:rPr>
        <w:t>[27]</w:t>
      </w:r>
      <w:r w:rsidR="005B73C0">
        <w:rPr>
          <w:rFonts w:eastAsia="仿宋_GB2312"/>
          <w:sz w:val="32"/>
          <w:szCs w:val="32"/>
        </w:rPr>
        <w:t xml:space="preserve"> </w:t>
      </w:r>
      <w:r>
        <w:rPr>
          <w:rFonts w:eastAsia="仿宋_GB2312"/>
          <w:sz w:val="32"/>
          <w:szCs w:val="32"/>
        </w:rPr>
        <w:t>YY</w:t>
      </w:r>
      <w:r>
        <w:rPr>
          <w:rFonts w:eastAsia="仿宋_GB2312" w:hint="eastAsia"/>
          <w:sz w:val="32"/>
          <w:szCs w:val="32"/>
        </w:rPr>
        <w:t>/T</w:t>
      </w:r>
      <w:r>
        <w:rPr>
          <w:rFonts w:eastAsia="仿宋_GB2312"/>
          <w:sz w:val="32"/>
          <w:szCs w:val="32"/>
        </w:rPr>
        <w:t xml:space="preserve"> 1558.3-2017</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磷酸钙</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3</w:t>
      </w:r>
      <w:r>
        <w:rPr>
          <w:rFonts w:eastAsia="仿宋_GB2312" w:hint="eastAsia"/>
          <w:sz w:val="32"/>
          <w:szCs w:val="32"/>
        </w:rPr>
        <w:t>部分：羟基磷灰石和β</w:t>
      </w:r>
      <w:r>
        <w:rPr>
          <w:rFonts w:eastAsia="仿宋_GB2312" w:hint="eastAsia"/>
          <w:sz w:val="32"/>
          <w:szCs w:val="32"/>
        </w:rPr>
        <w:t>-</w:t>
      </w:r>
      <w:r>
        <w:rPr>
          <w:rFonts w:eastAsia="仿宋_GB2312" w:hint="eastAsia"/>
          <w:sz w:val="32"/>
          <w:szCs w:val="32"/>
        </w:rPr>
        <w:t>磷酸三钙骨替代物》</w:t>
      </w:r>
      <w:r>
        <w:rPr>
          <w:rFonts w:eastAsia="仿宋_GB2312"/>
          <w:sz w:val="32"/>
          <w:szCs w:val="32"/>
        </w:rPr>
        <w:t>[S].</w:t>
      </w:r>
    </w:p>
    <w:p w14:paraId="77FDAB07" w14:textId="00754ABE" w:rsidR="00B17835" w:rsidRDefault="001A6881">
      <w:pPr>
        <w:spacing w:line="520" w:lineRule="exact"/>
        <w:ind w:rightChars="-32" w:right="-67" w:firstLineChars="200" w:firstLine="640"/>
        <w:rPr>
          <w:rFonts w:eastAsia="仿宋_GB2312"/>
          <w:sz w:val="32"/>
          <w:szCs w:val="32"/>
        </w:rPr>
      </w:pPr>
      <w:r>
        <w:rPr>
          <w:rFonts w:eastAsia="仿宋_GB2312"/>
          <w:sz w:val="32"/>
          <w:szCs w:val="32"/>
        </w:rPr>
        <w:t>[28]</w:t>
      </w:r>
      <w:r w:rsidR="005B73C0">
        <w:rPr>
          <w:rFonts w:eastAsia="仿宋_GB2312"/>
          <w:sz w:val="32"/>
          <w:szCs w:val="32"/>
        </w:rPr>
        <w:t xml:space="preserve"> </w:t>
      </w:r>
      <w:r>
        <w:rPr>
          <w:rFonts w:eastAsia="仿宋_GB2312" w:hint="eastAsia"/>
          <w:sz w:val="32"/>
          <w:szCs w:val="32"/>
        </w:rPr>
        <w:t xml:space="preserve">YY/T 0511-2009 </w:t>
      </w:r>
      <w:r>
        <w:rPr>
          <w:rFonts w:eastAsia="仿宋_GB2312" w:hint="eastAsia"/>
          <w:sz w:val="32"/>
          <w:szCs w:val="32"/>
        </w:rPr>
        <w:t>《生物陶瓷体内降解和成骨性能评价试验方法》</w:t>
      </w:r>
      <w:r>
        <w:rPr>
          <w:rFonts w:eastAsia="仿宋_GB2312"/>
          <w:sz w:val="32"/>
          <w:szCs w:val="32"/>
        </w:rPr>
        <w:t>[S].</w:t>
      </w:r>
    </w:p>
    <w:p w14:paraId="599727EC" w14:textId="16E43740" w:rsidR="00B17835" w:rsidRDefault="001A6881">
      <w:pPr>
        <w:spacing w:line="520" w:lineRule="exact"/>
        <w:ind w:rightChars="-32" w:right="-67" w:firstLineChars="200" w:firstLine="640"/>
        <w:rPr>
          <w:rFonts w:eastAsia="仿宋_GB2312"/>
          <w:sz w:val="32"/>
          <w:szCs w:val="32"/>
        </w:rPr>
      </w:pPr>
      <w:r>
        <w:rPr>
          <w:rFonts w:eastAsia="仿宋_GB2312"/>
          <w:sz w:val="32"/>
          <w:szCs w:val="32"/>
        </w:rPr>
        <w:t>[29]</w:t>
      </w:r>
      <w:r w:rsidR="005B73C0">
        <w:rPr>
          <w:rFonts w:eastAsia="仿宋_GB2312"/>
          <w:sz w:val="32"/>
          <w:szCs w:val="32"/>
        </w:rPr>
        <w:t xml:space="preserve"> </w:t>
      </w:r>
      <w:r>
        <w:rPr>
          <w:rFonts w:eastAsia="仿宋_GB2312" w:hint="eastAsia"/>
          <w:sz w:val="32"/>
          <w:szCs w:val="32"/>
        </w:rPr>
        <w:t>GB/T 1966-</w:t>
      </w:r>
      <w:r>
        <w:rPr>
          <w:rFonts w:eastAsia="仿宋_GB2312"/>
          <w:sz w:val="32"/>
          <w:szCs w:val="32"/>
        </w:rPr>
        <w:t>2024</w:t>
      </w:r>
      <w:r>
        <w:rPr>
          <w:rFonts w:eastAsia="仿宋_GB2312" w:hint="eastAsia"/>
          <w:sz w:val="32"/>
          <w:szCs w:val="32"/>
        </w:rPr>
        <w:t xml:space="preserve"> </w:t>
      </w:r>
      <w:r>
        <w:rPr>
          <w:rFonts w:eastAsia="仿宋_GB2312" w:hint="eastAsia"/>
          <w:sz w:val="32"/>
          <w:szCs w:val="32"/>
        </w:rPr>
        <w:t>《多孔陶瓷</w:t>
      </w:r>
      <w:r>
        <w:rPr>
          <w:rFonts w:eastAsia="仿宋_GB2312" w:hint="eastAsia"/>
          <w:sz w:val="32"/>
          <w:szCs w:val="32"/>
        </w:rPr>
        <w:t xml:space="preserve"> </w:t>
      </w:r>
      <w:r>
        <w:rPr>
          <w:rFonts w:eastAsia="仿宋_GB2312" w:hint="eastAsia"/>
          <w:sz w:val="32"/>
          <w:szCs w:val="32"/>
        </w:rPr>
        <w:t>显气孔率和体积密度的测定》</w:t>
      </w:r>
      <w:r>
        <w:rPr>
          <w:rFonts w:eastAsia="仿宋_GB2312"/>
          <w:sz w:val="32"/>
          <w:szCs w:val="32"/>
        </w:rPr>
        <w:t>[S].</w:t>
      </w:r>
    </w:p>
    <w:p w14:paraId="5EEF87D0" w14:textId="34E20C65" w:rsidR="00B17835" w:rsidRDefault="001A6881">
      <w:pPr>
        <w:spacing w:line="520" w:lineRule="exact"/>
        <w:ind w:rightChars="-32" w:right="-67" w:firstLineChars="200" w:firstLine="640"/>
        <w:rPr>
          <w:rFonts w:eastAsia="仿宋_GB2312"/>
          <w:sz w:val="32"/>
          <w:szCs w:val="32"/>
        </w:rPr>
      </w:pPr>
      <w:r>
        <w:rPr>
          <w:rFonts w:eastAsia="仿宋_GB2312" w:hint="eastAsia"/>
          <w:sz w:val="32"/>
          <w:szCs w:val="32"/>
        </w:rPr>
        <w:t>[</w:t>
      </w:r>
      <w:r>
        <w:rPr>
          <w:rFonts w:eastAsia="仿宋_GB2312"/>
          <w:sz w:val="32"/>
          <w:szCs w:val="32"/>
        </w:rPr>
        <w:t>30]</w:t>
      </w:r>
      <w:r w:rsidR="005B73C0">
        <w:rPr>
          <w:rFonts w:eastAsia="仿宋_GB2312"/>
          <w:sz w:val="32"/>
          <w:szCs w:val="32"/>
        </w:rPr>
        <w:t xml:space="preserve"> </w:t>
      </w:r>
      <w:r>
        <w:rPr>
          <w:rFonts w:eastAsia="仿宋_GB2312" w:hint="eastAsia"/>
          <w:sz w:val="32"/>
          <w:szCs w:val="32"/>
        </w:rPr>
        <w:t>YY/T</w:t>
      </w:r>
      <w:r>
        <w:rPr>
          <w:rFonts w:eastAsia="仿宋_GB2312"/>
          <w:sz w:val="32"/>
          <w:szCs w:val="32"/>
        </w:rPr>
        <w:t xml:space="preserve"> 1447-2016</w:t>
      </w:r>
      <w:r>
        <w:rPr>
          <w:rFonts w:eastAsia="仿宋_GB2312" w:hint="eastAsia"/>
          <w:sz w:val="32"/>
          <w:szCs w:val="32"/>
        </w:rPr>
        <w:t xml:space="preserve"> </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植入材料磷灰石形成能力的体外评估》</w:t>
      </w:r>
      <w:r>
        <w:rPr>
          <w:rFonts w:eastAsia="仿宋_GB2312"/>
          <w:sz w:val="32"/>
          <w:szCs w:val="32"/>
        </w:rPr>
        <w:t>[S].</w:t>
      </w:r>
    </w:p>
    <w:p w14:paraId="5F023B88" w14:textId="6DDE021A" w:rsidR="005B73C0" w:rsidRPr="005B73C0" w:rsidRDefault="005B73C0" w:rsidP="005B73C0">
      <w:pPr>
        <w:spacing w:line="520" w:lineRule="exact"/>
        <w:ind w:rightChars="-32" w:right="-67" w:firstLineChars="200" w:firstLine="640"/>
        <w:rPr>
          <w:rFonts w:eastAsia="仿宋_GB2312"/>
          <w:sz w:val="32"/>
          <w:szCs w:val="32"/>
        </w:rPr>
      </w:pPr>
      <w:r>
        <w:rPr>
          <w:rFonts w:eastAsia="仿宋_GB2312" w:hint="eastAsia"/>
          <w:sz w:val="32"/>
          <w:szCs w:val="32"/>
        </w:rPr>
        <w:t>[</w:t>
      </w:r>
      <w:r>
        <w:rPr>
          <w:rFonts w:eastAsia="仿宋_GB2312"/>
          <w:sz w:val="32"/>
          <w:szCs w:val="32"/>
        </w:rPr>
        <w:t xml:space="preserve">31] </w:t>
      </w:r>
      <w:r w:rsidRPr="005B73C0">
        <w:rPr>
          <w:rFonts w:eastAsia="仿宋_GB2312" w:hint="eastAsia"/>
          <w:sz w:val="32"/>
          <w:szCs w:val="32"/>
        </w:rPr>
        <w:t>YY T 1263-2015</w:t>
      </w:r>
      <w:r>
        <w:rPr>
          <w:rFonts w:eastAsia="仿宋_GB2312" w:hint="eastAsia"/>
          <w:sz w:val="32"/>
          <w:szCs w:val="32"/>
        </w:rPr>
        <w:t>《</w:t>
      </w:r>
      <w:r w:rsidRPr="005B73C0">
        <w:rPr>
          <w:rFonts w:eastAsia="仿宋_GB2312" w:hint="eastAsia"/>
          <w:sz w:val="32"/>
          <w:szCs w:val="32"/>
        </w:rPr>
        <w:t>适用于干热灭菌的医疗器械的材料评价</w:t>
      </w:r>
      <w:r>
        <w:rPr>
          <w:rFonts w:eastAsia="仿宋_GB2312" w:hint="eastAsia"/>
          <w:sz w:val="32"/>
          <w:szCs w:val="32"/>
        </w:rPr>
        <w:t>》</w:t>
      </w:r>
      <w:r>
        <w:rPr>
          <w:rFonts w:eastAsia="仿宋_GB2312"/>
          <w:sz w:val="32"/>
          <w:szCs w:val="32"/>
        </w:rPr>
        <w:t>[S].</w:t>
      </w:r>
    </w:p>
    <w:p w14:paraId="72D888A8" w14:textId="29703D22" w:rsidR="005B73C0" w:rsidRPr="005B73C0" w:rsidRDefault="005B73C0">
      <w:pPr>
        <w:spacing w:line="520" w:lineRule="exact"/>
        <w:ind w:rightChars="-32" w:right="-67" w:firstLineChars="200" w:firstLine="640"/>
        <w:rPr>
          <w:rFonts w:eastAsia="仿宋_GB2312"/>
          <w:sz w:val="32"/>
          <w:szCs w:val="32"/>
        </w:rPr>
      </w:pPr>
      <w:r w:rsidRPr="005B73C0">
        <w:rPr>
          <w:rFonts w:eastAsia="仿宋_GB2312" w:hint="eastAsia"/>
          <w:sz w:val="32"/>
          <w:szCs w:val="32"/>
        </w:rPr>
        <w:t>[</w:t>
      </w:r>
      <w:r>
        <w:rPr>
          <w:rFonts w:eastAsia="仿宋_GB2312"/>
          <w:sz w:val="32"/>
          <w:szCs w:val="32"/>
        </w:rPr>
        <w:t>32</w:t>
      </w:r>
      <w:r w:rsidRPr="005B73C0">
        <w:rPr>
          <w:rFonts w:eastAsia="仿宋_GB2312"/>
          <w:sz w:val="32"/>
          <w:szCs w:val="32"/>
        </w:rPr>
        <w:t>]</w:t>
      </w:r>
      <w:r>
        <w:rPr>
          <w:rFonts w:eastAsia="仿宋_GB2312"/>
          <w:sz w:val="32"/>
          <w:szCs w:val="32"/>
        </w:rPr>
        <w:t xml:space="preserve"> </w:t>
      </w:r>
      <w:r w:rsidRPr="005B73C0">
        <w:rPr>
          <w:rFonts w:eastAsia="仿宋_GB2312" w:hint="eastAsia"/>
          <w:sz w:val="32"/>
          <w:szCs w:val="32"/>
        </w:rPr>
        <w:t xml:space="preserve">YY T 1276-2016 </w:t>
      </w:r>
      <w:r>
        <w:rPr>
          <w:rFonts w:eastAsia="仿宋_GB2312" w:hint="eastAsia"/>
          <w:sz w:val="32"/>
          <w:szCs w:val="32"/>
        </w:rPr>
        <w:t>《</w:t>
      </w:r>
      <w:r w:rsidRPr="005B73C0">
        <w:rPr>
          <w:rFonts w:eastAsia="仿宋_GB2312" w:hint="eastAsia"/>
          <w:sz w:val="32"/>
          <w:szCs w:val="32"/>
        </w:rPr>
        <w:t>医疗器械干热灭菌过程的开发、确认和常规控制要求</w:t>
      </w:r>
      <w:r>
        <w:rPr>
          <w:rFonts w:eastAsia="仿宋_GB2312" w:hint="eastAsia"/>
          <w:sz w:val="32"/>
          <w:szCs w:val="32"/>
        </w:rPr>
        <w:t>》</w:t>
      </w:r>
      <w:r>
        <w:rPr>
          <w:rFonts w:eastAsia="仿宋_GB2312"/>
          <w:sz w:val="32"/>
          <w:szCs w:val="32"/>
        </w:rPr>
        <w:t>[S].</w:t>
      </w:r>
    </w:p>
    <w:sectPr w:rsidR="005B73C0" w:rsidRPr="005B73C0">
      <w:headerReference w:type="even" r:id="rId9"/>
      <w:headerReference w:type="default" r:id="rId10"/>
      <w:footerReference w:type="default" r:id="rId11"/>
      <w:headerReference w:type="first" r:id="rId12"/>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9BD6" w14:textId="77777777" w:rsidR="00231AC3" w:rsidRDefault="00231AC3">
      <w:r>
        <w:separator/>
      </w:r>
    </w:p>
  </w:endnote>
  <w:endnote w:type="continuationSeparator" w:id="0">
    <w:p w14:paraId="5622DC87" w14:textId="77777777" w:rsidR="00231AC3" w:rsidRDefault="0023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D7B2" w14:textId="3FBE2331" w:rsidR="00B17835" w:rsidRDefault="001A6881">
    <w:pPr>
      <w:pStyle w:val="a9"/>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02ECE" w:rsidRPr="00A02ECE">
      <w:rPr>
        <w:noProof/>
        <w:sz w:val="28"/>
        <w:szCs w:val="28"/>
        <w:lang w:val="zh-CN"/>
      </w:rPr>
      <w:t>22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574A8C13" w14:textId="77777777" w:rsidR="00B17835" w:rsidRDefault="00B178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B280" w14:textId="77777777" w:rsidR="00231AC3" w:rsidRDefault="00231AC3">
      <w:r>
        <w:separator/>
      </w:r>
    </w:p>
  </w:footnote>
  <w:footnote w:type="continuationSeparator" w:id="0">
    <w:p w14:paraId="354391B2" w14:textId="77777777" w:rsidR="00231AC3" w:rsidRDefault="0023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4F5B" w14:textId="77777777" w:rsidR="00B17835" w:rsidRDefault="00231AC3">
    <w:pPr>
      <w:pStyle w:val="aa"/>
    </w:pPr>
    <w:r>
      <w:pict w14:anchorId="2AECD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64360" o:spid="_x0000_s3075" type="#_x0000_t136" style="position:absolute;left:0;text-align:left;margin-left:0;margin-top:0;width:519.5pt;height:103.9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F7B4" w14:textId="77777777" w:rsidR="00B17835" w:rsidRDefault="00231AC3">
    <w:r>
      <w:pict w14:anchorId="736D0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64361" o:spid="_x0000_s3074" type="#_x0000_t136" style="position:absolute;left:0;text-align:left;margin-left:0;margin-top:0;width:519.5pt;height:103.9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5AA9" w14:textId="77777777" w:rsidR="00B17835" w:rsidRDefault="00231AC3">
    <w:pPr>
      <w:pStyle w:val="aa"/>
    </w:pPr>
    <w:r>
      <w:pict w14:anchorId="10C5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64359" o:spid="_x0000_s3073" type="#_x0000_t136" style="position:absolute;left:0;text-align:left;margin-left:0;margin-top:0;width:519.5pt;height:103.9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5D11"/>
    <w:multiLevelType w:val="multilevel"/>
    <w:tmpl w:val="1FE95D11"/>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29633BD2"/>
    <w:rsid w:val="00002B20"/>
    <w:rsid w:val="00025AB0"/>
    <w:rsid w:val="0002694F"/>
    <w:rsid w:val="000272C3"/>
    <w:rsid w:val="000355F6"/>
    <w:rsid w:val="00042474"/>
    <w:rsid w:val="00042D61"/>
    <w:rsid w:val="000460E1"/>
    <w:rsid w:val="00051685"/>
    <w:rsid w:val="0005317B"/>
    <w:rsid w:val="000563C9"/>
    <w:rsid w:val="00060305"/>
    <w:rsid w:val="00060985"/>
    <w:rsid w:val="000615B0"/>
    <w:rsid w:val="00071CDE"/>
    <w:rsid w:val="00073CEF"/>
    <w:rsid w:val="00074D51"/>
    <w:rsid w:val="00077A58"/>
    <w:rsid w:val="00083AA2"/>
    <w:rsid w:val="00086559"/>
    <w:rsid w:val="000A1B78"/>
    <w:rsid w:val="000A4F04"/>
    <w:rsid w:val="000C11F1"/>
    <w:rsid w:val="000E42D7"/>
    <w:rsid w:val="000E604C"/>
    <w:rsid w:val="000F56B4"/>
    <w:rsid w:val="000F7A07"/>
    <w:rsid w:val="001134F1"/>
    <w:rsid w:val="00117C1A"/>
    <w:rsid w:val="0012448D"/>
    <w:rsid w:val="001279D7"/>
    <w:rsid w:val="001327BF"/>
    <w:rsid w:val="00133BB7"/>
    <w:rsid w:val="00135E5C"/>
    <w:rsid w:val="00136360"/>
    <w:rsid w:val="00137D00"/>
    <w:rsid w:val="00142118"/>
    <w:rsid w:val="0016173C"/>
    <w:rsid w:val="001804AB"/>
    <w:rsid w:val="00193E21"/>
    <w:rsid w:val="00197D45"/>
    <w:rsid w:val="001A1B8B"/>
    <w:rsid w:val="001A4C24"/>
    <w:rsid w:val="001A6881"/>
    <w:rsid w:val="001A6A0D"/>
    <w:rsid w:val="001C0EDF"/>
    <w:rsid w:val="001D77EA"/>
    <w:rsid w:val="001E67E5"/>
    <w:rsid w:val="001F78F0"/>
    <w:rsid w:val="002314E1"/>
    <w:rsid w:val="00231AC3"/>
    <w:rsid w:val="00237572"/>
    <w:rsid w:val="00250CA2"/>
    <w:rsid w:val="0025180A"/>
    <w:rsid w:val="00262D8F"/>
    <w:rsid w:val="002957EE"/>
    <w:rsid w:val="002A6E5A"/>
    <w:rsid w:val="002A72C6"/>
    <w:rsid w:val="002B13BB"/>
    <w:rsid w:val="002D0699"/>
    <w:rsid w:val="002D14A6"/>
    <w:rsid w:val="002D2134"/>
    <w:rsid w:val="002D2F63"/>
    <w:rsid w:val="002E6E44"/>
    <w:rsid w:val="00303D9A"/>
    <w:rsid w:val="00311DB4"/>
    <w:rsid w:val="00316831"/>
    <w:rsid w:val="00333791"/>
    <w:rsid w:val="00334209"/>
    <w:rsid w:val="00343F04"/>
    <w:rsid w:val="00344ECA"/>
    <w:rsid w:val="00345067"/>
    <w:rsid w:val="00347A70"/>
    <w:rsid w:val="00350B23"/>
    <w:rsid w:val="00361484"/>
    <w:rsid w:val="003672BC"/>
    <w:rsid w:val="00367F21"/>
    <w:rsid w:val="00371950"/>
    <w:rsid w:val="0037545B"/>
    <w:rsid w:val="00376A33"/>
    <w:rsid w:val="0039429B"/>
    <w:rsid w:val="00394F01"/>
    <w:rsid w:val="003A291E"/>
    <w:rsid w:val="003B311A"/>
    <w:rsid w:val="003C06D2"/>
    <w:rsid w:val="003C4912"/>
    <w:rsid w:val="003C4D52"/>
    <w:rsid w:val="003D5078"/>
    <w:rsid w:val="003E5529"/>
    <w:rsid w:val="00403452"/>
    <w:rsid w:val="00404E6B"/>
    <w:rsid w:val="004222FF"/>
    <w:rsid w:val="004317C1"/>
    <w:rsid w:val="00466700"/>
    <w:rsid w:val="004A019B"/>
    <w:rsid w:val="004B14BE"/>
    <w:rsid w:val="004C29F7"/>
    <w:rsid w:val="005001F0"/>
    <w:rsid w:val="005072C8"/>
    <w:rsid w:val="005117FB"/>
    <w:rsid w:val="00511E34"/>
    <w:rsid w:val="00514BE9"/>
    <w:rsid w:val="00524768"/>
    <w:rsid w:val="0053782B"/>
    <w:rsid w:val="005614EC"/>
    <w:rsid w:val="00563B22"/>
    <w:rsid w:val="00585D65"/>
    <w:rsid w:val="0059473B"/>
    <w:rsid w:val="005A0EBD"/>
    <w:rsid w:val="005A27B0"/>
    <w:rsid w:val="005A5DE8"/>
    <w:rsid w:val="005B130D"/>
    <w:rsid w:val="005B73C0"/>
    <w:rsid w:val="005D0611"/>
    <w:rsid w:val="005D7319"/>
    <w:rsid w:val="005D7A7E"/>
    <w:rsid w:val="005E1D42"/>
    <w:rsid w:val="005F41AC"/>
    <w:rsid w:val="00630424"/>
    <w:rsid w:val="00634695"/>
    <w:rsid w:val="00640153"/>
    <w:rsid w:val="00652B34"/>
    <w:rsid w:val="0065654B"/>
    <w:rsid w:val="00663750"/>
    <w:rsid w:val="00664775"/>
    <w:rsid w:val="00664F9B"/>
    <w:rsid w:val="00674880"/>
    <w:rsid w:val="00683F80"/>
    <w:rsid w:val="00691DCA"/>
    <w:rsid w:val="00692AEF"/>
    <w:rsid w:val="00696F34"/>
    <w:rsid w:val="006C202A"/>
    <w:rsid w:val="006C22EE"/>
    <w:rsid w:val="006C6489"/>
    <w:rsid w:val="006C65CB"/>
    <w:rsid w:val="006D1018"/>
    <w:rsid w:val="006D3143"/>
    <w:rsid w:val="0070591E"/>
    <w:rsid w:val="00706639"/>
    <w:rsid w:val="00714EDF"/>
    <w:rsid w:val="00737810"/>
    <w:rsid w:val="00761F37"/>
    <w:rsid w:val="00773291"/>
    <w:rsid w:val="007941FA"/>
    <w:rsid w:val="007A24C0"/>
    <w:rsid w:val="007A338F"/>
    <w:rsid w:val="007A7164"/>
    <w:rsid w:val="007B3C5D"/>
    <w:rsid w:val="007C4BBB"/>
    <w:rsid w:val="007E064F"/>
    <w:rsid w:val="007F6DAB"/>
    <w:rsid w:val="008049CC"/>
    <w:rsid w:val="00804F93"/>
    <w:rsid w:val="00806898"/>
    <w:rsid w:val="00822EEC"/>
    <w:rsid w:val="0084026E"/>
    <w:rsid w:val="00840322"/>
    <w:rsid w:val="00865DFF"/>
    <w:rsid w:val="00867EA0"/>
    <w:rsid w:val="008700A1"/>
    <w:rsid w:val="00871D4D"/>
    <w:rsid w:val="0088006C"/>
    <w:rsid w:val="00884011"/>
    <w:rsid w:val="0089521D"/>
    <w:rsid w:val="008A7FFE"/>
    <w:rsid w:val="008B7A8B"/>
    <w:rsid w:val="008C77AA"/>
    <w:rsid w:val="008C7D55"/>
    <w:rsid w:val="008D3144"/>
    <w:rsid w:val="008D78AA"/>
    <w:rsid w:val="008E4816"/>
    <w:rsid w:val="00907145"/>
    <w:rsid w:val="0093497A"/>
    <w:rsid w:val="0093765E"/>
    <w:rsid w:val="00942873"/>
    <w:rsid w:val="00953BC1"/>
    <w:rsid w:val="0095684F"/>
    <w:rsid w:val="009573F7"/>
    <w:rsid w:val="00985BBD"/>
    <w:rsid w:val="009B1605"/>
    <w:rsid w:val="009B357A"/>
    <w:rsid w:val="009E1382"/>
    <w:rsid w:val="009E7B6B"/>
    <w:rsid w:val="00A001FB"/>
    <w:rsid w:val="00A02ECE"/>
    <w:rsid w:val="00A23A69"/>
    <w:rsid w:val="00A45D64"/>
    <w:rsid w:val="00A5603D"/>
    <w:rsid w:val="00A6145A"/>
    <w:rsid w:val="00A72E8D"/>
    <w:rsid w:val="00A82F7D"/>
    <w:rsid w:val="00A84627"/>
    <w:rsid w:val="00A852DB"/>
    <w:rsid w:val="00A86549"/>
    <w:rsid w:val="00AA0C40"/>
    <w:rsid w:val="00AB47EF"/>
    <w:rsid w:val="00AC5877"/>
    <w:rsid w:val="00AC5FC5"/>
    <w:rsid w:val="00AC66D9"/>
    <w:rsid w:val="00AD1955"/>
    <w:rsid w:val="00AD3FF6"/>
    <w:rsid w:val="00AD6E4F"/>
    <w:rsid w:val="00AE2065"/>
    <w:rsid w:val="00AE211D"/>
    <w:rsid w:val="00B045BD"/>
    <w:rsid w:val="00B17835"/>
    <w:rsid w:val="00B21DD6"/>
    <w:rsid w:val="00B22DFE"/>
    <w:rsid w:val="00B37175"/>
    <w:rsid w:val="00B457D1"/>
    <w:rsid w:val="00B67D3F"/>
    <w:rsid w:val="00B91264"/>
    <w:rsid w:val="00B916E7"/>
    <w:rsid w:val="00B93762"/>
    <w:rsid w:val="00B97A10"/>
    <w:rsid w:val="00BA16CD"/>
    <w:rsid w:val="00BB3435"/>
    <w:rsid w:val="00BB582B"/>
    <w:rsid w:val="00BC1F9E"/>
    <w:rsid w:val="00BF0C87"/>
    <w:rsid w:val="00BF540F"/>
    <w:rsid w:val="00BF73DD"/>
    <w:rsid w:val="00C0188D"/>
    <w:rsid w:val="00C049D4"/>
    <w:rsid w:val="00C10A9E"/>
    <w:rsid w:val="00C23732"/>
    <w:rsid w:val="00C247C5"/>
    <w:rsid w:val="00C27818"/>
    <w:rsid w:val="00C44C51"/>
    <w:rsid w:val="00C50DB0"/>
    <w:rsid w:val="00C5548A"/>
    <w:rsid w:val="00C622DE"/>
    <w:rsid w:val="00C64F29"/>
    <w:rsid w:val="00C67FD0"/>
    <w:rsid w:val="00C76761"/>
    <w:rsid w:val="00C77E96"/>
    <w:rsid w:val="00C8270A"/>
    <w:rsid w:val="00C9638C"/>
    <w:rsid w:val="00CB1F2C"/>
    <w:rsid w:val="00CB5318"/>
    <w:rsid w:val="00CC21B2"/>
    <w:rsid w:val="00CD0A69"/>
    <w:rsid w:val="00CD7F47"/>
    <w:rsid w:val="00CE3A17"/>
    <w:rsid w:val="00CE65AF"/>
    <w:rsid w:val="00CF2A1D"/>
    <w:rsid w:val="00D167D2"/>
    <w:rsid w:val="00D20DE7"/>
    <w:rsid w:val="00D22A29"/>
    <w:rsid w:val="00D5109E"/>
    <w:rsid w:val="00D51FE6"/>
    <w:rsid w:val="00D5470E"/>
    <w:rsid w:val="00D56160"/>
    <w:rsid w:val="00D64438"/>
    <w:rsid w:val="00D65F3E"/>
    <w:rsid w:val="00D75B2F"/>
    <w:rsid w:val="00D84FF2"/>
    <w:rsid w:val="00D92190"/>
    <w:rsid w:val="00D9657B"/>
    <w:rsid w:val="00DC2DF9"/>
    <w:rsid w:val="00DC6988"/>
    <w:rsid w:val="00DE407C"/>
    <w:rsid w:val="00DF11EC"/>
    <w:rsid w:val="00DF2650"/>
    <w:rsid w:val="00E05370"/>
    <w:rsid w:val="00E11884"/>
    <w:rsid w:val="00E144C2"/>
    <w:rsid w:val="00E15D38"/>
    <w:rsid w:val="00E21631"/>
    <w:rsid w:val="00E26BFB"/>
    <w:rsid w:val="00E35D84"/>
    <w:rsid w:val="00E42E5D"/>
    <w:rsid w:val="00E465BE"/>
    <w:rsid w:val="00E62541"/>
    <w:rsid w:val="00E756A3"/>
    <w:rsid w:val="00E763BF"/>
    <w:rsid w:val="00E91574"/>
    <w:rsid w:val="00E92FA9"/>
    <w:rsid w:val="00E93928"/>
    <w:rsid w:val="00EA65C9"/>
    <w:rsid w:val="00EA71EE"/>
    <w:rsid w:val="00EB5715"/>
    <w:rsid w:val="00ED4297"/>
    <w:rsid w:val="00ED5789"/>
    <w:rsid w:val="00ED6F27"/>
    <w:rsid w:val="00EE469D"/>
    <w:rsid w:val="00F00D75"/>
    <w:rsid w:val="00F07807"/>
    <w:rsid w:val="00F25703"/>
    <w:rsid w:val="00F35C4C"/>
    <w:rsid w:val="00F374DC"/>
    <w:rsid w:val="00F52944"/>
    <w:rsid w:val="00F53092"/>
    <w:rsid w:val="00F54010"/>
    <w:rsid w:val="00F6248B"/>
    <w:rsid w:val="00F642B7"/>
    <w:rsid w:val="00F71E93"/>
    <w:rsid w:val="00F76902"/>
    <w:rsid w:val="00F9096F"/>
    <w:rsid w:val="00FA5FA3"/>
    <w:rsid w:val="00FB1ECB"/>
    <w:rsid w:val="00FD5A31"/>
    <w:rsid w:val="00FD793A"/>
    <w:rsid w:val="00FE68E0"/>
    <w:rsid w:val="04E979DD"/>
    <w:rsid w:val="056A094B"/>
    <w:rsid w:val="0673692E"/>
    <w:rsid w:val="089D3ECC"/>
    <w:rsid w:val="09106D7F"/>
    <w:rsid w:val="0C1621E1"/>
    <w:rsid w:val="0DEF4B48"/>
    <w:rsid w:val="0EED53BE"/>
    <w:rsid w:val="0F741F38"/>
    <w:rsid w:val="13EA3E7E"/>
    <w:rsid w:val="147F4EB9"/>
    <w:rsid w:val="15735EBE"/>
    <w:rsid w:val="16C75380"/>
    <w:rsid w:val="1762609B"/>
    <w:rsid w:val="18D771F0"/>
    <w:rsid w:val="19603515"/>
    <w:rsid w:val="1A62406F"/>
    <w:rsid w:val="1B1C4F0B"/>
    <w:rsid w:val="1C0E3533"/>
    <w:rsid w:val="1E4B0C15"/>
    <w:rsid w:val="1F703EFB"/>
    <w:rsid w:val="20C15D89"/>
    <w:rsid w:val="25D43315"/>
    <w:rsid w:val="269A360B"/>
    <w:rsid w:val="26D5563C"/>
    <w:rsid w:val="27281294"/>
    <w:rsid w:val="2958715F"/>
    <w:rsid w:val="29633BD2"/>
    <w:rsid w:val="2E706475"/>
    <w:rsid w:val="2F717E34"/>
    <w:rsid w:val="32A36D9A"/>
    <w:rsid w:val="33CF4AF0"/>
    <w:rsid w:val="35AB17B2"/>
    <w:rsid w:val="3778260F"/>
    <w:rsid w:val="378C567A"/>
    <w:rsid w:val="37DB4B4C"/>
    <w:rsid w:val="39316051"/>
    <w:rsid w:val="3CED04E1"/>
    <w:rsid w:val="3ECF366B"/>
    <w:rsid w:val="3FA64F5A"/>
    <w:rsid w:val="4271404A"/>
    <w:rsid w:val="46590150"/>
    <w:rsid w:val="481801F3"/>
    <w:rsid w:val="49C35C2E"/>
    <w:rsid w:val="4A8B004B"/>
    <w:rsid w:val="4DF93B95"/>
    <w:rsid w:val="4E0A4946"/>
    <w:rsid w:val="50CE26AB"/>
    <w:rsid w:val="54AF7ECF"/>
    <w:rsid w:val="55661445"/>
    <w:rsid w:val="56EB3CB1"/>
    <w:rsid w:val="59D21587"/>
    <w:rsid w:val="59ED6322"/>
    <w:rsid w:val="5A693539"/>
    <w:rsid w:val="67781669"/>
    <w:rsid w:val="695157D0"/>
    <w:rsid w:val="69886F91"/>
    <w:rsid w:val="6B3621C0"/>
    <w:rsid w:val="6D931B60"/>
    <w:rsid w:val="72FC167C"/>
    <w:rsid w:val="755F12C8"/>
    <w:rsid w:val="75953E7A"/>
    <w:rsid w:val="761207E9"/>
    <w:rsid w:val="770E63D6"/>
    <w:rsid w:val="7DE62BAF"/>
    <w:rsid w:val="7E3271CF"/>
    <w:rsid w:val="7E97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851B083"/>
  <w15:docId w15:val="{C090484E-211D-4C35-B5F8-0FF8600C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Normal Indent"/>
    <w:basedOn w:val="a"/>
    <w:qFormat/>
    <w:pPr>
      <w:adjustRightInd w:val="0"/>
      <w:spacing w:line="312" w:lineRule="atLeast"/>
      <w:ind w:firstLine="420"/>
      <w:textAlignment w:val="baseline"/>
    </w:pPr>
    <w:rPr>
      <w:kern w:val="0"/>
      <w:szCs w:val="20"/>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5"/>
    <w:next w:val="a5"/>
    <w:link w:val="ad"/>
    <w:qFormat/>
    <w:rPr>
      <w:b/>
      <w:bCs/>
    </w:rPr>
  </w:style>
  <w:style w:type="character" w:styleId="ae">
    <w:name w:val="line number"/>
  </w:style>
  <w:style w:type="character" w:styleId="af">
    <w:name w:val="annotation reference"/>
    <w:basedOn w:val="a1"/>
    <w:qFormat/>
    <w:rPr>
      <w:sz w:val="21"/>
      <w:szCs w:val="21"/>
    </w:rPr>
  </w:style>
  <w:style w:type="character" w:customStyle="1" w:styleId="ab">
    <w:name w:val="页眉 字符"/>
    <w:basedOn w:val="a1"/>
    <w:link w:val="aa"/>
    <w:uiPriority w:val="99"/>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1">
    <w:name w:val="列出段落1"/>
    <w:basedOn w:val="a"/>
    <w:link w:val="Char"/>
    <w:uiPriority w:val="34"/>
    <w:qFormat/>
    <w:pPr>
      <w:ind w:firstLineChars="200" w:firstLine="420"/>
    </w:pPr>
    <w:rPr>
      <w:rFonts w:eastAsia="仿宋_GB2312"/>
      <w:sz w:val="32"/>
      <w:szCs w:val="32"/>
    </w:rPr>
  </w:style>
  <w:style w:type="character" w:customStyle="1" w:styleId="Char">
    <w:name w:val="列出段落 Char"/>
    <w:basedOn w:val="a1"/>
    <w:link w:val="1"/>
    <w:uiPriority w:val="34"/>
    <w:qFormat/>
    <w:rPr>
      <w:rFonts w:ascii="Times New Roman" w:eastAsia="仿宋_GB2312" w:hAnsi="Times New Roman" w:cs="Times New Roman"/>
      <w:kern w:val="2"/>
      <w:sz w:val="32"/>
      <w:szCs w:val="32"/>
    </w:rPr>
  </w:style>
  <w:style w:type="character" w:customStyle="1" w:styleId="a8">
    <w:name w:val="批注框文本 字符"/>
    <w:basedOn w:val="a1"/>
    <w:link w:val="a7"/>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d">
    <w:name w:val="批注主题 字符"/>
    <w:basedOn w:val="a6"/>
    <w:link w:val="ac"/>
    <w:qFormat/>
    <w:rPr>
      <w:rFonts w:ascii="Times New Roman" w:eastAsia="宋体" w:hAnsi="Times New Roman" w:cs="Times New Roman"/>
      <w:b/>
      <w:bCs/>
      <w:kern w:val="2"/>
      <w:sz w:val="21"/>
      <w:szCs w:val="24"/>
    </w:rPr>
  </w:style>
  <w:style w:type="paragraph" w:styleId="af0">
    <w:name w:val="List Paragraph"/>
    <w:basedOn w:val="a"/>
    <w:uiPriority w:val="99"/>
    <w:unhideWhenUsed/>
    <w:qFormat/>
    <w:pPr>
      <w:ind w:firstLineChars="200" w:firstLine="420"/>
    </w:pPr>
  </w:style>
  <w:style w:type="paragraph" w:customStyle="1" w:styleId="10">
    <w:name w:val="修订1"/>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3D8E9-AF95-4A0B-8A5E-35702E5C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2048</Words>
  <Characters>11680</Characters>
  <Application>Microsoft Office Word</Application>
  <DocSecurity>0</DocSecurity>
  <Lines>97</Lines>
  <Paragraphs>27</Paragraphs>
  <ScaleCrop>false</ScaleCrop>
  <Company>神州网信技术有限公司</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阿茹罕</dc:creator>
  <cp:lastModifiedBy>阿茹罕</cp:lastModifiedBy>
  <cp:revision>15</cp:revision>
  <cp:lastPrinted>2025-09-05T05:47:00Z</cp:lastPrinted>
  <dcterms:created xsi:type="dcterms:W3CDTF">2025-11-11T06:12:00Z</dcterms:created>
  <dcterms:modified xsi:type="dcterms:W3CDTF">2025-11-17T06:00:00Z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F1222521E0784FA2B26E21EF7355084A_13</vt:lpwstr>
  </property>
  <property fmtid="{D5CDD505-2E9C-101B-9397-08002B2CF9AE}" pid="4" name="KSOTemplateDocerSaveRecord">
    <vt:lpwstr>eyJoZGlkIjoiOWE2MTc4MWYzZmJkZWQ4OWMyNzI2MGU2MWI5MjNhNzMiLCJ1c2VySWQiOiIxNDg1MjM3MDIzIn0=</vt:lpwstr>
  </property>
</Properties>
</file>